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0" w:lineRule="exact"/>
        <w:rPr>
          <w:sz w:val="24"/>
          <w:szCs w:val="24"/>
          <w:color w:val="auto"/>
        </w:rPr>
      </w:pPr>
    </w:p>
    <w:p>
      <w:pPr>
        <w:ind w:left="340" w:right="80"/>
        <w:spacing w:after="0" w:line="254"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-227330</wp:posOffset>
            </wp:positionV>
            <wp:extent cx="120650" cy="1206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3" w:lineRule="exact"/>
        <w:rPr>
          <w:sz w:val="24"/>
          <w:szCs w:val="24"/>
          <w:color w:val="auto"/>
        </w:rPr>
      </w:pPr>
    </w:p>
    <w:p>
      <w:pPr>
        <w:ind w:left="340"/>
        <w:spacing w:after="0" w:line="246"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-568325</wp:posOffset>
            </wp:positionV>
            <wp:extent cx="120650" cy="1206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6"/>
        </w:trPr>
        <w:tc>
          <w:tcPr>
            <w:tcW w:w="6220" w:type="dxa"/>
            <w:vAlign w:val="bottom"/>
          </w:tcPr>
          <w:p>
            <w:pPr>
              <w:jc w:val="center"/>
              <w:ind w:right="21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20" w:type="dxa"/>
            <w:vAlign w:val="bottom"/>
            <w:vMerge w:val="restart"/>
          </w:tcPr>
          <w:p>
            <w:pPr>
              <w:jc w:val="center"/>
              <w:ind w:right="218"/>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18"/>
              <w:spacing w:after="0" w:line="183"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7"/>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7"/>
        </w:trPr>
        <w:tc>
          <w:tcPr>
            <w:tcW w:w="6220" w:type="dxa"/>
            <w:vAlign w:val="bottom"/>
            <w:vMerge w:val="restart"/>
          </w:tcPr>
          <w:p>
            <w:pPr>
              <w:jc w:val="center"/>
              <w:ind w:right="23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5218430</wp:posOffset>
            </wp:positionH>
            <wp:positionV relativeFrom="paragraph">
              <wp:posOffset>-614680</wp:posOffset>
            </wp:positionV>
            <wp:extent cx="57785" cy="6280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8015"/>
                    </a:xfrm>
                    <a:prstGeom prst="rect">
                      <a:avLst/>
                    </a:prstGeom>
                    <a:noFill/>
                  </pic:spPr>
                </pic:pic>
              </a:graphicData>
            </a:graphic>
          </wp:anchor>
        </w:drawing>
        <w:drawing>
          <wp:anchor simplePos="0" relativeHeight="251657728" behindDoc="1" locked="0" layoutInCell="0" allowOverlap="1">
            <wp:simplePos x="0" y="0"/>
            <wp:positionH relativeFrom="column">
              <wp:posOffset>3941445</wp:posOffset>
            </wp:positionH>
            <wp:positionV relativeFrom="paragraph">
              <wp:posOffset>-614680</wp:posOffset>
            </wp:positionV>
            <wp:extent cx="57785" cy="6280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2801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-1687830</wp:posOffset>
            </wp:positionH>
            <wp:positionV relativeFrom="paragraph">
              <wp:posOffset>727710</wp:posOffset>
            </wp:positionV>
            <wp:extent cx="7047865" cy="44100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865" cy="4410075"/>
                    </a:xfrm>
                    <a:prstGeom prst="rect">
                      <a:avLst/>
                    </a:prstGeom>
                    <a:noFill/>
                  </pic:spPr>
                </pic:pic>
              </a:graphicData>
            </a:graphic>
          </wp:anchor>
        </w:drawing>
      </w:r>
    </w:p>
    <w:p>
      <w:pPr>
        <w:spacing w:after="0" w:line="1199" w:lineRule="exact"/>
        <w:rPr>
          <w:sz w:val="24"/>
          <w:szCs w:val="24"/>
          <w:color w:val="auto"/>
        </w:rPr>
      </w:pPr>
    </w:p>
    <w:p>
      <w:pPr>
        <w:sectPr>
          <w:pgSz w:w="11900" w:h="16838" w:orient="portrait"/>
          <w:cols w:equalWidth="0" w:num="2">
            <w:col w:w="2280" w:space="360"/>
            <w:col w:w="8440"/>
          </w:cols>
          <w:pgMar w:left="460" w:top="215" w:right="359" w:bottom="1440" w:gutter="0" w:footer="0" w:header="0"/>
        </w:sectPr>
      </w:pPr>
    </w:p>
    <w:p>
      <w:pPr>
        <w:spacing w:after="0" w:line="13"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ORDONEZ KATHY</w:t>
        </w:r>
      </w:hyperlink>
    </w:p>
    <w:p>
      <w:pPr>
        <w:spacing w:after="0" w:line="29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5" w:lineRule="exact"/>
        <w:rPr>
          <w:sz w:val="24"/>
          <w:szCs w:val="24"/>
          <w:color w:val="auto"/>
        </w:rPr>
      </w:pPr>
    </w:p>
    <w:p>
      <w:pPr>
        <w:ind w:left="120"/>
        <w:spacing w:after="0" w:line="369" w:lineRule="auto"/>
        <w:rPr>
          <w:sz w:val="20"/>
          <w:szCs w:val="20"/>
          <w:color w:val="auto"/>
        </w:rPr>
      </w:pPr>
      <w:r>
        <w:rPr>
          <w:rFonts w:ascii="Times New Roman" w:cs="Times New Roman" w:eastAsia="Times New Roman" w:hAnsi="Times New Roman"/>
          <w:sz w:val="16"/>
          <w:szCs w:val="16"/>
          <w:color w:val="0000FF"/>
        </w:rPr>
        <w:t>PACIFIC BIOSCIENCES OF CALIFORNIA, INC. 1305 O'BRIEN DRIVE</w:t>
      </w:r>
    </w:p>
    <w:p>
      <w:pPr>
        <w:spacing w:after="0" w:line="155"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27"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6"/>
          <w:szCs w:val="16"/>
          <w:color w:val="0000FF"/>
        </w:rPr>
        <w:t>MENLO PARK</w:t>
        <w:tab/>
        <w:t>CA</w:t>
      </w:r>
      <w:r>
        <w:rPr>
          <w:sz w:val="20"/>
          <w:szCs w:val="20"/>
          <w:color w:val="auto"/>
        </w:rPr>
        <w:tab/>
      </w:r>
      <w:r>
        <w:rPr>
          <w:rFonts w:ascii="Times New Roman" w:cs="Times New Roman" w:eastAsia="Times New Roman" w:hAnsi="Times New Roman"/>
          <w:sz w:val="16"/>
          <w:szCs w:val="16"/>
          <w:color w:val="0000FF"/>
        </w:rPr>
        <w:t>94025</w:t>
      </w:r>
    </w:p>
    <w:p>
      <w:pPr>
        <w:spacing w:after="0" w:line="32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40" w:type="dxa"/>
            <w:vAlign w:val="bottom"/>
            <w:gridSpan w:val="3"/>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39"/>
        </w:trPr>
        <w:tc>
          <w:tcPr>
            <w:tcW w:w="60" w:type="dxa"/>
            <w:vAlign w:val="bottom"/>
          </w:tcPr>
          <w:p>
            <w:pPr>
              <w:spacing w:after="0"/>
              <w:rPr>
                <w:sz w:val="12"/>
                <w:szCs w:val="12"/>
                <w:color w:val="auto"/>
              </w:rPr>
            </w:pPr>
          </w:p>
        </w:tc>
        <w:tc>
          <w:tcPr>
            <w:tcW w:w="3780" w:type="dxa"/>
            <w:vAlign w:val="bottom"/>
            <w:gridSpan w:val="4"/>
          </w:tcPr>
          <w:p>
            <w:pPr>
              <w:spacing w:after="0" w:line="139"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PACIFIC BIOSCIENCES OF</w:t>
              </w:r>
            </w:hyperlink>
          </w:p>
        </w:tc>
        <w:tc>
          <w:tcPr>
            <w:tcW w:w="182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820" w:type="dxa"/>
            <w:vAlign w:val="bottom"/>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6"/>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1600" w:type="dxa"/>
            <w:vAlign w:val="bottom"/>
            <w:tcBorders>
              <w:bottom w:val="single" w:sz="8" w:color="0000EE"/>
            </w:tcBorders>
          </w:tcPr>
          <w:p>
            <w:pPr>
              <w:spacing w:after="0"/>
              <w:rPr>
                <w:sz w:val="3"/>
                <w:szCs w:val="3"/>
                <w:color w:val="auto"/>
              </w:rPr>
            </w:pPr>
          </w:p>
        </w:tc>
        <w:tc>
          <w:tcPr>
            <w:tcW w:w="700" w:type="dxa"/>
            <w:vAlign w:val="bottom"/>
            <w:tcBorders>
              <w:bottom w:val="single" w:sz="8" w:color="0000EE"/>
            </w:tcBorders>
          </w:tcPr>
          <w:p>
            <w:pPr>
              <w:spacing w:after="0"/>
              <w:rPr>
                <w:sz w:val="3"/>
                <w:szCs w:val="3"/>
                <w:color w:val="auto"/>
              </w:rPr>
            </w:pPr>
          </w:p>
        </w:tc>
        <w:tc>
          <w:tcPr>
            <w:tcW w:w="1340" w:type="dxa"/>
            <w:vAlign w:val="bottom"/>
          </w:tcPr>
          <w:p>
            <w:pPr>
              <w:spacing w:after="0"/>
              <w:rPr>
                <w:sz w:val="3"/>
                <w:szCs w:val="3"/>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46"/>
        </w:trPr>
        <w:tc>
          <w:tcPr>
            <w:tcW w:w="60" w:type="dxa"/>
            <w:vAlign w:val="bottom"/>
          </w:tcPr>
          <w:p>
            <w:pPr>
              <w:spacing w:after="0"/>
              <w:rPr>
                <w:sz w:val="12"/>
                <w:szCs w:val="12"/>
                <w:color w:val="auto"/>
              </w:rPr>
            </w:pPr>
          </w:p>
        </w:tc>
        <w:tc>
          <w:tcPr>
            <w:tcW w:w="3780" w:type="dxa"/>
            <w:vAlign w:val="bottom"/>
            <w:gridSpan w:val="4"/>
            <w:vMerge w:val="restart"/>
          </w:tcPr>
          <w:p>
            <w:pPr>
              <w:spacing w:after="0" w:line="207"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CALIFORNIA, INC. </w:t>
              </w:r>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PACB</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hyperlink>
          </w:p>
        </w:tc>
        <w:tc>
          <w:tcPr>
            <w:tcW w:w="1820" w:type="dxa"/>
            <w:vAlign w:val="bottom"/>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1"/>
        </w:trPr>
        <w:tc>
          <w:tcPr>
            <w:tcW w:w="60" w:type="dxa"/>
            <w:vAlign w:val="bottom"/>
          </w:tcPr>
          <w:p>
            <w:pPr>
              <w:spacing w:after="0"/>
              <w:rPr>
                <w:sz w:val="5"/>
                <w:szCs w:val="5"/>
                <w:color w:val="auto"/>
              </w:rPr>
            </w:pPr>
          </w:p>
        </w:tc>
        <w:tc>
          <w:tcPr>
            <w:tcW w:w="3780" w:type="dxa"/>
            <w:vAlign w:val="bottom"/>
            <w:gridSpan w:val="4"/>
            <w:vMerge w:val="continue"/>
          </w:tcPr>
          <w:p>
            <w:pPr>
              <w:spacing w:after="0"/>
              <w:rPr>
                <w:sz w:val="5"/>
                <w:szCs w:val="5"/>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60" w:type="dxa"/>
            <w:vAlign w:val="bottom"/>
          </w:tcPr>
          <w:p>
            <w:pPr>
              <w:spacing w:after="0"/>
              <w:rPr>
                <w:sz w:val="9"/>
                <w:szCs w:val="9"/>
                <w:color w:val="auto"/>
              </w:rPr>
            </w:pPr>
          </w:p>
        </w:tc>
        <w:tc>
          <w:tcPr>
            <w:tcW w:w="140" w:type="dxa"/>
            <w:vAlign w:val="bottom"/>
            <w:tcBorders>
              <w:top w:val="single" w:sz="8" w:color="0000EE"/>
            </w:tcBorders>
          </w:tcPr>
          <w:p>
            <w:pPr>
              <w:spacing w:after="0"/>
              <w:rPr>
                <w:sz w:val="9"/>
                <w:szCs w:val="9"/>
                <w:color w:val="auto"/>
              </w:rPr>
            </w:pPr>
          </w:p>
        </w:tc>
        <w:tc>
          <w:tcPr>
            <w:tcW w:w="1600" w:type="dxa"/>
            <w:vAlign w:val="bottom"/>
            <w:tcBorders>
              <w:top w:val="single" w:sz="8" w:color="0000EE"/>
            </w:tcBorders>
          </w:tcPr>
          <w:p>
            <w:pPr>
              <w:spacing w:after="0"/>
              <w:rPr>
                <w:sz w:val="9"/>
                <w:szCs w:val="9"/>
                <w:color w:val="auto"/>
              </w:rPr>
            </w:pPr>
          </w:p>
        </w:tc>
        <w:tc>
          <w:tcPr>
            <w:tcW w:w="70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820" w:type="dxa"/>
            <w:vAlign w:val="bottom"/>
            <w:vMerge w:val="continue"/>
          </w:tcPr>
          <w:p>
            <w:pPr>
              <w:spacing w:after="0"/>
              <w:rPr>
                <w:sz w:val="9"/>
                <w:szCs w:val="9"/>
                <w:color w:val="auto"/>
              </w:rPr>
            </w:pPr>
          </w:p>
        </w:tc>
        <w:tc>
          <w:tcPr>
            <w:tcW w:w="14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9"/>
        </w:trPr>
        <w:tc>
          <w:tcPr>
            <w:tcW w:w="6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160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1340" w:type="dxa"/>
            <w:vAlign w:val="bottom"/>
            <w:tcBorders>
              <w:bottom w:val="single" w:sz="8" w:color="2C2C2C"/>
            </w:tcBorders>
          </w:tcPr>
          <w:p>
            <w:pPr>
              <w:spacing w:after="0"/>
              <w:rPr>
                <w:sz w:val="10"/>
                <w:szCs w:val="10"/>
                <w:color w:val="auto"/>
              </w:rPr>
            </w:pPr>
          </w:p>
        </w:tc>
        <w:tc>
          <w:tcPr>
            <w:tcW w:w="1820" w:type="dxa"/>
            <w:vAlign w:val="bottom"/>
          </w:tcPr>
          <w:p>
            <w:pPr>
              <w:ind w:left="580"/>
              <w:spacing w:after="0" w:line="107" w:lineRule="exact"/>
              <w:rPr>
                <w:sz w:val="20"/>
                <w:szCs w:val="20"/>
                <w:color w:val="auto"/>
              </w:rPr>
            </w:pPr>
            <w:r>
              <w:rPr>
                <w:rFonts w:ascii="Arial" w:cs="Arial" w:eastAsia="Arial" w:hAnsi="Arial"/>
                <w:sz w:val="12"/>
                <w:szCs w:val="12"/>
                <w:color w:val="auto"/>
              </w:rPr>
              <w:t>below)</w:t>
            </w:r>
          </w:p>
        </w:tc>
        <w:tc>
          <w:tcPr>
            <w:tcW w:w="1460" w:type="dxa"/>
            <w:vAlign w:val="bottom"/>
          </w:tcPr>
          <w:p>
            <w:pPr>
              <w:ind w:left="320"/>
              <w:spacing w:after="0" w:line="107" w:lineRule="exact"/>
              <w:rPr>
                <w:sz w:val="20"/>
                <w:szCs w:val="20"/>
                <w:color w:val="auto"/>
              </w:rPr>
            </w:pPr>
            <w:r>
              <w:rPr>
                <w:rFonts w:ascii="Arial" w:cs="Arial" w:eastAsia="Arial" w:hAnsi="Arial"/>
                <w:sz w:val="12"/>
                <w:szCs w:val="12"/>
                <w:color w:val="auto"/>
              </w:rPr>
              <w:t>below)</w:t>
            </w:r>
          </w:p>
        </w:tc>
        <w:tc>
          <w:tcPr>
            <w:tcW w:w="0" w:type="dxa"/>
            <w:vAlign w:val="bottom"/>
          </w:tcPr>
          <w:p>
            <w:pPr>
              <w:spacing w:after="0"/>
              <w:rPr>
                <w:sz w:val="1"/>
                <w:szCs w:val="1"/>
                <w:color w:val="auto"/>
              </w:rPr>
            </w:pPr>
          </w:p>
        </w:tc>
      </w:tr>
      <w:tr>
        <w:trPr>
          <w:trHeight w:val="177"/>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3.</w:t>
            </w:r>
          </w:p>
        </w:tc>
        <w:tc>
          <w:tcPr>
            <w:tcW w:w="3640" w:type="dxa"/>
            <w:vAlign w:val="bottom"/>
            <w:gridSpan w:val="3"/>
          </w:tcPr>
          <w:p>
            <w:pPr>
              <w:spacing w:after="0"/>
              <w:rPr>
                <w:sz w:val="20"/>
                <w:szCs w:val="20"/>
                <w:color w:val="auto"/>
              </w:rPr>
            </w:pPr>
            <w:r>
              <w:rPr>
                <w:rFonts w:ascii="Arial" w:cs="Arial" w:eastAsia="Arial" w:hAnsi="Arial"/>
                <w:sz w:val="13"/>
                <w:szCs w:val="13"/>
                <w:color w:val="auto"/>
              </w:rPr>
              <w:t>Date of Earliest Transaction (Month/Day/Year)</w:t>
            </w:r>
          </w:p>
        </w:tc>
        <w:tc>
          <w:tcPr>
            <w:tcW w:w="18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180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06/03/2026</w:t>
            </w:r>
          </w:p>
        </w:tc>
        <w:tc>
          <w:tcPr>
            <w:tcW w:w="7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6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160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1340" w:type="dxa"/>
            <w:vAlign w:val="bottom"/>
            <w:tcBorders>
              <w:bottom w:val="single" w:sz="8" w:color="2C2C2C"/>
            </w:tcBorders>
          </w:tcPr>
          <w:p>
            <w:pPr>
              <w:spacing w:after="0"/>
              <w:rPr>
                <w:sz w:val="13"/>
                <w:szCs w:val="13"/>
                <w:color w:val="auto"/>
              </w:rPr>
            </w:pPr>
          </w:p>
        </w:tc>
        <w:tc>
          <w:tcPr>
            <w:tcW w:w="3280" w:type="dxa"/>
            <w:vAlign w:val="bottom"/>
            <w:tcBorders>
              <w:bottom w:val="single" w:sz="8" w:color="2C2C2C"/>
            </w:tcBorders>
            <w:gridSpan w:val="2"/>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40" w:type="dxa"/>
            <w:vAlign w:val="bottom"/>
            <w:gridSpan w:val="3"/>
          </w:tcPr>
          <w:p>
            <w:pPr>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1" w:lineRule="exact"/>
        <w:rPr>
          <w:sz w:val="20"/>
          <w:szCs w:val="20"/>
          <w:color w:val="auto"/>
        </w:rPr>
      </w:pPr>
    </w:p>
    <w:p>
      <w:pPr>
        <w:ind w:left="4440"/>
        <w:spacing w:after="0"/>
        <w:rPr>
          <w:sz w:val="20"/>
          <w:szCs w:val="20"/>
          <w:color w:val="auto"/>
        </w:rPr>
      </w:pPr>
      <w:r>
        <w:rPr>
          <w:rFonts w:ascii="Arial" w:cs="Arial" w:eastAsia="Arial" w:hAnsi="Arial"/>
          <w:sz w:val="13"/>
          <w:szCs w:val="13"/>
          <w:color w:val="auto"/>
        </w:rPr>
        <w:t>Form filed by One Reporting Person</w:t>
      </w:r>
    </w:p>
    <w:p>
      <w:pPr>
        <w:spacing w:after="0" w:line="66" w:lineRule="exact"/>
        <w:rPr>
          <w:sz w:val="20"/>
          <w:szCs w:val="20"/>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2" w:lineRule="exact"/>
        <w:rPr>
          <w:sz w:val="20"/>
          <w:szCs w:val="20"/>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394" w:lineRule="exact"/>
        <w:rPr>
          <w:sz w:val="20"/>
          <w:szCs w:val="20"/>
          <w:color w:val="auto"/>
        </w:rPr>
      </w:pPr>
    </w:p>
    <w:p>
      <w:pPr>
        <w:sectPr>
          <w:pgSz w:w="11900" w:h="16838" w:orient="portrait"/>
          <w:cols w:equalWidth="0" w:num="2">
            <w:col w:w="3520" w:space="320"/>
            <w:col w:w="7240"/>
          </w:cols>
          <w:pgMar w:left="460" w:top="215"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40"/>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20" w:type="dxa"/>
            <w:vAlign w:val="bottom"/>
          </w:tcPr>
          <w:p>
            <w:pPr>
              <w:ind w:left="84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20" w:type="dxa"/>
            <w:vAlign w:val="bottom"/>
            <w:gridSpan w:val="3"/>
          </w:tcPr>
          <w:p>
            <w:pPr>
              <w:ind w:left="60"/>
              <w:spacing w:after="0"/>
              <w:rPr>
                <w:sz w:val="20"/>
                <w:szCs w:val="20"/>
                <w:color w:val="auto"/>
              </w:rPr>
            </w:pPr>
            <w:r>
              <w:rPr>
                <w:rFonts w:ascii="Arial" w:cs="Arial" w:eastAsia="Arial" w:hAnsi="Arial"/>
                <w:sz w:val="11"/>
                <w:szCs w:val="11"/>
                <w:b w:val="1"/>
                <w:bCs w:val="1"/>
                <w:color w:val="auto"/>
              </w:rPr>
              <w:t>Disposed Of (D) (Instr. 3, 4 and 5)</w:t>
            </w: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Form: 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20" w:type="dxa"/>
            <w:vAlign w:val="bottom"/>
          </w:tcPr>
          <w:p>
            <w:pPr>
              <w:ind w:left="84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8"/>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1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940" w:type="dxa"/>
            <w:vAlign w:val="bottom"/>
          </w:tcPr>
          <w:p>
            <w:pPr>
              <w:spacing w:after="0"/>
              <w:rPr>
                <w:sz w:val="5"/>
                <w:szCs w:val="5"/>
                <w:color w:val="auto"/>
              </w:rPr>
            </w:pPr>
          </w:p>
        </w:tc>
        <w:tc>
          <w:tcPr>
            <w:tcW w:w="8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9"/>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52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60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Transaction(s)</w:t>
            </w:r>
          </w:p>
        </w:tc>
        <w:tc>
          <w:tcPr>
            <w:tcW w:w="9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52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40" w:type="dxa"/>
            <w:vAlign w:val="bottom"/>
            <w:vMerge w:val="continue"/>
          </w:tcPr>
          <w:p>
            <w:pPr>
              <w:spacing w:after="0"/>
              <w:rPr>
                <w:sz w:val="7"/>
                <w:szCs w:val="7"/>
                <w:color w:val="auto"/>
              </w:rPr>
            </w:pPr>
          </w:p>
        </w:tc>
        <w:tc>
          <w:tcPr>
            <w:tcW w:w="11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940" w:type="dxa"/>
            <w:vAlign w:val="bottom"/>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p>
      <w:pPr>
        <w:spacing w:after="0" w:line="22"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(e.g., puts, calls, warrants, options, convertible securities)</w:t>
      </w:r>
    </w:p>
    <w:p>
      <w:pPr>
        <w:spacing w:after="0" w:line="117" w:lineRule="exact"/>
        <w:rPr>
          <w:sz w:val="20"/>
          <w:szCs w:val="20"/>
          <w:color w:val="auto"/>
        </w:rPr>
      </w:pPr>
    </w:p>
    <w:tbl>
      <w:tblPr>
        <w:tblLayout w:type="fixed"/>
        <w:tblInd w:w="20" w:type="dxa"/>
        <w:tblCellMar>
          <w:top w:w="0" w:type="dxa"/>
          <w:left w:w="0" w:type="dxa"/>
          <w:bottom w:w="0" w:type="dxa"/>
          <w:right w:w="0" w:type="dxa"/>
        </w:tblCellMar>
      </w:tblPr>
      <w:tr>
        <w:trPr>
          <w:trHeight w:val="126"/>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560" w:type="dxa"/>
            <w:vAlign w:val="bottom"/>
            <w:gridSpan w:val="2"/>
          </w:tcPr>
          <w:p>
            <w:pPr>
              <w:ind w:left="80"/>
              <w:spacing w:after="0"/>
              <w:rPr>
                <w:sz w:val="20"/>
                <w:szCs w:val="20"/>
                <w:color w:val="auto"/>
              </w:rPr>
            </w:pPr>
            <w:r>
              <w:rPr>
                <w:rFonts w:ascii="Arial" w:cs="Arial" w:eastAsia="Arial" w:hAnsi="Arial"/>
                <w:sz w:val="11"/>
                <w:szCs w:val="11"/>
                <w:b w:val="1"/>
                <w:bCs w:val="1"/>
                <w:color w:val="auto"/>
              </w:rPr>
              <w:t>6. Date Exercisable and</w:t>
            </w:r>
          </w:p>
        </w:tc>
        <w:tc>
          <w:tcPr>
            <w:tcW w:w="128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w w:val="98"/>
              </w:rPr>
              <w:t>Derivative</w:t>
            </w:r>
          </w:p>
        </w:tc>
        <w:tc>
          <w:tcPr>
            <w:tcW w:w="220" w:type="dxa"/>
            <w:vAlign w:val="bottom"/>
          </w:tcPr>
          <w:p>
            <w:pPr>
              <w:spacing w:after="0"/>
              <w:rPr>
                <w:sz w:val="10"/>
                <w:szCs w:val="10"/>
                <w:color w:val="auto"/>
              </w:rPr>
            </w:pPr>
          </w:p>
        </w:tc>
        <w:tc>
          <w:tcPr>
            <w:tcW w:w="900" w:type="dxa"/>
            <w:vAlign w:val="bottom"/>
          </w:tcPr>
          <w:p>
            <w:pPr>
              <w:ind w:left="80"/>
              <w:spacing w:after="0"/>
              <w:rPr>
                <w:sz w:val="20"/>
                <w:szCs w:val="20"/>
                <w:color w:val="auto"/>
              </w:rPr>
            </w:pPr>
            <w:r>
              <w:rPr>
                <w:rFonts w:ascii="Arial" w:cs="Arial" w:eastAsia="Arial" w:hAnsi="Arial"/>
                <w:sz w:val="11"/>
                <w:szCs w:val="11"/>
                <w:b w:val="1"/>
                <w:bCs w:val="1"/>
                <w:color w:val="auto"/>
                <w:w w:val="99"/>
              </w:rPr>
              <w:t>Expiration Date</w:t>
            </w:r>
          </w:p>
        </w:tc>
        <w:tc>
          <w:tcPr>
            <w:tcW w:w="660" w:type="dxa"/>
            <w:vAlign w:val="bottom"/>
          </w:tcPr>
          <w:p>
            <w:pPr>
              <w:spacing w:after="0"/>
              <w:rPr>
                <w:sz w:val="10"/>
                <w:szCs w:val="10"/>
                <w:color w:val="auto"/>
              </w:rPr>
            </w:pPr>
          </w:p>
        </w:tc>
        <w:tc>
          <w:tcPr>
            <w:tcW w:w="1280" w:type="dxa"/>
            <w:vAlign w:val="bottom"/>
            <w:gridSpan w:val="2"/>
          </w:tcPr>
          <w:p>
            <w:pPr>
              <w:ind w:left="60"/>
              <w:spacing w:after="0"/>
              <w:rPr>
                <w:sz w:val="20"/>
                <w:szCs w:val="20"/>
                <w:color w:val="auto"/>
              </w:rPr>
            </w:pPr>
            <w:r>
              <w:rPr>
                <w:rFonts w:ascii="Arial" w:cs="Arial" w:eastAsia="Arial" w:hAnsi="Arial"/>
                <w:sz w:val="11"/>
                <w:szCs w:val="11"/>
                <w:b w:val="1"/>
                <w:bCs w:val="1"/>
                <w:color w:val="auto"/>
              </w:rPr>
              <w:t>of Securities</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6"/>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w w:val="98"/>
              </w:rPr>
              <w:t>Securities</w:t>
            </w:r>
          </w:p>
        </w:tc>
        <w:tc>
          <w:tcPr>
            <w:tcW w:w="220" w:type="dxa"/>
            <w:vAlign w:val="bottom"/>
          </w:tcPr>
          <w:p>
            <w:pPr>
              <w:spacing w:after="0"/>
              <w:rPr>
                <w:sz w:val="10"/>
                <w:szCs w:val="10"/>
                <w:color w:val="auto"/>
              </w:rPr>
            </w:pPr>
          </w:p>
        </w:tc>
        <w:tc>
          <w:tcPr>
            <w:tcW w:w="156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9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680" w:type="dxa"/>
            <w:vAlign w:val="bottom"/>
          </w:tcPr>
          <w:p>
            <w:pPr>
              <w:spacing w:after="0"/>
              <w:rPr>
                <w:sz w:val="10"/>
                <w:szCs w:val="10"/>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9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660" w:type="dxa"/>
            <w:vAlign w:val="bottom"/>
          </w:tcPr>
          <w:p>
            <w:pPr>
              <w:spacing w:after="0"/>
              <w:rPr>
                <w:sz w:val="10"/>
                <w:szCs w:val="10"/>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680" w:type="dxa"/>
            <w:vAlign w:val="bottom"/>
          </w:tcPr>
          <w:p>
            <w:pPr>
              <w:spacing w:after="0"/>
              <w:rPr>
                <w:sz w:val="10"/>
                <w:szCs w:val="10"/>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w:t>
            </w:r>
          </w:p>
        </w:tc>
        <w:tc>
          <w:tcPr>
            <w:tcW w:w="9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3, 4 and 5)</w:t>
            </w:r>
          </w:p>
        </w:tc>
        <w:tc>
          <w:tcPr>
            <w:tcW w:w="9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60" w:type="dxa"/>
            <w:vAlign w:val="bottom"/>
          </w:tcPr>
          <w:p>
            <w:pPr>
              <w:spacing w:after="0"/>
              <w:rPr>
                <w:sz w:val="5"/>
                <w:szCs w:val="5"/>
                <w:color w:val="auto"/>
              </w:rPr>
            </w:pPr>
          </w:p>
        </w:tc>
        <w:tc>
          <w:tcPr>
            <w:tcW w:w="9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spacing w:after="0"/>
              <w:rPr>
                <w:sz w:val="10"/>
                <w:szCs w:val="10"/>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0"/>
                <w:szCs w:val="10"/>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20" w:type="dxa"/>
            <w:vAlign w:val="bottom"/>
          </w:tcPr>
          <w:p>
            <w:pPr>
              <w:spacing w:after="0"/>
              <w:rPr>
                <w:sz w:val="20"/>
                <w:szCs w:val="20"/>
                <w:color w:val="auto"/>
              </w:rPr>
            </w:pPr>
            <w:r>
              <w:rPr>
                <w:rFonts w:ascii="Arial" w:cs="Arial" w:eastAsia="Arial" w:hAnsi="Arial"/>
                <w:sz w:val="11"/>
                <w:szCs w:val="11"/>
                <w:b w:val="1"/>
                <w:bCs w:val="1"/>
                <w:color w:val="auto"/>
              </w:rPr>
              <w:t>(D)</w:t>
            </w:r>
          </w:p>
        </w:tc>
        <w:tc>
          <w:tcPr>
            <w:tcW w:w="900" w:type="dxa"/>
            <w:vAlign w:val="bottom"/>
          </w:tcPr>
          <w:p>
            <w:pPr>
              <w:ind w:left="80"/>
              <w:spacing w:after="0"/>
              <w:rPr>
                <w:sz w:val="20"/>
                <w:szCs w:val="20"/>
                <w:color w:val="auto"/>
              </w:rPr>
            </w:pPr>
            <w:r>
              <w:rPr>
                <w:rFonts w:ascii="Arial" w:cs="Arial" w:eastAsia="Arial" w:hAnsi="Arial"/>
                <w:sz w:val="11"/>
                <w:szCs w:val="11"/>
                <w:b w:val="1"/>
                <w:bCs w:val="1"/>
                <w:color w:val="auto"/>
              </w:rPr>
              <w:t>Exercisable</w:t>
            </w:r>
          </w:p>
        </w:tc>
        <w:tc>
          <w:tcPr>
            <w:tcW w:w="66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6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1.58</w:t>
            </w:r>
          </w:p>
        </w:tc>
        <w:tc>
          <w:tcPr>
            <w:tcW w:w="1060" w:type="dxa"/>
            <w:vAlign w:val="bottom"/>
          </w:tcPr>
          <w:p>
            <w:pPr>
              <w:jc w:val="right"/>
              <w:ind w:right="182"/>
              <w:spacing w:after="0"/>
              <w:rPr>
                <w:sz w:val="20"/>
                <w:szCs w:val="20"/>
                <w:color w:val="auto"/>
              </w:rPr>
            </w:pPr>
            <w:r>
              <w:rPr>
                <w:rFonts w:ascii="Times New Roman" w:cs="Times New Roman" w:eastAsia="Times New Roman" w:hAnsi="Times New Roman"/>
                <w:sz w:val="13"/>
                <w:szCs w:val="13"/>
                <w:color w:val="0000FF"/>
              </w:rPr>
              <w:t>06/03/2026</w:t>
            </w:r>
          </w:p>
        </w:tc>
        <w:tc>
          <w:tcPr>
            <w:tcW w:w="1060" w:type="dxa"/>
            <w:vAlign w:val="bottom"/>
          </w:tcPr>
          <w:p>
            <w:pPr>
              <w:spacing w:after="0"/>
              <w:rPr>
                <w:sz w:val="17"/>
                <w:szCs w:val="17"/>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62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223,492</w:t>
            </w:r>
          </w:p>
        </w:tc>
        <w:tc>
          <w:tcPr>
            <w:tcW w:w="220" w:type="dxa"/>
            <w:vAlign w:val="bottom"/>
          </w:tcPr>
          <w:p>
            <w:pPr>
              <w:spacing w:after="0"/>
              <w:rPr>
                <w:sz w:val="17"/>
                <w:szCs w:val="17"/>
                <w:color w:val="auto"/>
              </w:rPr>
            </w:pPr>
          </w:p>
        </w:tc>
        <w:tc>
          <w:tcPr>
            <w:tcW w:w="900" w:type="dxa"/>
            <w:vAlign w:val="bottom"/>
          </w:tcPr>
          <w:p>
            <w:pPr>
              <w:ind w:left="80"/>
              <w:spacing w:after="0" w:line="203" w:lineRule="exact"/>
              <w:rPr>
                <w:sz w:val="20"/>
                <w:szCs w:val="20"/>
                <w:color w:val="auto"/>
              </w:rPr>
            </w:pPr>
            <w:r>
              <w:rPr>
                <w:rFonts w:ascii="Times New Roman" w:cs="Times New Roman" w:eastAsia="Times New Roman" w:hAnsi="Times New Roman"/>
                <w:sz w:val="13"/>
                <w:szCs w:val="13"/>
                <w:color w:val="0000FF"/>
              </w:rPr>
              <w:t>07/03/2026</w:t>
            </w:r>
            <w:r>
              <w:rPr>
                <w:rFonts w:ascii="Times New Roman" w:cs="Times New Roman" w:eastAsia="Times New Roman" w:hAnsi="Times New Roman"/>
                <w:sz w:val="21"/>
                <w:szCs w:val="21"/>
                <w:color w:val="008000"/>
                <w:vertAlign w:val="superscript"/>
              </w:rPr>
              <w:t>(1)</w:t>
            </w:r>
          </w:p>
        </w:tc>
        <w:tc>
          <w:tcPr>
            <w:tcW w:w="66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06/03/2036</w:t>
            </w: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spacing w:after="0"/>
              <w:rPr>
                <w:sz w:val="20"/>
                <w:szCs w:val="20"/>
                <w:color w:val="auto"/>
              </w:rPr>
            </w:pPr>
            <w:r>
              <w:rPr>
                <w:rFonts w:ascii="Times New Roman" w:cs="Times New Roman" w:eastAsia="Times New Roman" w:hAnsi="Times New Roman"/>
                <w:sz w:val="16"/>
                <w:szCs w:val="16"/>
                <w:color w:val="0000FF"/>
              </w:rPr>
              <w:t>223,492</w:t>
            </w:r>
          </w:p>
        </w:tc>
        <w:tc>
          <w:tcPr>
            <w:tcW w:w="660" w:type="dxa"/>
            <w:vAlign w:val="bottom"/>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92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223,492</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680" w:type="dxa"/>
            <w:vAlign w:val="bottom"/>
          </w:tcPr>
          <w:p>
            <w:pPr>
              <w:ind w:left="60"/>
              <w:spacing w:after="0" w:line="90" w:lineRule="exact"/>
              <w:rPr>
                <w:sz w:val="20"/>
                <w:szCs w:val="20"/>
                <w:color w:val="auto"/>
              </w:rPr>
            </w:pPr>
            <w:r>
              <w:rPr>
                <w:rFonts w:ascii="Times New Roman" w:cs="Times New Roman" w:eastAsia="Times New Roman" w:hAnsi="Times New Roman"/>
                <w:sz w:val="9"/>
                <w:szCs w:val="9"/>
                <w:color w:val="0000FF"/>
              </w:rPr>
              <w:t>(right to</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900" w:type="dxa"/>
            <w:vAlign w:val="bottom"/>
          </w:tcPr>
          <w:p>
            <w:pPr>
              <w:spacing w:after="0"/>
              <w:rPr>
                <w:sz w:val="7"/>
                <w:szCs w:val="7"/>
                <w:color w:val="auto"/>
              </w:rPr>
            </w:pPr>
          </w:p>
        </w:tc>
        <w:tc>
          <w:tcPr>
            <w:tcW w:w="660" w:type="dxa"/>
            <w:vAlign w:val="bottom"/>
          </w:tcPr>
          <w:p>
            <w:pPr>
              <w:spacing w:after="0"/>
              <w:rPr>
                <w:sz w:val="7"/>
                <w:szCs w:val="7"/>
                <w:color w:val="auto"/>
              </w:rPr>
            </w:pPr>
          </w:p>
        </w:tc>
        <w:tc>
          <w:tcPr>
            <w:tcW w:w="660" w:type="dxa"/>
            <w:vAlign w:val="bottom"/>
          </w:tcPr>
          <w:p>
            <w:pPr>
              <w:ind w:left="160"/>
              <w:spacing w:after="0" w:line="90" w:lineRule="exact"/>
              <w:rPr>
                <w:sz w:val="20"/>
                <w:szCs w:val="20"/>
                <w:color w:val="auto"/>
              </w:rPr>
            </w:pPr>
            <w:r>
              <w:rPr>
                <w:rFonts w:ascii="Times New Roman" w:cs="Times New Roman" w:eastAsia="Times New Roman" w:hAnsi="Times New Roman"/>
                <w:sz w:val="9"/>
                <w:szCs w:val="9"/>
                <w:color w:val="0000FF"/>
              </w:rPr>
              <w:t>Stock</w:t>
            </w:r>
          </w:p>
        </w:tc>
        <w:tc>
          <w:tcPr>
            <w:tcW w:w="620" w:type="dxa"/>
            <w:vAlign w:val="bottom"/>
          </w:tcPr>
          <w:p>
            <w:pPr>
              <w:spacing w:after="0"/>
              <w:rPr>
                <w:sz w:val="7"/>
                <w:szCs w:val="7"/>
                <w:color w:val="auto"/>
              </w:rPr>
            </w:pPr>
          </w:p>
        </w:tc>
        <w:tc>
          <w:tcPr>
            <w:tcW w:w="660" w:type="dxa"/>
            <w:vAlign w:val="bottom"/>
          </w:tcPr>
          <w:p>
            <w:pPr>
              <w:spacing w:after="0"/>
              <w:rPr>
                <w:sz w:val="7"/>
                <w:szCs w:val="7"/>
                <w:color w:val="auto"/>
              </w:rPr>
            </w:pP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0" w:lineRule="exact"/>
        <w:rPr>
          <w:sz w:val="20"/>
          <w:szCs w:val="20"/>
          <w:color w:val="auto"/>
        </w:rPr>
      </w:pPr>
    </w:p>
    <w:p>
      <w:pPr>
        <w:ind w:left="40" w:right="220" w:hanging="1"/>
        <w:spacing w:after="0" w:line="247" w:lineRule="auto"/>
        <w:tabs>
          <w:tab w:leader="none" w:pos="16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subject to the option will vest monthly over one (1) year, on the same day of the month as the date of grant or, if earlier, on the date of the next annual meeting of the Company's stockholders occurring after the date of grant, provided such Reporting Person continues to serve as a director through the applicable vesting dates.</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126" w:lineRule="exact"/>
        <w:rPr>
          <w:sz w:val="20"/>
          <w:szCs w:val="20"/>
          <w:color w:val="auto"/>
        </w:rPr>
      </w:pPr>
    </w:p>
    <w:tbl>
      <w:tblPr>
        <w:tblLayout w:type="fixed"/>
        <w:tblInd w:w="6600" w:type="dxa"/>
        <w:tblCellMar>
          <w:top w:w="0" w:type="dxa"/>
          <w:left w:w="0" w:type="dxa"/>
          <w:bottom w:w="0" w:type="dxa"/>
          <w:right w:w="0" w:type="dxa"/>
        </w:tblCellMar>
      </w:tblPr>
      <w:tr>
        <w:trPr>
          <w:trHeight w:val="184"/>
        </w:trPr>
        <w:tc>
          <w:tcPr>
            <w:tcW w:w="19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0000FF"/>
              </w:rPr>
              <w:t>/s/ Brett Atkins, Attorney-in-</w:t>
            </w:r>
          </w:p>
        </w:tc>
        <w:tc>
          <w:tcPr>
            <w:tcW w:w="140" w:type="dxa"/>
            <w:vAlign w:val="bottom"/>
          </w:tcPr>
          <w:p>
            <w:pPr>
              <w:spacing w:after="0"/>
              <w:rPr>
                <w:sz w:val="16"/>
                <w:szCs w:val="16"/>
                <w:color w:val="auto"/>
              </w:rPr>
            </w:pPr>
          </w:p>
        </w:tc>
        <w:tc>
          <w:tcPr>
            <w:tcW w:w="9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color w:val="0000FF"/>
                <w:w w:val="98"/>
              </w:rPr>
              <w:t>06/04/2026</w:t>
            </w:r>
          </w:p>
        </w:tc>
        <w:tc>
          <w:tcPr>
            <w:tcW w:w="0" w:type="dxa"/>
            <w:vAlign w:val="bottom"/>
          </w:tcPr>
          <w:p>
            <w:pPr>
              <w:spacing w:after="0"/>
              <w:rPr>
                <w:sz w:val="1"/>
                <w:szCs w:val="1"/>
                <w:color w:val="auto"/>
              </w:rPr>
            </w:pPr>
          </w:p>
        </w:tc>
      </w:tr>
      <w:tr>
        <w:trPr>
          <w:trHeight w:val="81"/>
        </w:trPr>
        <w:tc>
          <w:tcPr>
            <w:tcW w:w="240" w:type="dxa"/>
            <w:vAlign w:val="bottom"/>
            <w:vMerge w:val="restart"/>
          </w:tcPr>
          <w:p>
            <w:pPr>
              <w:spacing w:after="0" w:line="182" w:lineRule="exact"/>
              <w:rPr>
                <w:sz w:val="20"/>
                <w:szCs w:val="20"/>
                <w:color w:val="auto"/>
              </w:rPr>
            </w:pPr>
            <w:r>
              <w:rPr>
                <w:rFonts w:ascii="Times New Roman" w:cs="Times New Roman" w:eastAsia="Times New Roman" w:hAnsi="Times New Roman"/>
                <w:sz w:val="16"/>
                <w:szCs w:val="16"/>
                <w:color w:val="0000FF"/>
                <w:w w:val="91"/>
              </w:rPr>
              <w:t>fact</w:t>
            </w:r>
          </w:p>
        </w:tc>
        <w:tc>
          <w:tcPr>
            <w:tcW w:w="1800" w:type="dxa"/>
            <w:vAlign w:val="bottom"/>
            <w:gridSpan w:val="2"/>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240" w:type="dxa"/>
            <w:vAlign w:val="bottom"/>
            <w:tcBorders>
              <w:bottom w:val="single" w:sz="8" w:color="auto"/>
            </w:tcBorders>
            <w:vMerge w:val="continue"/>
          </w:tcPr>
          <w:p>
            <w:pPr>
              <w:spacing w:after="0"/>
              <w:rPr>
                <w:sz w:val="7"/>
                <w:szCs w:val="7"/>
                <w:color w:val="auto"/>
              </w:rPr>
            </w:pPr>
          </w:p>
        </w:tc>
        <w:tc>
          <w:tcPr>
            <w:tcW w:w="180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20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0" w:lineRule="exact"/>
        <w:rPr>
          <w:sz w:val="20"/>
          <w:szCs w:val="20"/>
          <w:color w:val="auto"/>
        </w:rPr>
      </w:pPr>
    </w:p>
    <w:p>
      <w:pPr>
        <w:jc w:val="both"/>
        <w:ind w:left="40" w:right="3740" w:hanging="1"/>
        <w:spacing w:after="0" w:line="329" w:lineRule="auto"/>
        <w:tabs>
          <w:tab w:leader="none" w:pos="17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222643" TargetMode="External"/><Relationship Id="rId14" Type="http://schemas.openxmlformats.org/officeDocument/2006/relationships/hyperlink" Target="http://www.sec.gov/cgi-bin/browse-edgar?action=getcompany&amp;CIK=00012991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2026-06-04T16:39:20Z</dcterms:created>
  <dcterms:modified xsi:type="dcterms:W3CDTF">2026-06-04T16:39:20Z</dcterms:modified>
</cp:coreProperties>
</file>