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234" w:lineRule="auto"/>
        <w:rPr>
          <w:sz w:val="20"/>
          <w:szCs w:val="20"/>
          <w:color w:val="auto"/>
        </w:rPr>
      </w:pPr>
      <w:r>
        <w:rPr>
          <w:rFonts w:ascii="Arial" w:cs="Arial" w:eastAsia="Arial" w:hAnsi="Arial"/>
          <w:sz w:val="25"/>
          <w:szCs w:val="25"/>
          <w:b w:val="1"/>
          <w:bCs w:val="1"/>
          <w:color w:val="auto"/>
        </w:rPr>
        <w:t>SECURITIES AND EXCHANGE COMMISSION</w:t>
      </w: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105410</wp:posOffset>
            </wp:positionV>
            <wp:extent cx="2263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105410</wp:posOffset>
            </wp:positionV>
            <wp:extent cx="2263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660" w:right="840" w:hanging="2654"/>
        <w:spacing w:after="0" w:line="415" w:lineRule="auto"/>
        <w:tabs>
          <w:tab w:leader="none" w:pos="127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317" w:lineRule="exact"/>
        <w:rPr>
          <w:sz w:val="24"/>
          <w:szCs w:val="24"/>
          <w:color w:val="auto"/>
        </w:rPr>
      </w:pPr>
    </w:p>
    <w:p>
      <w:pPr>
        <w:ind w:left="1260" w:hanging="26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120015</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Pacific Biosciences of California, Inc.</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107315</wp:posOffset>
            </wp:positionV>
            <wp:extent cx="226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7"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840" w:type="dxa"/>
            <w:vAlign w:val="bottom"/>
          </w:tcPr>
          <w:p>
            <w:pPr>
              <w:jc w:val="center"/>
              <w:ind w:left="1708"/>
              <w:spacing w:after="0"/>
              <w:rPr>
                <w:sz w:val="20"/>
                <w:szCs w:val="20"/>
                <w:color w:val="auto"/>
              </w:rPr>
            </w:pPr>
            <w:r>
              <w:rPr>
                <w:rFonts w:ascii="Arial" w:cs="Arial" w:eastAsia="Arial" w:hAnsi="Arial"/>
                <w:sz w:val="14"/>
                <w:szCs w:val="14"/>
                <w:b w:val="1"/>
                <w:bCs w:val="1"/>
                <w:color w:val="auto"/>
                <w:w w:val="94"/>
              </w:rPr>
              <w:t>Delaware</w:t>
            </w:r>
          </w:p>
        </w:tc>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jc w:val="right"/>
              <w:ind w:right="2408"/>
              <w:spacing w:after="0"/>
              <w:rPr>
                <w:sz w:val="20"/>
                <w:szCs w:val="20"/>
                <w:color w:val="auto"/>
              </w:rPr>
            </w:pPr>
            <w:r>
              <w:rPr>
                <w:rFonts w:ascii="Arial" w:cs="Arial" w:eastAsia="Arial" w:hAnsi="Arial"/>
                <w:sz w:val="14"/>
                <w:szCs w:val="14"/>
                <w:b w:val="1"/>
                <w:bCs w:val="1"/>
                <w:color w:val="auto"/>
              </w:rPr>
              <w:t>16-1590339</w:t>
            </w:r>
          </w:p>
        </w:tc>
      </w:tr>
      <w:tr>
        <w:trPr>
          <w:trHeight w:val="148"/>
        </w:trPr>
        <w:tc>
          <w:tcPr>
            <w:tcW w:w="3840" w:type="dxa"/>
            <w:vAlign w:val="bottom"/>
          </w:tcPr>
          <w:p>
            <w:pPr>
              <w:jc w:val="center"/>
              <w:ind w:left="172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jc w:val="center"/>
              <w:ind w:right="17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4"/>
              </w:rPr>
              <w:t>incorporation or organization)</w:t>
            </w:r>
          </w:p>
        </w:tc>
        <w:tc>
          <w:tcPr>
            <w:tcW w:w="4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6"/>
              </w:rPr>
              <w:t>1305 O’Brien Drive</w:t>
            </w:r>
          </w:p>
        </w:tc>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62"/>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7"/>
              </w:rPr>
              <w:t>Menlo Park, CA</w:t>
            </w:r>
          </w:p>
        </w:tc>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jc w:val="right"/>
              <w:ind w:right="2568"/>
              <w:spacing w:after="0"/>
              <w:rPr>
                <w:sz w:val="20"/>
                <w:szCs w:val="20"/>
                <w:color w:val="auto"/>
              </w:rPr>
            </w:pPr>
            <w:r>
              <w:rPr>
                <w:rFonts w:ascii="Arial" w:cs="Arial" w:eastAsia="Arial" w:hAnsi="Arial"/>
                <w:sz w:val="14"/>
                <w:szCs w:val="14"/>
                <w:b w:val="1"/>
                <w:bCs w:val="1"/>
                <w:color w:val="auto"/>
              </w:rPr>
              <w:t>94025</w:t>
            </w:r>
          </w:p>
        </w:tc>
      </w:tr>
      <w:tr>
        <w:trPr>
          <w:trHeight w:val="186"/>
        </w:trPr>
        <w:tc>
          <w:tcPr>
            <w:tcW w:w="740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840" w:type="dxa"/>
            <w:vAlign w:val="bottom"/>
          </w:tcPr>
          <w:p>
            <w:pPr>
              <w:spacing w:after="0"/>
              <w:rPr>
                <w:sz w:val="23"/>
                <w:szCs w:val="23"/>
                <w:color w:val="auto"/>
              </w:rPr>
            </w:pPr>
          </w:p>
        </w:tc>
        <w:tc>
          <w:tcPr>
            <w:tcW w:w="320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(650) 521-8000</w:t>
            </w:r>
          </w:p>
        </w:tc>
        <w:tc>
          <w:tcPr>
            <w:tcW w:w="360" w:type="dxa"/>
            <w:vAlign w:val="bottom"/>
          </w:tcPr>
          <w:p>
            <w:pPr>
              <w:spacing w:after="0"/>
              <w:rPr>
                <w:sz w:val="23"/>
                <w:szCs w:val="23"/>
                <w:color w:val="auto"/>
              </w:rPr>
            </w:pPr>
          </w:p>
        </w:tc>
        <w:tc>
          <w:tcPr>
            <w:tcW w:w="3860" w:type="dxa"/>
            <w:vAlign w:val="bottom"/>
          </w:tcPr>
          <w:p>
            <w:pPr>
              <w:spacing w:after="0"/>
              <w:rPr>
                <w:sz w:val="23"/>
                <w:szCs w:val="23"/>
                <w:color w:val="auto"/>
              </w:rPr>
            </w:pPr>
          </w:p>
        </w:tc>
      </w:tr>
      <w:tr>
        <w:trPr>
          <w:trHeight w:val="186"/>
        </w:trPr>
        <w:tc>
          <w:tcPr>
            <w:tcW w:w="3840" w:type="dxa"/>
            <w:vAlign w:val="bottom"/>
          </w:tcPr>
          <w:p>
            <w:pPr>
              <w:spacing w:after="0"/>
              <w:rPr>
                <w:sz w:val="16"/>
                <w:szCs w:val="16"/>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860" w:type="dxa"/>
            <w:vAlign w:val="bottom"/>
          </w:tcPr>
          <w:p>
            <w:pPr>
              <w:spacing w:after="0"/>
              <w:rPr>
                <w:sz w:val="16"/>
                <w:szCs w:val="16"/>
                <w:color w:val="auto"/>
              </w:rPr>
            </w:pPr>
          </w:p>
        </w:tc>
      </w:tr>
      <w:tr>
        <w:trPr>
          <w:trHeight w:val="147"/>
        </w:trPr>
        <w:tc>
          <w:tcPr>
            <w:tcW w:w="38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r>
      <w:tr>
        <w:trPr>
          <w:trHeight w:val="265"/>
        </w:trPr>
        <w:tc>
          <w:tcPr>
            <w:tcW w:w="3840" w:type="dxa"/>
            <w:vAlign w:val="bottom"/>
          </w:tcPr>
          <w:p>
            <w:pPr>
              <w:spacing w:after="0"/>
              <w:rPr>
                <w:sz w:val="23"/>
                <w:szCs w:val="23"/>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860" w:type="dxa"/>
            <w:vAlign w:val="bottom"/>
          </w:tcPr>
          <w:p>
            <w:pPr>
              <w:spacing w:after="0"/>
              <w:rPr>
                <w:sz w:val="23"/>
                <w:szCs w:val="23"/>
                <w:color w:val="auto"/>
              </w:rPr>
            </w:pPr>
          </w:p>
        </w:tc>
      </w:tr>
      <w:tr>
        <w:trPr>
          <w:trHeight w:val="106"/>
        </w:trPr>
        <w:tc>
          <w:tcPr>
            <w:tcW w:w="38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179"/>
        </w:trPr>
        <w:tc>
          <w:tcPr>
            <w:tcW w:w="3840" w:type="dxa"/>
            <w:vAlign w:val="bottom"/>
            <w:tcBorders>
              <w:left w:val="single" w:sz="8" w:color="auto"/>
              <w:bottom w:val="single" w:sz="8" w:color="auto"/>
            </w:tcBorders>
          </w:tcPr>
          <w:p>
            <w:pPr>
              <w:jc w:val="center"/>
              <w:ind w:left="328"/>
              <w:spacing w:after="0"/>
              <w:rPr>
                <w:sz w:val="20"/>
                <w:szCs w:val="20"/>
                <w:color w:val="auto"/>
              </w:rPr>
            </w:pPr>
            <w:r>
              <w:rPr>
                <w:rFonts w:ascii="Arial" w:cs="Arial" w:eastAsia="Arial" w:hAnsi="Arial"/>
                <w:sz w:val="14"/>
                <w:szCs w:val="14"/>
                <w:color w:val="auto"/>
                <w:w w:val="92"/>
              </w:rPr>
              <w:t>Title of each class</w:t>
            </w:r>
          </w:p>
        </w:tc>
        <w:tc>
          <w:tcPr>
            <w:tcW w:w="42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6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ind w:right="308"/>
              <w:spacing w:after="0"/>
              <w:rPr>
                <w:sz w:val="20"/>
                <w:szCs w:val="20"/>
                <w:color w:val="auto"/>
              </w:rPr>
            </w:pPr>
            <w:r>
              <w:rPr>
                <w:rFonts w:ascii="Arial" w:cs="Arial" w:eastAsia="Arial" w:hAnsi="Arial"/>
                <w:sz w:val="14"/>
                <w:szCs w:val="14"/>
                <w:color w:val="auto"/>
                <w:w w:val="92"/>
              </w:rPr>
              <w:t>Name of each exchange on which registered</w:t>
            </w:r>
          </w:p>
        </w:tc>
      </w:tr>
      <w:tr>
        <w:trPr>
          <w:trHeight w:val="183"/>
        </w:trPr>
        <w:tc>
          <w:tcPr>
            <w:tcW w:w="3840" w:type="dxa"/>
            <w:vAlign w:val="bottom"/>
            <w:tcBorders>
              <w:left w:val="single" w:sz="8" w:color="auto"/>
              <w:bottom w:val="single" w:sz="8" w:color="auto"/>
            </w:tcBorders>
          </w:tcPr>
          <w:p>
            <w:pPr>
              <w:jc w:val="center"/>
              <w:ind w:left="348"/>
              <w:spacing w:after="0"/>
              <w:rPr>
                <w:sz w:val="20"/>
                <w:szCs w:val="20"/>
                <w:color w:val="auto"/>
              </w:rPr>
            </w:pPr>
            <w:r>
              <w:rPr>
                <w:rFonts w:ascii="Arial" w:cs="Arial" w:eastAsia="Arial" w:hAnsi="Arial"/>
                <w:sz w:val="14"/>
                <w:szCs w:val="14"/>
                <w:color w:val="auto"/>
                <w:w w:val="92"/>
              </w:rPr>
              <w:t>Common Stock, par value $0.001 per share</w:t>
            </w:r>
          </w:p>
        </w:tc>
        <w:tc>
          <w:tcPr>
            <w:tcW w:w="42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PACB</w:t>
            </w:r>
          </w:p>
        </w:tc>
        <w:tc>
          <w:tcPr>
            <w:tcW w:w="36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ind w:right="308"/>
              <w:spacing w:after="0"/>
              <w:rPr>
                <w:sz w:val="20"/>
                <w:szCs w:val="20"/>
                <w:color w:val="auto"/>
              </w:rPr>
            </w:pPr>
            <w:r>
              <w:rPr>
                <w:rFonts w:ascii="Arial" w:cs="Arial" w:eastAsia="Arial" w:hAnsi="Arial"/>
                <w:sz w:val="14"/>
                <w:szCs w:val="14"/>
                <w:color w:val="auto"/>
                <w:w w:val="98"/>
              </w:rPr>
              <w:t>The NASDAQ Stock Market LLC</w:t>
            </w:r>
          </w:p>
        </w:tc>
      </w:tr>
    </w:tbl>
    <w:p>
      <w:pPr>
        <w:spacing w:after="0" w:line="292" w:lineRule="exact"/>
        <w:rPr>
          <w:sz w:val="24"/>
          <w:szCs w:val="24"/>
          <w:color w:val="auto"/>
        </w:rPr>
      </w:pPr>
    </w:p>
    <w:p>
      <w:pPr>
        <w:ind w:right="200" w:firstLine="440"/>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98" w:lineRule="exact"/>
        <w:rPr>
          <w:sz w:val="24"/>
          <w:szCs w:val="24"/>
          <w:color w:val="auto"/>
        </w:rPr>
      </w:pPr>
    </w:p>
    <w:p>
      <w:pPr>
        <w:ind w:right="180" w:firstLine="44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T No o</w:t>
      </w:r>
    </w:p>
    <w:p>
      <w:pPr>
        <w:spacing w:after="0" w:line="120" w:lineRule="exact"/>
        <w:rPr>
          <w:sz w:val="24"/>
          <w:szCs w:val="24"/>
          <w:color w:val="auto"/>
        </w:rPr>
      </w:pPr>
    </w:p>
    <w:p>
      <w:pPr>
        <w:ind w:right="4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224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180" w:type="dxa"/>
            <w:vAlign w:val="bottom"/>
          </w:tcPr>
          <w:p>
            <w:pPr>
              <w:ind w:left="660"/>
              <w:spacing w:after="0"/>
              <w:rPr>
                <w:sz w:val="20"/>
                <w:szCs w:val="20"/>
                <w:color w:val="auto"/>
              </w:rPr>
            </w:pPr>
            <w:r>
              <w:rPr>
                <w:rFonts w:ascii="Arial" w:cs="Arial" w:eastAsia="Arial" w:hAnsi="Arial"/>
                <w:sz w:val="14"/>
                <w:szCs w:val="14"/>
                <w:color w:val="auto"/>
              </w:rPr>
              <w:t>o</w:t>
            </w:r>
          </w:p>
        </w:tc>
        <w:tc>
          <w:tcPr>
            <w:tcW w:w="4780" w:type="dxa"/>
            <w:vAlign w:val="bottom"/>
          </w:tcPr>
          <w:p>
            <w:pPr>
              <w:ind w:left="242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780"/>
              <w:spacing w:after="0"/>
              <w:rPr>
                <w:sz w:val="20"/>
                <w:szCs w:val="20"/>
                <w:color w:val="auto"/>
              </w:rPr>
            </w:pPr>
            <w:r>
              <w:rPr>
                <w:rFonts w:ascii="Arial" w:cs="Arial" w:eastAsia="Arial" w:hAnsi="Arial"/>
                <w:sz w:val="18"/>
                <w:szCs w:val="18"/>
                <w:color w:val="auto"/>
              </w:rPr>
              <w:t>o</w:t>
            </w:r>
          </w:p>
        </w:tc>
      </w:tr>
      <w:tr>
        <w:trPr>
          <w:trHeight w:val="338"/>
        </w:trPr>
        <w:tc>
          <w:tcPr>
            <w:tcW w:w="224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180" w:type="dxa"/>
            <w:vAlign w:val="bottom"/>
          </w:tcPr>
          <w:p>
            <w:pPr>
              <w:ind w:left="660"/>
              <w:spacing w:after="0"/>
              <w:rPr>
                <w:sz w:val="20"/>
                <w:szCs w:val="20"/>
                <w:color w:val="auto"/>
              </w:rPr>
            </w:pPr>
            <w:r>
              <w:rPr>
                <w:rFonts w:ascii="Arial" w:cs="Arial" w:eastAsia="Arial" w:hAnsi="Arial"/>
                <w:sz w:val="14"/>
                <w:szCs w:val="14"/>
                <w:color w:val="auto"/>
              </w:rPr>
              <w:t>T</w:t>
            </w:r>
          </w:p>
        </w:tc>
        <w:tc>
          <w:tcPr>
            <w:tcW w:w="4780" w:type="dxa"/>
            <w:vAlign w:val="bottom"/>
          </w:tcPr>
          <w:p>
            <w:pPr>
              <w:ind w:left="2420"/>
              <w:spacing w:after="0"/>
              <w:rPr>
                <w:sz w:val="20"/>
                <w:szCs w:val="20"/>
                <w:color w:val="auto"/>
              </w:rPr>
            </w:pPr>
            <w:r>
              <w:rPr>
                <w:rFonts w:ascii="Arial" w:cs="Arial" w:eastAsia="Arial" w:hAnsi="Arial"/>
                <w:sz w:val="14"/>
                <w:szCs w:val="14"/>
                <w:color w:val="auto"/>
              </w:rPr>
              <w:t>Smaller reporting company</w:t>
            </w:r>
          </w:p>
        </w:tc>
        <w:tc>
          <w:tcPr>
            <w:tcW w:w="1040" w:type="dxa"/>
            <w:vAlign w:val="bottom"/>
          </w:tcPr>
          <w:p>
            <w:pPr>
              <w:ind w:left="780"/>
              <w:spacing w:after="0"/>
              <w:rPr>
                <w:sz w:val="20"/>
                <w:szCs w:val="20"/>
                <w:color w:val="auto"/>
              </w:rPr>
            </w:pPr>
            <w:r>
              <w:rPr>
                <w:rFonts w:ascii="Arial" w:cs="Arial" w:eastAsia="Arial" w:hAnsi="Arial"/>
                <w:sz w:val="14"/>
                <w:szCs w:val="14"/>
                <w:color w:val="auto"/>
              </w:rPr>
              <w:t>T</w:t>
            </w:r>
          </w:p>
        </w:tc>
      </w:tr>
      <w:tr>
        <w:trPr>
          <w:trHeight w:val="270"/>
        </w:trPr>
        <w:tc>
          <w:tcPr>
            <w:tcW w:w="224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3180" w:type="dxa"/>
            <w:vAlign w:val="bottom"/>
          </w:tcPr>
          <w:p>
            <w:pPr>
              <w:ind w:left="660"/>
              <w:spacing w:after="0"/>
              <w:rPr>
                <w:sz w:val="20"/>
                <w:szCs w:val="20"/>
                <w:color w:val="auto"/>
              </w:rPr>
            </w:pPr>
            <w:r>
              <w:rPr>
                <w:rFonts w:ascii="Arial" w:cs="Arial" w:eastAsia="Arial" w:hAnsi="Arial"/>
                <w:sz w:val="14"/>
                <w:szCs w:val="14"/>
                <w:color w:val="auto"/>
              </w:rPr>
              <w:t>o</w:t>
            </w:r>
          </w:p>
        </w:tc>
        <w:tc>
          <w:tcPr>
            <w:tcW w:w="47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86"/>
        </w:trPr>
        <w:tc>
          <w:tcPr>
            <w:tcW w:w="22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firstLine="4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0" w:lineRule="exact"/>
        <w:rPr>
          <w:sz w:val="20"/>
          <w:szCs w:val="20"/>
          <w:color w:val="auto"/>
        </w:rPr>
      </w:pPr>
    </w:p>
    <w:p>
      <w:pPr>
        <w:ind w:left="440" w:right="3120"/>
        <w:spacing w:after="0" w:line="494"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T Number of shares outstanding of the issuer’s common stock as of October 31, 2021: 220,598,363.</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20" w:type="dxa"/>
            <w:vAlign w:val="bottom"/>
            <w:gridSpan w:val="2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8"/>
        </w:trPr>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900" w:type="dxa"/>
            <w:vAlign w:val="bottom"/>
            <w:gridSpan w:val="9"/>
          </w:tcPr>
          <w:p>
            <w:pPr>
              <w:jc w:val="center"/>
              <w:ind w:right="350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gridSpan w:val="10"/>
          </w:tcPr>
          <w:p>
            <w:pPr>
              <w:jc w:val="center"/>
              <w:ind w:right="3240"/>
              <w:spacing w:after="0"/>
              <w:rPr>
                <w:sz w:val="20"/>
                <w:szCs w:val="20"/>
                <w:color w:val="auto"/>
              </w:rPr>
            </w:pPr>
            <w:r>
              <w:rPr>
                <w:rFonts w:ascii="Arial" w:cs="Arial" w:eastAsia="Arial" w:hAnsi="Arial"/>
                <w:sz w:val="18"/>
                <w:szCs w:val="18"/>
                <w:b w:val="1"/>
                <w:bCs w:val="1"/>
                <w:color w:val="auto"/>
              </w:rPr>
              <w:t>PART I. FINANCIAL INFORMATION</w:t>
            </w: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29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Item 1. Financial Statements (unaudited):</w:t>
              </w:r>
            </w:hyperlink>
          </w:p>
        </w:tc>
        <w:tc>
          <w:tcPr>
            <w:tcW w:w="20" w:type="dxa"/>
            <w:vAlign w:val="bottom"/>
            <w:tcBorders>
              <w:bottom w:val="single" w:sz="8" w:color="0000EE"/>
            </w:tcBorders>
          </w:tcPr>
          <w:p>
            <w:pPr>
              <w:spacing w:after="0"/>
              <w:rPr>
                <w:sz w:val="24"/>
                <w:szCs w:val="24"/>
                <w:color w:val="auto"/>
              </w:rPr>
            </w:pPr>
          </w:p>
        </w:tc>
        <w:tc>
          <w:tcPr>
            <w:tcW w:w="7200" w:type="dxa"/>
            <w:vAlign w:val="bottom"/>
            <w:gridSpan w:val="10"/>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8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September 30, 2021 and December 31, 2020</w:t>
              </w:r>
            </w:hyperlink>
          </w:p>
        </w:tc>
        <w:tc>
          <w:tcPr>
            <w:tcW w:w="20" w:type="dxa"/>
            <w:vAlign w:val="bottom"/>
            <w:tcBorders>
              <w:bottom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53"/>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Condensed Consolidated Statements of Operations and Comprehensive Income (Loss) for the Three and Nine Months Ended</w:t>
              </w:r>
            </w:hyperlink>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Borders>
              <w:top w:val="single" w:sz="8" w:color="0000FF"/>
            </w:tcBorders>
            <w:gridSpan w:val="9"/>
          </w:tcPr>
          <w:p>
            <w:pPr>
              <w:spacing w:after="0" w:line="15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September 30, 2021 and 2020</w:t>
              </w:r>
            </w:hyperlink>
          </w:p>
        </w:tc>
        <w:tc>
          <w:tcPr>
            <w:tcW w:w="320" w:type="dxa"/>
            <w:vAlign w:val="bottom"/>
            <w:tcBorders>
              <w:top w:val="single" w:sz="8" w:color="0000FF"/>
            </w:tcBorders>
            <w:vMerge w:val="restart"/>
          </w:tcPr>
          <w:p>
            <w:pPr>
              <w:spacing w:after="0"/>
              <w:rPr>
                <w:sz w:val="14"/>
                <w:szCs w:val="14"/>
                <w:color w:val="auto"/>
              </w:rPr>
            </w:pPr>
          </w:p>
        </w:tc>
        <w:tc>
          <w:tcPr>
            <w:tcW w:w="1500" w:type="dxa"/>
            <w:vAlign w:val="bottom"/>
            <w:tcBorders>
              <w:top w:val="single" w:sz="8" w:color="0000FF"/>
            </w:tcBorders>
            <w:gridSpan w:val="3"/>
            <w:vMerge w:val="restart"/>
          </w:tcPr>
          <w:p>
            <w:pPr>
              <w:spacing w:after="0"/>
              <w:rPr>
                <w:sz w:val="14"/>
                <w:szCs w:val="14"/>
                <w:color w:val="auto"/>
              </w:rPr>
            </w:pPr>
          </w:p>
        </w:tc>
        <w:tc>
          <w:tcPr>
            <w:tcW w:w="600" w:type="dxa"/>
            <w:vAlign w:val="bottom"/>
            <w:tcBorders>
              <w:top w:val="single" w:sz="8" w:color="0000FF"/>
            </w:tcBorders>
            <w:vMerge w:val="restart"/>
          </w:tcPr>
          <w:p>
            <w:pPr>
              <w:spacing w:after="0"/>
              <w:rPr>
                <w:sz w:val="14"/>
                <w:szCs w:val="14"/>
                <w:color w:val="auto"/>
              </w:rPr>
            </w:pPr>
          </w:p>
        </w:tc>
        <w:tc>
          <w:tcPr>
            <w:tcW w:w="20" w:type="dxa"/>
            <w:vAlign w:val="bottom"/>
            <w:tcBorders>
              <w:top w:val="single" w:sz="8" w:color="0000FF"/>
            </w:tcBorders>
            <w:vMerge w:val="restart"/>
          </w:tcPr>
          <w:p>
            <w:pPr>
              <w:spacing w:after="0"/>
              <w:rPr>
                <w:sz w:val="14"/>
                <w:szCs w:val="14"/>
                <w:color w:val="auto"/>
              </w:rPr>
            </w:pPr>
          </w:p>
        </w:tc>
        <w:tc>
          <w:tcPr>
            <w:tcW w:w="2080" w:type="dxa"/>
            <w:vAlign w:val="bottom"/>
            <w:tcBorders>
              <w:top w:val="single" w:sz="8" w:color="0000FF"/>
            </w:tcBorders>
            <w:gridSpan w:val="3"/>
            <w:vMerge w:val="restart"/>
          </w:tcPr>
          <w:p>
            <w:pPr>
              <w:spacing w:after="0"/>
              <w:rPr>
                <w:sz w:val="14"/>
                <w:szCs w:val="14"/>
                <w:color w:val="auto"/>
              </w:rPr>
            </w:pPr>
          </w:p>
        </w:tc>
        <w:tc>
          <w:tcPr>
            <w:tcW w:w="1200" w:type="dxa"/>
            <w:vAlign w:val="bottom"/>
            <w:tcBorders>
              <w:top w:val="single" w:sz="8" w:color="0000FF"/>
            </w:tcBorders>
            <w:vMerge w:val="restart"/>
          </w:tcPr>
          <w:p>
            <w:pPr>
              <w:spacing w:after="0"/>
              <w:rPr>
                <w:sz w:val="14"/>
                <w:szCs w:val="14"/>
                <w:color w:val="auto"/>
              </w:rPr>
            </w:pPr>
          </w:p>
        </w:tc>
        <w:tc>
          <w:tcPr>
            <w:tcW w:w="1160" w:type="dxa"/>
            <w:vAlign w:val="bottom"/>
            <w:tcBorders>
              <w:top w:val="single" w:sz="8" w:color="0000FF"/>
            </w:tcBorders>
            <w:vMerge w:val="restart"/>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gridSpan w:val="2"/>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FF"/>
            </w:tcBorders>
            <w:vMerge w:val="continue"/>
          </w:tcPr>
          <w:p>
            <w:pPr>
              <w:spacing w:after="0"/>
              <w:rPr>
                <w:sz w:val="5"/>
                <w:szCs w:val="5"/>
                <w:color w:val="auto"/>
              </w:rPr>
            </w:pPr>
          </w:p>
        </w:tc>
        <w:tc>
          <w:tcPr>
            <w:tcW w:w="1500" w:type="dxa"/>
            <w:vAlign w:val="bottom"/>
            <w:tcBorders>
              <w:top w:val="single" w:sz="8" w:color="0000FF"/>
            </w:tcBorders>
            <w:gridSpan w:val="3"/>
            <w:vMerge w:val="continue"/>
          </w:tcPr>
          <w:p>
            <w:pPr>
              <w:spacing w:after="0"/>
              <w:rPr>
                <w:sz w:val="5"/>
                <w:szCs w:val="5"/>
                <w:color w:val="auto"/>
              </w:rPr>
            </w:pPr>
          </w:p>
        </w:tc>
        <w:tc>
          <w:tcPr>
            <w:tcW w:w="600" w:type="dxa"/>
            <w:vAlign w:val="bottom"/>
            <w:tcBorders>
              <w:top w:val="single" w:sz="8" w:color="0000FF"/>
            </w:tcBorders>
            <w:vMerge w:val="continue"/>
          </w:tcPr>
          <w:p>
            <w:pPr>
              <w:spacing w:after="0"/>
              <w:rPr>
                <w:sz w:val="5"/>
                <w:szCs w:val="5"/>
                <w:color w:val="auto"/>
              </w:rPr>
            </w:pPr>
          </w:p>
        </w:tc>
        <w:tc>
          <w:tcPr>
            <w:tcW w:w="20" w:type="dxa"/>
            <w:vAlign w:val="bottom"/>
            <w:tcBorders>
              <w:top w:val="single" w:sz="8" w:color="0000FF"/>
            </w:tcBorders>
            <w:vMerge w:val="continue"/>
          </w:tcPr>
          <w:p>
            <w:pPr>
              <w:spacing w:after="0"/>
              <w:rPr>
                <w:sz w:val="5"/>
                <w:szCs w:val="5"/>
                <w:color w:val="auto"/>
              </w:rPr>
            </w:pPr>
          </w:p>
        </w:tc>
        <w:tc>
          <w:tcPr>
            <w:tcW w:w="2080" w:type="dxa"/>
            <w:vAlign w:val="bottom"/>
            <w:tcBorders>
              <w:top w:val="single" w:sz="8" w:color="0000FF"/>
            </w:tcBorders>
            <w:gridSpan w:val="3"/>
            <w:vMerge w:val="continue"/>
          </w:tcPr>
          <w:p>
            <w:pPr>
              <w:spacing w:after="0"/>
              <w:rPr>
                <w:sz w:val="5"/>
                <w:szCs w:val="5"/>
                <w:color w:val="auto"/>
              </w:rPr>
            </w:pPr>
          </w:p>
        </w:tc>
        <w:tc>
          <w:tcPr>
            <w:tcW w:w="1200" w:type="dxa"/>
            <w:vAlign w:val="bottom"/>
            <w:tcBorders>
              <w:top w:val="single" w:sz="8" w:color="0000FF"/>
            </w:tcBorders>
            <w:vMerge w:val="continue"/>
          </w:tcPr>
          <w:p>
            <w:pPr>
              <w:spacing w:after="0"/>
              <w:rPr>
                <w:sz w:val="5"/>
                <w:szCs w:val="5"/>
                <w:color w:val="auto"/>
              </w:rPr>
            </w:pPr>
          </w:p>
        </w:tc>
        <w:tc>
          <w:tcPr>
            <w:tcW w:w="1160" w:type="dxa"/>
            <w:vAlign w:val="bottom"/>
            <w:tcBorders>
              <w:top w:val="single" w:sz="8" w:color="0000FF"/>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gridSpan w:val="22"/>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Condensed Consolidated Statements of Stockholders’ Equity for the Three and Nine Months Ended September 30, 2021 and 2020</w:t>
              </w:r>
            </w:hyperlink>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33"/>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60" w:type="dxa"/>
            <w:vAlign w:val="bottom"/>
            <w:tcBorders>
              <w:top w:val="single" w:sz="8" w:color="0000FF"/>
            </w:tcBorders>
            <w:gridSpan w:val="2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for the NineMonths Ended September 30, 2021 and 2020</w:t>
              </w:r>
            </w:hyperlink>
          </w:p>
        </w:tc>
        <w:tc>
          <w:tcPr>
            <w:tcW w:w="520" w:type="dxa"/>
            <w:vAlign w:val="bottom"/>
          </w:tcPr>
          <w:p>
            <w:pPr>
              <w:spacing w:after="0"/>
              <w:rPr>
                <w:sz w:val="24"/>
                <w:szCs w:val="2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Borders>
              <w:top w:val="single" w:sz="8" w:color="0000FF"/>
            </w:tcBorders>
            <w:gridSpan w:val="13"/>
            <w:vMerge w:val="restart"/>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6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9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0" w:type="dxa"/>
            <w:vAlign w:val="bottom"/>
            <w:tcBorders>
              <w:top w:val="single" w:sz="8" w:color="0000FF"/>
            </w:tcBorders>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Borders>
              <w:bottom w:val="single" w:sz="8" w:color="0000FF"/>
            </w:tcBorders>
            <w:gridSpan w:val="13"/>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3"/>
          </w:tcPr>
          <w:p>
            <w:pPr>
              <w:spacing w:after="0"/>
              <w:rPr>
                <w:sz w:val="24"/>
                <w:szCs w:val="24"/>
                <w:color w:val="auto"/>
              </w:rPr>
            </w:pPr>
          </w:p>
        </w:tc>
        <w:tc>
          <w:tcPr>
            <w:tcW w:w="3200" w:type="dxa"/>
            <w:vAlign w:val="bottom"/>
            <w:gridSpan w:val="4"/>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700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2. Management’s Discussion and Analysis of Financial Condition and Results of Operations</w:t>
              </w:r>
            </w:hyperlink>
          </w:p>
        </w:tc>
        <w:tc>
          <w:tcPr>
            <w:tcW w:w="320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492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Item 3. Quantitative and Qualitative Disclosures About Market Risk</w:t>
              </w:r>
            </w:hyperlink>
          </w:p>
        </w:tc>
        <w:tc>
          <w:tcPr>
            <w:tcW w:w="528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10200" w:type="dxa"/>
            <w:vAlign w:val="bottom"/>
            <w:gridSpan w:val="2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4. 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gridSpan w:val="10"/>
          </w:tcPr>
          <w:p>
            <w:pPr>
              <w:jc w:val="center"/>
              <w:ind w:right="3240"/>
              <w:spacing w:after="0"/>
              <w:rPr>
                <w:sz w:val="20"/>
                <w:szCs w:val="20"/>
                <w:color w:val="auto"/>
              </w:rPr>
            </w:pPr>
            <w:r>
              <w:rPr>
                <w:rFonts w:ascii="Arial" w:cs="Arial" w:eastAsia="Arial" w:hAnsi="Arial"/>
                <w:sz w:val="18"/>
                <w:szCs w:val="18"/>
                <w:b w:val="1"/>
                <w:bCs w:val="1"/>
                <w:color w:val="auto"/>
              </w:rPr>
              <w:t>PART II. OTHER INFORMATION</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8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Item 1. Legal Proceedings</w:t>
              </w:r>
            </w:hyperlink>
          </w:p>
        </w:tc>
        <w:tc>
          <w:tcPr>
            <w:tcW w:w="920" w:type="dxa"/>
            <w:vAlign w:val="bottom"/>
            <w:gridSpan w:val="4"/>
          </w:tcPr>
          <w:p>
            <w:pPr>
              <w:spacing w:after="0"/>
              <w:rPr>
                <w:sz w:val="24"/>
                <w:szCs w:val="24"/>
                <w:color w:val="auto"/>
              </w:rPr>
            </w:pPr>
          </w:p>
        </w:tc>
        <w:tc>
          <w:tcPr>
            <w:tcW w:w="2100" w:type="dxa"/>
            <w:vAlign w:val="bottom"/>
            <w:gridSpan w:val="4"/>
          </w:tcPr>
          <w:p>
            <w:pPr>
              <w:spacing w:after="0"/>
              <w:rPr>
                <w:sz w:val="24"/>
                <w:szCs w:val="24"/>
                <w:color w:val="auto"/>
              </w:rPr>
            </w:pPr>
          </w:p>
        </w:tc>
        <w:tc>
          <w:tcPr>
            <w:tcW w:w="530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158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1A. Risk Factors</w:t>
              </w:r>
            </w:hyperlink>
          </w:p>
        </w:tc>
        <w:tc>
          <w:tcPr>
            <w:tcW w:w="20" w:type="dxa"/>
            <w:vAlign w:val="bottom"/>
            <w:tcBorders>
              <w:bottom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5"/>
          </w:tcPr>
          <w:p>
            <w:pPr>
              <w:spacing w:after="0"/>
              <w:rPr>
                <w:sz w:val="24"/>
                <w:szCs w:val="24"/>
                <w:color w:val="auto"/>
              </w:rPr>
            </w:pPr>
          </w:p>
        </w:tc>
        <w:tc>
          <w:tcPr>
            <w:tcW w:w="2100" w:type="dxa"/>
            <w:vAlign w:val="bottom"/>
            <w:gridSpan w:val="4"/>
          </w:tcPr>
          <w:p>
            <w:pPr>
              <w:spacing w:after="0"/>
              <w:rPr>
                <w:sz w:val="24"/>
                <w:szCs w:val="24"/>
                <w:color w:val="auto"/>
              </w:rPr>
            </w:pPr>
          </w:p>
        </w:tc>
        <w:tc>
          <w:tcPr>
            <w:tcW w:w="530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490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Item 2. Unregistered Sales of Equity Securities and Use of Proceeds</w:t>
              </w:r>
            </w:hyperlink>
          </w:p>
        </w:tc>
        <w:tc>
          <w:tcPr>
            <w:tcW w:w="530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28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Item 3. Default Upon Senior Securities</w:t>
              </w:r>
            </w:hyperlink>
          </w:p>
        </w:tc>
        <w:tc>
          <w:tcPr>
            <w:tcW w:w="7400" w:type="dxa"/>
            <w:vAlign w:val="bottom"/>
            <w:gridSpan w:val="1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23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Item 4. Mine Safety Disclosures</w:t>
              </w:r>
            </w:hyperlink>
          </w:p>
        </w:tc>
        <w:tc>
          <w:tcPr>
            <w:tcW w:w="7880" w:type="dxa"/>
            <w:vAlign w:val="bottom"/>
            <w:gridSpan w:val="1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86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Item 5. Other Information</w:t>
              </w:r>
            </w:hyperlink>
          </w:p>
        </w:tc>
        <w:tc>
          <w:tcPr>
            <w:tcW w:w="8340" w:type="dxa"/>
            <w:vAlign w:val="bottom"/>
            <w:gridSpan w:val="1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11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Item 6. Exhibits</w:t>
              </w:r>
            </w:hyperlink>
          </w:p>
        </w:tc>
        <w:tc>
          <w:tcPr>
            <w:tcW w:w="9060" w:type="dxa"/>
            <w:vAlign w:val="bottom"/>
            <w:gridSpan w:val="2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3"/>
        </w:trPr>
        <w:tc>
          <w:tcPr>
            <w:tcW w:w="7020" w:type="dxa"/>
            <w:vAlign w:val="bottom"/>
            <w:gridSpan w:val="18"/>
          </w:tcPr>
          <w:p>
            <w:pPr>
              <w:jc w:val="right"/>
              <w:ind w:right="13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jc w:val="right"/>
              <w:ind w:right="571"/>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jc w:val="right"/>
              <w:ind w:right="571"/>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5100" w:type="dxa"/>
            <w:vAlign w:val="bottom"/>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2020</w:t>
            </w:r>
          </w:p>
        </w:tc>
      </w:tr>
      <w:tr>
        <w:trPr>
          <w:trHeight w:val="182"/>
        </w:trPr>
        <w:tc>
          <w:tcPr>
            <w:tcW w:w="5100" w:type="dxa"/>
            <w:vAlign w:val="bottom"/>
          </w:tcPr>
          <w:p>
            <w:pPr>
              <w:spacing w:after="0" w:line="182" w:lineRule="exact"/>
              <w:rPr>
                <w:sz w:val="20"/>
                <w:szCs w:val="20"/>
                <w:color w:val="auto"/>
              </w:rPr>
            </w:pPr>
            <w:r>
              <w:rPr>
                <w:rFonts w:ascii="Arial" w:cs="Arial" w:eastAsia="Arial" w:hAnsi="Arial"/>
                <w:sz w:val="18"/>
                <w:szCs w:val="18"/>
                <w:b w:val="1"/>
                <w:bCs w:val="1"/>
                <w:color w:val="auto"/>
              </w:rPr>
              <w:t>Assets</w:t>
            </w: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16"/>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Cash and cash equivalents</w:t>
            </w:r>
          </w:p>
        </w:tc>
        <w:tc>
          <w:tcPr>
            <w:tcW w:w="19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425,388</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81,611</w:t>
            </w:r>
          </w:p>
        </w:tc>
      </w:tr>
      <w:tr>
        <w:trPr>
          <w:trHeight w:val="216"/>
        </w:trPr>
        <w:tc>
          <w:tcPr>
            <w:tcW w:w="5100" w:type="dxa"/>
            <w:vAlign w:val="bottom"/>
          </w:tcPr>
          <w:p>
            <w:pPr>
              <w:ind w:left="560"/>
              <w:spacing w:after="0"/>
              <w:rPr>
                <w:sz w:val="20"/>
                <w:szCs w:val="20"/>
                <w:color w:val="auto"/>
              </w:rPr>
            </w:pPr>
            <w:r>
              <w:rPr>
                <w:rFonts w:ascii="Arial" w:cs="Arial" w:eastAsia="Arial" w:hAnsi="Arial"/>
                <w:sz w:val="18"/>
                <w:szCs w:val="18"/>
                <w:color w:val="auto"/>
              </w:rPr>
              <w:t>Investments</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654,502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237,203</w:t>
            </w:r>
          </w:p>
        </w:tc>
      </w:tr>
      <w:tr>
        <w:trPr>
          <w:trHeight w:val="216"/>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receivable</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23,946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16,837</w:t>
            </w:r>
          </w:p>
        </w:tc>
      </w:tr>
      <w:tr>
        <w:trPr>
          <w:trHeight w:val="216"/>
        </w:trPr>
        <w:tc>
          <w:tcPr>
            <w:tcW w:w="5100" w:type="dxa"/>
            <w:vAlign w:val="bottom"/>
          </w:tcPr>
          <w:p>
            <w:pPr>
              <w:ind w:left="560"/>
              <w:spacing w:after="0"/>
              <w:rPr>
                <w:sz w:val="20"/>
                <w:szCs w:val="20"/>
                <w:color w:val="auto"/>
              </w:rPr>
            </w:pPr>
            <w:r>
              <w:rPr>
                <w:rFonts w:ascii="Arial" w:cs="Arial" w:eastAsia="Arial" w:hAnsi="Arial"/>
                <w:sz w:val="18"/>
                <w:szCs w:val="18"/>
                <w:color w:val="auto"/>
              </w:rPr>
              <w:t>Inventory</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18,276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14,230</w:t>
            </w:r>
          </w:p>
        </w:tc>
      </w:tr>
      <w:tr>
        <w:trPr>
          <w:trHeight w:val="216"/>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7,193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4,870</w:t>
            </w:r>
          </w:p>
        </w:tc>
      </w:tr>
      <w:tr>
        <w:trPr>
          <w:trHeight w:val="216"/>
        </w:trPr>
        <w:tc>
          <w:tcPr>
            <w:tcW w:w="51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Short-term restricted cash</w:t>
            </w:r>
          </w:p>
        </w:tc>
        <w:tc>
          <w:tcPr>
            <w:tcW w:w="15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836</w:t>
            </w:r>
          </w:p>
        </w:tc>
      </w:tr>
      <w:tr>
        <w:trPr>
          <w:trHeight w:val="196"/>
        </w:trPr>
        <w:tc>
          <w:tcPr>
            <w:tcW w:w="510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rPr>
              <w:t>Total current assets</w:t>
            </w: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1,129,805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355,587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31,119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24,899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45,862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29,951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Long-term restricted cash</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4,560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3,500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411,206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Goodwill</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411,533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5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43</w:t>
            </w:r>
          </w:p>
        </w:tc>
      </w:tr>
      <w:tr>
        <w:trPr>
          <w:trHeight w:val="223"/>
        </w:trPr>
        <w:tc>
          <w:tcPr>
            <w:tcW w:w="5100" w:type="dxa"/>
            <w:vAlign w:val="bottom"/>
            <w:tcBorders>
              <w:bottom w:val="single" w:sz="8" w:color="CCEEFF"/>
            </w:tcBorders>
          </w:tcPr>
          <w:p>
            <w:pPr>
              <w:ind w:left="880"/>
              <w:spacing w:after="0" w:line="182" w:lineRule="exact"/>
              <w:rPr>
                <w:sz w:val="20"/>
                <w:szCs w:val="20"/>
                <w:color w:val="auto"/>
              </w:rPr>
            </w:pPr>
            <w:r>
              <w:rPr>
                <w:rFonts w:ascii="Arial" w:cs="Arial" w:eastAsia="Arial" w:hAnsi="Arial"/>
                <w:sz w:val="18"/>
                <w:szCs w:val="18"/>
                <w:color w:val="auto"/>
              </w:rPr>
              <w:t>Total assets</w:t>
            </w:r>
          </w:p>
        </w:tc>
        <w:tc>
          <w:tcPr>
            <w:tcW w:w="15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ind w:right="91"/>
              <w:spacing w:after="0" w:line="182" w:lineRule="exact"/>
              <w:rPr>
                <w:sz w:val="20"/>
                <w:szCs w:val="20"/>
                <w:color w:val="auto"/>
              </w:rPr>
            </w:pPr>
            <w:r>
              <w:rPr>
                <w:rFonts w:ascii="Arial" w:cs="Arial" w:eastAsia="Arial" w:hAnsi="Arial"/>
                <w:sz w:val="18"/>
                <w:szCs w:val="18"/>
                <w:color w:val="auto"/>
              </w:rPr>
              <w:t>2,034,155</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ind w:right="71"/>
              <w:spacing w:after="0" w:line="182" w:lineRule="exact"/>
              <w:rPr>
                <w:sz w:val="20"/>
                <w:szCs w:val="20"/>
                <w:color w:val="auto"/>
              </w:rPr>
            </w:pPr>
            <w:r>
              <w:rPr>
                <w:rFonts w:ascii="Arial" w:cs="Arial" w:eastAsia="Arial" w:hAnsi="Arial"/>
                <w:sz w:val="18"/>
                <w:szCs w:val="18"/>
                <w:color w:val="auto"/>
              </w:rPr>
              <w:t>413,980</w:t>
            </w:r>
          </w:p>
        </w:tc>
      </w:tr>
      <w:tr>
        <w:trPr>
          <w:trHeight w:val="169"/>
        </w:trPr>
        <w:tc>
          <w:tcPr>
            <w:tcW w:w="51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19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4,960</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3,579</w:t>
            </w:r>
          </w:p>
        </w:tc>
      </w:tr>
      <w:tr>
        <w:trPr>
          <w:trHeight w:val="230"/>
        </w:trPr>
        <w:tc>
          <w:tcPr>
            <w:tcW w:w="510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30,820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17,350</w:t>
            </w:r>
          </w:p>
        </w:tc>
      </w:tr>
      <w:tr>
        <w:trPr>
          <w:trHeight w:val="216"/>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revenue, current</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9,773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8,722</w:t>
            </w:r>
          </w:p>
        </w:tc>
      </w:tr>
      <w:tr>
        <w:trPr>
          <w:trHeight w:val="216"/>
        </w:trPr>
        <w:tc>
          <w:tcPr>
            <w:tcW w:w="5100" w:type="dxa"/>
            <w:vAlign w:val="bottom"/>
          </w:tcPr>
          <w:p>
            <w:pPr>
              <w:ind w:left="560"/>
              <w:spacing w:after="0"/>
              <w:rPr>
                <w:sz w:val="20"/>
                <w:szCs w:val="20"/>
                <w:color w:val="auto"/>
              </w:rPr>
            </w:pPr>
            <w:r>
              <w:rPr>
                <w:rFonts w:ascii="Arial" w:cs="Arial" w:eastAsia="Arial" w:hAnsi="Arial"/>
                <w:sz w:val="18"/>
                <w:szCs w:val="18"/>
                <w:color w:val="auto"/>
              </w:rPr>
              <w:t>Operating lease liabilities, current</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7,128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4,332</w:t>
            </w:r>
          </w:p>
        </w:tc>
      </w:tr>
      <w:tr>
        <w:trPr>
          <w:trHeight w:val="216"/>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liabilities, current</w:t>
            </w:r>
          </w:p>
        </w:tc>
        <w:tc>
          <w:tcPr>
            <w:tcW w:w="15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2,927</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4,519</w:t>
            </w:r>
          </w:p>
        </w:tc>
      </w:tr>
      <w:tr>
        <w:trPr>
          <w:trHeight w:val="196"/>
        </w:trPr>
        <w:tc>
          <w:tcPr>
            <w:tcW w:w="5100" w:type="dxa"/>
            <w:vAlign w:val="bottom"/>
          </w:tcPr>
          <w:p>
            <w:pPr>
              <w:ind w:left="880"/>
              <w:spacing w:after="0" w:line="196" w:lineRule="exact"/>
              <w:rPr>
                <w:sz w:val="20"/>
                <w:szCs w:val="20"/>
                <w:color w:val="auto"/>
              </w:rPr>
            </w:pPr>
            <w:r>
              <w:rPr>
                <w:rFonts w:ascii="Arial" w:cs="Arial" w:eastAsia="Arial" w:hAnsi="Arial"/>
                <w:sz w:val="18"/>
                <w:szCs w:val="18"/>
                <w:color w:val="auto"/>
              </w:rPr>
              <w:t>Total current liabilities</w:t>
            </w: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55,608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38,502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18,447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1,568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Contingent consideration liability, non-current</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168,574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49,954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37,667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Convertible senior notes, net, non-current</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895,915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non-current</w:t>
            </w:r>
          </w:p>
        </w:tc>
        <w:tc>
          <w:tcPr>
            <w:tcW w:w="15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4,850</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752</w:t>
            </w:r>
          </w:p>
        </w:tc>
      </w:tr>
      <w:tr>
        <w:trPr>
          <w:trHeight w:val="196"/>
        </w:trPr>
        <w:tc>
          <w:tcPr>
            <w:tcW w:w="5100" w:type="dxa"/>
            <w:vAlign w:val="bottom"/>
            <w:tcBorders>
              <w:bottom w:val="single" w:sz="8" w:color="CCEEFF"/>
            </w:tcBorders>
          </w:tcPr>
          <w:p>
            <w:pPr>
              <w:ind w:left="880"/>
              <w:spacing w:after="0" w:line="196" w:lineRule="exact"/>
              <w:rPr>
                <w:sz w:val="20"/>
                <w:szCs w:val="20"/>
                <w:color w:val="auto"/>
              </w:rPr>
            </w:pPr>
            <w:r>
              <w:rPr>
                <w:rFonts w:ascii="Arial" w:cs="Arial" w:eastAsia="Arial" w:hAnsi="Arial"/>
                <w:sz w:val="18"/>
                <w:szCs w:val="18"/>
                <w:color w:val="auto"/>
              </w:rPr>
              <w:t>Total liabilities</w:t>
            </w:r>
          </w:p>
        </w:tc>
        <w:tc>
          <w:tcPr>
            <w:tcW w:w="1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91"/>
              <w:spacing w:after="0" w:line="196" w:lineRule="exact"/>
              <w:rPr>
                <w:sz w:val="20"/>
                <w:szCs w:val="20"/>
                <w:color w:val="auto"/>
              </w:rPr>
            </w:pPr>
            <w:r>
              <w:rPr>
                <w:rFonts w:ascii="Arial" w:cs="Arial" w:eastAsia="Arial" w:hAnsi="Arial"/>
                <w:sz w:val="18"/>
                <w:szCs w:val="18"/>
                <w:color w:val="auto"/>
              </w:rPr>
              <w:t>1,193,348</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78,489</w:t>
            </w:r>
          </w:p>
        </w:tc>
      </w:tr>
      <w:tr>
        <w:trPr>
          <w:trHeight w:val="183"/>
        </w:trPr>
        <w:tc>
          <w:tcPr>
            <w:tcW w:w="5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rPr>
          <w:sz w:val="20"/>
          <w:szCs w:val="20"/>
          <w:color w:val="auto"/>
        </w:rPr>
      </w:pPr>
      <w:r>
        <w:rPr>
          <w:rFonts w:ascii="Arial" w:cs="Arial" w:eastAsia="Arial" w:hAnsi="Arial"/>
          <w:sz w:val="18"/>
          <w:szCs w:val="18"/>
          <w:color w:val="auto"/>
        </w:rPr>
        <w:t>Commitments and contingencies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Preferred stock, $0.001 par value: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Authorized 50,000 shares; No shares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Common stock, $0.001 par value:</w:t>
      </w:r>
    </w:p>
    <w:p>
      <w:pPr>
        <w:ind w:left="560" w:right="740"/>
        <w:spacing w:after="0" w:line="247" w:lineRule="auto"/>
        <w:rPr>
          <w:sz w:val="20"/>
          <w:szCs w:val="20"/>
          <w:color w:val="auto"/>
        </w:rPr>
      </w:pPr>
      <w:r>
        <w:rPr>
          <w:rFonts w:ascii="Arial" w:cs="Arial" w:eastAsia="Arial" w:hAnsi="Arial"/>
          <w:sz w:val="17"/>
          <w:szCs w:val="17"/>
          <w:color w:val="auto"/>
        </w:rPr>
        <w:t>Authorized 1,000,000 shares; issued and outstanding 220,547 shares and 192,294 shares at September 30, 2021 and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Additional paid-in capital</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13"/>
        </w:trPr>
        <w:tc>
          <w:tcPr>
            <w:tcW w:w="1620" w:type="dxa"/>
            <w:vAlign w:val="bottom"/>
          </w:tcPr>
          <w:p>
            <w:pPr>
              <w:jc w:val="right"/>
              <w:ind w:right="750"/>
              <w:spacing w:after="0"/>
              <w:rPr>
                <w:sz w:val="20"/>
                <w:szCs w:val="20"/>
                <w:color w:val="auto"/>
              </w:rPr>
            </w:pPr>
            <w:r>
              <w:rPr>
                <w:rFonts w:ascii="Arial" w:cs="Arial" w:eastAsia="Arial" w:hAnsi="Arial"/>
                <w:sz w:val="18"/>
                <w:szCs w:val="18"/>
                <w:color w:val="auto"/>
              </w:rPr>
              <w:t>221</w:t>
            </w:r>
          </w:p>
        </w:tc>
        <w:tc>
          <w:tcPr>
            <w:tcW w:w="16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324"/>
        </w:trPr>
        <w:tc>
          <w:tcPr>
            <w:tcW w:w="1620" w:type="dxa"/>
            <w:vAlign w:val="bottom"/>
          </w:tcPr>
          <w:p>
            <w:pPr>
              <w:jc w:val="right"/>
              <w:ind w:right="750"/>
              <w:spacing w:after="0"/>
              <w:rPr>
                <w:sz w:val="20"/>
                <w:szCs w:val="20"/>
                <w:color w:val="auto"/>
              </w:rPr>
            </w:pPr>
            <w:r>
              <w:rPr>
                <w:rFonts w:ascii="Arial" w:cs="Arial" w:eastAsia="Arial" w:hAnsi="Arial"/>
                <w:sz w:val="18"/>
                <w:szCs w:val="18"/>
                <w:color w:val="auto"/>
                <w:w w:val="94"/>
              </w:rPr>
              <w:t>1,989,322</w:t>
            </w:r>
          </w:p>
        </w:tc>
        <w:tc>
          <w:tcPr>
            <w:tcW w:w="1620" w:type="dxa"/>
            <w:vAlign w:val="bottom"/>
          </w:tcPr>
          <w:p>
            <w:pPr>
              <w:jc w:val="right"/>
              <w:spacing w:after="0"/>
              <w:rPr>
                <w:sz w:val="20"/>
                <w:szCs w:val="20"/>
                <w:color w:val="auto"/>
              </w:rPr>
            </w:pPr>
            <w:r>
              <w:rPr>
                <w:rFonts w:ascii="Arial" w:cs="Arial" w:eastAsia="Arial" w:hAnsi="Arial"/>
                <w:sz w:val="18"/>
                <w:szCs w:val="18"/>
                <w:color w:val="auto"/>
              </w:rPr>
              <w:t>1,372,083</w:t>
            </w:r>
          </w:p>
        </w:tc>
      </w:tr>
      <w:tr>
        <w:trPr>
          <w:trHeight w:val="270"/>
        </w:trPr>
        <w:tc>
          <w:tcPr>
            <w:tcW w:w="1620" w:type="dxa"/>
            <w:vAlign w:val="bottom"/>
          </w:tcPr>
          <w:p>
            <w:pPr>
              <w:jc w:val="right"/>
              <w:ind w:right="750"/>
              <w:spacing w:after="0"/>
              <w:rPr>
                <w:sz w:val="20"/>
                <w:szCs w:val="20"/>
                <w:color w:val="auto"/>
              </w:rPr>
            </w:pPr>
            <w:r>
              <w:rPr>
                <w:rFonts w:ascii="Arial" w:cs="Arial" w:eastAsia="Arial" w:hAnsi="Arial"/>
                <w:sz w:val="18"/>
                <w:szCs w:val="18"/>
                <w:color w:val="auto"/>
              </w:rPr>
              <w:t>27</w:t>
            </w:r>
          </w:p>
        </w:tc>
        <w:tc>
          <w:tcPr>
            <w:tcW w:w="16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1620" w:type="dxa"/>
            <w:vAlign w:val="bottom"/>
          </w:tcPr>
          <w:p>
            <w:pPr>
              <w:jc w:val="right"/>
              <w:ind w:right="690"/>
              <w:spacing w:after="0"/>
              <w:rPr>
                <w:sz w:val="20"/>
                <w:szCs w:val="20"/>
                <w:color w:val="auto"/>
              </w:rPr>
            </w:pPr>
            <w:r>
              <w:rPr>
                <w:rFonts w:ascii="Arial" w:cs="Arial" w:eastAsia="Arial" w:hAnsi="Arial"/>
                <w:sz w:val="18"/>
                <w:szCs w:val="18"/>
                <w:color w:val="auto"/>
                <w:w w:val="89"/>
              </w:rPr>
              <w:t>(1,148,763)</w:t>
            </w:r>
          </w:p>
        </w:tc>
        <w:tc>
          <w:tcPr>
            <w:tcW w:w="1620" w:type="dxa"/>
            <w:vAlign w:val="bottom"/>
          </w:tcPr>
          <w:p>
            <w:pPr>
              <w:jc w:val="right"/>
              <w:spacing w:after="0"/>
              <w:rPr>
                <w:sz w:val="20"/>
                <w:szCs w:val="20"/>
                <w:color w:val="auto"/>
              </w:rPr>
            </w:pPr>
            <w:r>
              <w:rPr>
                <w:rFonts w:ascii="Arial" w:cs="Arial" w:eastAsia="Arial" w:hAnsi="Arial"/>
                <w:sz w:val="18"/>
                <w:szCs w:val="18"/>
                <w:color w:val="auto"/>
              </w:rPr>
              <w:t>(1,036,869)</w:t>
            </w:r>
          </w:p>
        </w:tc>
      </w:tr>
    </w:tbl>
    <w:p>
      <w:pPr>
        <w:spacing w:after="0" w:line="1" w:lineRule="exact"/>
        <w:rPr>
          <w:sz w:val="20"/>
          <w:szCs w:val="20"/>
          <w:color w:val="auto"/>
        </w:rPr>
      </w:pPr>
    </w:p>
    <w:p>
      <w:pPr>
        <w:sectPr>
          <w:pgSz w:w="11900" w:h="16838" w:orient="portrait"/>
          <w:cols w:equalWidth="0" w:num="2">
            <w:col w:w="7160" w:space="720"/>
            <w:col w:w="336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2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stockholders’ equity</w:t>
            </w:r>
          </w:p>
        </w:tc>
        <w:tc>
          <w:tcPr>
            <w:tcW w:w="144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840,807</w:t>
            </w:r>
          </w:p>
        </w:tc>
        <w:tc>
          <w:tcPr>
            <w:tcW w:w="22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335,491</w:t>
            </w:r>
          </w:p>
        </w:tc>
      </w:tr>
      <w:tr>
        <w:trPr>
          <w:trHeight w:val="277"/>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2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2,034,155</w:t>
            </w: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413,980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jc w:val="right"/>
        <w:ind w:right="23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60"/>
        <w:spacing w:after="0" w:line="239" w:lineRule="auto"/>
        <w:rPr>
          <w:sz w:val="20"/>
          <w:szCs w:val="20"/>
          <w:color w:val="auto"/>
        </w:rPr>
      </w:pPr>
      <w:r>
        <w:rPr>
          <w:rFonts w:ascii="Arial" w:cs="Arial" w:eastAsia="Arial" w:hAnsi="Arial"/>
          <w:sz w:val="14"/>
          <w:szCs w:val="14"/>
          <w:b w:val="1"/>
          <w:bCs w:val="1"/>
          <w:u w:val="single" w:color="auto"/>
          <w:color w:val="auto"/>
        </w:rPr>
        <w:t>(in thousands, except per share amounts)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w:t>
      </w:r>
    </w:p>
    <w:p>
      <w:pPr>
        <w:spacing w:after="0" w:line="7" w:lineRule="exact"/>
        <w:rPr>
          <w:sz w:val="20"/>
          <w:szCs w:val="20"/>
          <w:color w:val="auto"/>
        </w:rPr>
      </w:pPr>
    </w:p>
    <w:p>
      <w:pPr>
        <w:jc w:val="right"/>
        <w:ind w:right="120"/>
        <w:spacing w:after="0"/>
        <w:tabs>
          <w:tab w:leader="none" w:pos="180" w:val="left"/>
        </w:tabs>
        <w:rPr>
          <w:sz w:val="20"/>
          <w:szCs w:val="20"/>
          <w:color w:val="auto"/>
        </w:rPr>
      </w:pPr>
      <w:r>
        <w:rPr>
          <w:rFonts w:ascii="Arial" w:cs="Arial" w:eastAsia="Arial" w:hAnsi="Arial"/>
          <w:sz w:val="18"/>
          <w:szCs w:val="18"/>
          <w:color w:val="auto"/>
        </w:rPr>
        <w:t>Product revenue</w:t>
      </w:r>
      <w:r>
        <w:rPr>
          <w:sz w:val="20"/>
          <w:szCs w:val="20"/>
          <w:color w:val="auto"/>
        </w:rPr>
        <w:tab/>
      </w:r>
      <w:r>
        <w:rPr>
          <w:rFonts w:ascii="Arial" w:cs="Arial" w:eastAsia="Arial" w:hAnsi="Arial"/>
          <w:sz w:val="13"/>
          <w:szCs w:val="13"/>
          <w:color w:val="auto"/>
        </w:rPr>
        <w:t>$</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Service and other revenue</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revenue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 of revenue: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Cost of product revenue</w:t>
      </w:r>
    </w:p>
    <w:p>
      <w:pPr>
        <w:spacing w:after="0" w:line="23" w:lineRule="exact"/>
        <w:rPr>
          <w:sz w:val="20"/>
          <w:szCs w:val="20"/>
          <w:color w:val="auto"/>
        </w:rPr>
      </w:pPr>
    </w:p>
    <w:p>
      <w:pPr>
        <w:ind w:left="440" w:right="340"/>
        <w:spacing w:after="0" w:line="220" w:lineRule="auto"/>
        <w:rPr>
          <w:sz w:val="20"/>
          <w:szCs w:val="20"/>
          <w:color w:val="auto"/>
        </w:rPr>
      </w:pPr>
      <w:r>
        <w:rPr>
          <w:rFonts w:ascii="Arial" w:cs="Arial" w:eastAsia="Arial" w:hAnsi="Arial"/>
          <w:sz w:val="18"/>
          <w:szCs w:val="18"/>
          <w:color w:val="auto"/>
        </w:rPr>
        <w:t>Cost of service and other revenue</w:t>
      </w:r>
    </w:p>
    <w:p>
      <w:pPr>
        <w:ind w:left="440" w:right="220"/>
        <w:spacing w:after="0" w:line="226" w:lineRule="auto"/>
        <w:rPr>
          <w:sz w:val="20"/>
          <w:szCs w:val="20"/>
          <w:color w:val="auto"/>
        </w:rPr>
      </w:pPr>
      <w:r>
        <w:rPr>
          <w:rFonts w:ascii="Arial" w:cs="Arial" w:eastAsia="Arial" w:hAnsi="Arial"/>
          <w:sz w:val="18"/>
          <w:szCs w:val="18"/>
          <w:color w:val="auto"/>
        </w:rPr>
        <w:t>Amortization of intangible assets</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cost of revenue</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Gross profit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expense:</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w:t>
      </w:r>
    </w:p>
    <w:p>
      <w:pPr>
        <w:ind w:left="440"/>
        <w:spacing w:after="0" w:line="219" w:lineRule="auto"/>
        <w:rPr>
          <w:sz w:val="20"/>
          <w:szCs w:val="20"/>
          <w:color w:val="auto"/>
        </w:rPr>
      </w:pPr>
      <w:r>
        <w:rPr>
          <w:rFonts w:ascii="Arial" w:cs="Arial" w:eastAsia="Arial" w:hAnsi="Arial"/>
          <w:sz w:val="18"/>
          <w:szCs w:val="18"/>
          <w:color w:val="auto"/>
        </w:rPr>
        <w:t>development</w:t>
      </w:r>
    </w:p>
    <w:p>
      <w:pPr>
        <w:ind w:left="440"/>
        <w:spacing w:after="0" w:line="219" w:lineRule="auto"/>
        <w:rPr>
          <w:sz w:val="20"/>
          <w:szCs w:val="20"/>
          <w:color w:val="auto"/>
        </w:rPr>
      </w:pPr>
      <w:r>
        <w:rPr>
          <w:rFonts w:ascii="Arial" w:cs="Arial" w:eastAsia="Arial" w:hAnsi="Arial"/>
          <w:sz w:val="18"/>
          <w:szCs w:val="18"/>
          <w:color w:val="auto"/>
        </w:rPr>
        <w:t>Sales, general and</w:t>
      </w:r>
    </w:p>
    <w:p>
      <w:pPr>
        <w:ind w:left="440"/>
        <w:spacing w:after="0" w:line="235" w:lineRule="auto"/>
        <w:rPr>
          <w:sz w:val="20"/>
          <w:szCs w:val="20"/>
          <w:color w:val="auto"/>
        </w:rPr>
      </w:pPr>
      <w:r>
        <w:rPr>
          <w:rFonts w:ascii="Arial" w:cs="Arial" w:eastAsia="Arial" w:hAnsi="Arial"/>
          <w:sz w:val="18"/>
          <w:szCs w:val="18"/>
          <w:color w:val="auto"/>
        </w:rPr>
        <w:t>administrative</w:t>
      </w:r>
    </w:p>
    <w:p>
      <w:pPr>
        <w:jc w:val="center"/>
        <w:ind w:left="60"/>
        <w:spacing w:after="0"/>
        <w:rPr>
          <w:sz w:val="20"/>
          <w:szCs w:val="20"/>
          <w:color w:val="auto"/>
        </w:rPr>
      </w:pPr>
      <w:r>
        <w:rPr>
          <w:rFonts w:ascii="Arial" w:cs="Arial" w:eastAsia="Arial" w:hAnsi="Arial"/>
          <w:sz w:val="18"/>
          <w:szCs w:val="18"/>
          <w:color w:val="auto"/>
        </w:rPr>
        <w:t>Merger-related expenses</w:t>
      </w:r>
    </w:p>
    <w:p>
      <w:pPr>
        <w:ind w:left="760"/>
        <w:spacing w:after="0" w:line="229" w:lineRule="auto"/>
        <w:rPr>
          <w:sz w:val="20"/>
          <w:szCs w:val="20"/>
          <w:color w:val="auto"/>
        </w:rPr>
      </w:pPr>
      <w:r>
        <w:rPr>
          <w:rFonts w:ascii="Arial" w:cs="Arial" w:eastAsia="Arial" w:hAnsi="Arial"/>
          <w:sz w:val="18"/>
          <w:szCs w:val="18"/>
          <w:color w:val="auto"/>
        </w:rPr>
        <w:t>Total operating</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expense</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loss</w:t>
      </w:r>
    </w:p>
    <w:p>
      <w:pPr>
        <w:spacing w:after="0" w:line="23" w:lineRule="exact"/>
        <w:rPr>
          <w:sz w:val="20"/>
          <w:szCs w:val="20"/>
          <w:color w:val="auto"/>
        </w:rPr>
      </w:pPr>
    </w:p>
    <w:p>
      <w:pPr>
        <w:ind w:left="440" w:right="460"/>
        <w:spacing w:after="0" w:line="256" w:lineRule="auto"/>
        <w:rPr>
          <w:sz w:val="20"/>
          <w:szCs w:val="20"/>
          <w:color w:val="auto"/>
        </w:rPr>
      </w:pPr>
      <w:r>
        <w:rPr>
          <w:rFonts w:ascii="Arial" w:cs="Arial" w:eastAsia="Arial" w:hAnsi="Arial"/>
          <w:sz w:val="16"/>
          <w:szCs w:val="16"/>
          <w:color w:val="auto"/>
        </w:rPr>
        <w:t>Gain (loss) from Continuation Advances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w:t>
      </w:r>
    </w:p>
    <w:p>
      <w:pPr>
        <w:spacing w:after="0" w:line="7" w:lineRule="exact"/>
        <w:rPr>
          <w:sz w:val="20"/>
          <w:szCs w:val="20"/>
          <w:color w:val="auto"/>
        </w:rPr>
      </w:pPr>
    </w:p>
    <w:p>
      <w:pPr>
        <w:ind w:left="440" w:right="380"/>
        <w:spacing w:after="0" w:line="220" w:lineRule="auto"/>
        <w:rPr>
          <w:sz w:val="20"/>
          <w:szCs w:val="20"/>
          <w:color w:val="auto"/>
        </w:rPr>
      </w:pPr>
      <w:r>
        <w:rPr>
          <w:rFonts w:ascii="Arial" w:cs="Arial" w:eastAsia="Arial" w:hAnsi="Arial"/>
          <w:sz w:val="18"/>
          <w:szCs w:val="18"/>
          <w:color w:val="auto"/>
        </w:rPr>
        <w:t>Other income (expense), net</w:t>
      </w:r>
    </w:p>
    <w:p>
      <w:pPr>
        <w:ind w:left="120" w:right="680"/>
        <w:spacing w:after="0" w:line="226" w:lineRule="auto"/>
        <w:rPr>
          <w:sz w:val="20"/>
          <w:szCs w:val="20"/>
          <w:color w:val="auto"/>
        </w:rPr>
      </w:pPr>
      <w:r>
        <w:rPr>
          <w:rFonts w:ascii="Arial" w:cs="Arial" w:eastAsia="Arial" w:hAnsi="Arial"/>
          <w:sz w:val="18"/>
          <w:szCs w:val="18"/>
          <w:color w:val="auto"/>
        </w:rPr>
        <w:t>Loss before benefit from income taxes</w:t>
      </w:r>
    </w:p>
    <w:p>
      <w:pPr>
        <w:spacing w:after="0" w:line="2" w:lineRule="exact"/>
        <w:rPr>
          <w:sz w:val="20"/>
          <w:szCs w:val="20"/>
          <w:color w:val="auto"/>
        </w:rPr>
      </w:pPr>
    </w:p>
    <w:p>
      <w:pPr>
        <w:ind w:left="120" w:right="560"/>
        <w:spacing w:after="0" w:line="257" w:lineRule="auto"/>
        <w:rPr>
          <w:sz w:val="20"/>
          <w:szCs w:val="20"/>
          <w:color w:val="auto"/>
        </w:rPr>
      </w:pPr>
      <w:r>
        <w:rPr>
          <w:rFonts w:ascii="Arial" w:cs="Arial" w:eastAsia="Arial" w:hAnsi="Arial"/>
          <w:sz w:val="18"/>
          <w:szCs w:val="18"/>
          <w:color w:val="auto"/>
        </w:rPr>
        <w:t>Benefit from income taxes Net income (loss)</w:t>
      </w:r>
    </w:p>
    <w:p>
      <w:pPr>
        <w:spacing w:after="0" w:line="1" w:lineRule="exact"/>
        <w:rPr>
          <w:sz w:val="20"/>
          <w:szCs w:val="20"/>
          <w:color w:val="auto"/>
        </w:rPr>
      </w:pPr>
    </w:p>
    <w:p>
      <w:pPr>
        <w:ind w:left="120" w:right="340"/>
        <w:spacing w:after="0" w:line="220" w:lineRule="auto"/>
        <w:rPr>
          <w:sz w:val="20"/>
          <w:szCs w:val="20"/>
          <w:color w:val="auto"/>
        </w:rPr>
      </w:pPr>
      <w:r>
        <w:rPr>
          <w:rFonts w:ascii="Arial" w:cs="Arial" w:eastAsia="Arial" w:hAnsi="Arial"/>
          <w:sz w:val="18"/>
          <w:szCs w:val="18"/>
          <w:color w:val="auto"/>
        </w:rPr>
        <w:t>Other comprehensive income (loss):</w:t>
      </w:r>
    </w:p>
    <w:p>
      <w:pPr>
        <w:ind w:left="440"/>
        <w:spacing w:after="0" w:line="219" w:lineRule="auto"/>
        <w:rPr>
          <w:sz w:val="20"/>
          <w:szCs w:val="20"/>
          <w:color w:val="auto"/>
        </w:rPr>
      </w:pPr>
      <w:r>
        <w:rPr>
          <w:rFonts w:ascii="Arial" w:cs="Arial" w:eastAsia="Arial" w:hAnsi="Arial"/>
          <w:sz w:val="18"/>
          <w:szCs w:val="18"/>
          <w:color w:val="auto"/>
        </w:rPr>
        <w:t>Unrealized income (loss)</w:t>
      </w:r>
    </w:p>
    <w:p>
      <w:pPr>
        <w:ind w:left="440"/>
        <w:spacing w:after="0"/>
        <w:rPr>
          <w:sz w:val="20"/>
          <w:szCs w:val="20"/>
          <w:color w:val="auto"/>
        </w:rPr>
      </w:pPr>
      <w:r>
        <w:rPr>
          <w:rFonts w:ascii="Arial" w:cs="Arial" w:eastAsia="Arial" w:hAnsi="Arial"/>
          <w:sz w:val="18"/>
          <w:szCs w:val="18"/>
          <w:color w:val="auto"/>
        </w:rPr>
        <w:t>on investments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Comprehensive income (loss) $</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income (loss) per share:</w:t>
      </w:r>
    </w:p>
    <w:p>
      <w:pPr>
        <w:spacing w:after="0" w:line="50" w:lineRule="exact"/>
        <w:rPr>
          <w:sz w:val="20"/>
          <w:szCs w:val="20"/>
          <w:color w:val="auto"/>
        </w:rPr>
      </w:pPr>
    </w:p>
    <w:p>
      <w:pPr>
        <w:jc w:val="both"/>
        <w:ind w:left="440"/>
        <w:spacing w:after="0"/>
        <w:tabs>
          <w:tab w:leader="none" w:pos="2360" w:val="left"/>
        </w:tabs>
        <w:rPr>
          <w:sz w:val="20"/>
          <w:szCs w:val="20"/>
          <w:color w:val="auto"/>
        </w:rPr>
      </w:pPr>
      <w:r>
        <w:rPr>
          <w:rFonts w:ascii="Arial" w:cs="Arial" w:eastAsia="Arial" w:hAnsi="Arial"/>
          <w:sz w:val="18"/>
          <w:szCs w:val="18"/>
          <w:color w:val="auto"/>
        </w:rPr>
        <w:t>Basic</w:t>
      </w:r>
      <w:r>
        <w:rPr>
          <w:sz w:val="20"/>
          <w:szCs w:val="20"/>
          <w:color w:val="auto"/>
        </w:rPr>
        <w:tab/>
      </w:r>
      <w:r>
        <w:rPr>
          <w:rFonts w:ascii="Arial" w:cs="Arial" w:eastAsia="Arial" w:hAnsi="Arial"/>
          <w:sz w:val="18"/>
          <w:szCs w:val="18"/>
          <w:color w:val="auto"/>
        </w:rPr>
        <w:t>$</w:t>
      </w:r>
    </w:p>
    <w:p>
      <w:pPr>
        <w:spacing w:after="0" w:line="50" w:lineRule="exact"/>
        <w:rPr>
          <w:sz w:val="20"/>
          <w:szCs w:val="20"/>
          <w:color w:val="auto"/>
        </w:rPr>
      </w:pPr>
    </w:p>
    <w:p>
      <w:pPr>
        <w:jc w:val="both"/>
        <w:ind w:left="440"/>
        <w:spacing w:after="0"/>
        <w:tabs>
          <w:tab w:leader="none" w:pos="2360" w:val="left"/>
        </w:tabs>
        <w:rPr>
          <w:sz w:val="20"/>
          <w:szCs w:val="20"/>
          <w:color w:val="auto"/>
        </w:rPr>
      </w:pPr>
      <w:r>
        <w:rPr>
          <w:rFonts w:ascii="Arial" w:cs="Arial" w:eastAsia="Arial" w:hAnsi="Arial"/>
          <w:sz w:val="18"/>
          <w:szCs w:val="18"/>
          <w:color w:val="auto"/>
        </w:rPr>
        <w:t>Diluted</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color w:val="auto"/>
        </w:rPr>
        <w:t>Weighted average shares outstanding used in computing net income (loss) per share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64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w w:val="98"/>
              </w:rPr>
              <w:t>Three Months Ended September 30,</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Nine Months Ended September 30,</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20" w:type="dxa"/>
            <w:vAlign w:val="bottom"/>
          </w:tcPr>
          <w:p>
            <w:pPr>
              <w:jc w:val="right"/>
              <w:ind w:right="951"/>
              <w:spacing w:after="0"/>
              <w:rPr>
                <w:sz w:val="20"/>
                <w:szCs w:val="20"/>
                <w:color w:val="auto"/>
              </w:rPr>
            </w:pPr>
            <w:r>
              <w:rPr>
                <w:rFonts w:ascii="Arial" w:cs="Arial" w:eastAsia="Arial" w:hAnsi="Arial"/>
                <w:sz w:val="14"/>
                <w:szCs w:val="14"/>
                <w:b w:val="1"/>
                <w:bCs w:val="1"/>
                <w:color w:val="auto"/>
                <w:w w:val="83"/>
              </w:rPr>
              <w:t>2021</w:t>
            </w:r>
          </w:p>
        </w:tc>
        <w:tc>
          <w:tcPr>
            <w:tcW w:w="1320" w:type="dxa"/>
            <w:vAlign w:val="bottom"/>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30,502</w:t>
            </w:r>
          </w:p>
        </w:tc>
        <w:tc>
          <w:tcPr>
            <w:tcW w:w="1320" w:type="dxa"/>
            <w:vAlign w:val="bottom"/>
          </w:tcPr>
          <w:p>
            <w:pPr>
              <w:jc w:val="right"/>
              <w:ind w:right="113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15,749</w:t>
            </w:r>
          </w:p>
        </w:tc>
        <w:tc>
          <w:tcPr>
            <w:tcW w:w="1420" w:type="dxa"/>
            <w:vAlign w:val="bottom"/>
            <w:gridSpan w:val="2"/>
          </w:tcPr>
          <w:p>
            <w:pPr>
              <w:jc w:val="right"/>
              <w:ind w:right="114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82,338</w:t>
            </w:r>
          </w:p>
        </w:tc>
        <w:tc>
          <w:tcPr>
            <w:tcW w:w="40" w:type="dxa"/>
            <w:vAlign w:val="bottom"/>
          </w:tcPr>
          <w:p>
            <w:pPr>
              <w:spacing w:after="0"/>
              <w:rPr>
                <w:sz w:val="24"/>
                <w:szCs w:val="24"/>
                <w:color w:val="auto"/>
              </w:rPr>
            </w:pPr>
          </w:p>
        </w:tc>
        <w:tc>
          <w:tcPr>
            <w:tcW w:w="1300" w:type="dxa"/>
            <w:vAlign w:val="bottom"/>
          </w:tcPr>
          <w:p>
            <w:pPr>
              <w:jc w:val="right"/>
              <w:ind w:right="111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41,798</w:t>
            </w:r>
          </w:p>
        </w:tc>
        <w:tc>
          <w:tcPr>
            <w:tcW w:w="0" w:type="dxa"/>
            <w:vAlign w:val="bottom"/>
          </w:tcPr>
          <w:p>
            <w:pPr>
              <w:spacing w:after="0"/>
              <w:rPr>
                <w:sz w:val="1"/>
                <w:szCs w:val="1"/>
                <w:color w:val="auto"/>
              </w:rPr>
            </w:pPr>
          </w:p>
        </w:tc>
      </w:tr>
      <w:tr>
        <w:trPr>
          <w:trHeight w:val="237"/>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4,385</w:t>
            </w:r>
          </w:p>
        </w:tc>
        <w:tc>
          <w:tcPr>
            <w:tcW w:w="1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12,156</w:t>
            </w:r>
          </w:p>
        </w:tc>
        <w:tc>
          <w:tcPr>
            <w:tcW w:w="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30"/>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34,887</w:t>
            </w:r>
          </w:p>
        </w:tc>
        <w:tc>
          <w:tcPr>
            <w:tcW w:w="132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19,082</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94,494</w:t>
            </w: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51,757</w:t>
            </w:r>
          </w:p>
        </w:tc>
        <w:tc>
          <w:tcPr>
            <w:tcW w:w="0" w:type="dxa"/>
            <w:vAlign w:val="bottom"/>
          </w:tcPr>
          <w:p>
            <w:pPr>
              <w:spacing w:after="0"/>
              <w:rPr>
                <w:sz w:val="1"/>
                <w:szCs w:val="1"/>
                <w:color w:val="auto"/>
              </w:rPr>
            </w:pPr>
          </w:p>
        </w:tc>
      </w:tr>
      <w:tr>
        <w:trPr>
          <w:trHeight w:val="431"/>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15,530</w:t>
            </w:r>
          </w:p>
        </w:tc>
        <w:tc>
          <w:tcPr>
            <w:tcW w:w="132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9,228</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41,449</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22,874</w:t>
            </w:r>
          </w:p>
        </w:tc>
        <w:tc>
          <w:tcPr>
            <w:tcW w:w="0" w:type="dxa"/>
            <w:vAlign w:val="bottom"/>
          </w:tcPr>
          <w:p>
            <w:pPr>
              <w:spacing w:after="0"/>
              <w:rPr>
                <w:sz w:val="1"/>
                <w:szCs w:val="1"/>
                <w:color w:val="auto"/>
              </w:rPr>
            </w:pPr>
          </w:p>
        </w:tc>
      </w:tr>
      <w:tr>
        <w:trPr>
          <w:trHeight w:val="311"/>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3,870</w:t>
            </w:r>
          </w:p>
        </w:tc>
        <w:tc>
          <w:tcPr>
            <w:tcW w:w="132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10,828</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378"/>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123</w:t>
            </w:r>
          </w:p>
        </w:tc>
        <w:tc>
          <w:tcPr>
            <w:tcW w:w="132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320" w:type="dxa"/>
            <w:vAlign w:val="bottom"/>
            <w:vMerge w:val="restart"/>
          </w:tcPr>
          <w:p>
            <w:pPr>
              <w:jc w:val="right"/>
              <w:ind w:right="191"/>
              <w:spacing w:after="0"/>
              <w:rPr>
                <w:sz w:val="20"/>
                <w:szCs w:val="20"/>
                <w:color w:val="auto"/>
              </w:rPr>
            </w:pPr>
            <w:r>
              <w:rPr>
                <w:rFonts w:ascii="Arial" w:cs="Arial" w:eastAsia="Arial" w:hAnsi="Arial"/>
                <w:sz w:val="18"/>
                <w:szCs w:val="18"/>
                <w:color w:val="auto"/>
              </w:rPr>
              <w:t>19,523</w:t>
            </w:r>
          </w:p>
        </w:tc>
        <w:tc>
          <w:tcPr>
            <w:tcW w:w="13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320" w:type="dxa"/>
            <w:vAlign w:val="bottom"/>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12,018</w:t>
            </w: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52,400</w:t>
            </w:r>
          </w:p>
        </w:tc>
        <w:tc>
          <w:tcPr>
            <w:tcW w:w="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30,592</w:t>
            </w:r>
          </w:p>
        </w:tc>
        <w:tc>
          <w:tcPr>
            <w:tcW w:w="0" w:type="dxa"/>
            <w:vAlign w:val="bottom"/>
          </w:tcPr>
          <w:p>
            <w:pPr>
              <w:spacing w:after="0"/>
              <w:rPr>
                <w:sz w:val="1"/>
                <w:szCs w:val="1"/>
                <w:color w:val="auto"/>
              </w:rPr>
            </w:pPr>
          </w:p>
        </w:tc>
      </w:tr>
      <w:tr>
        <w:trPr>
          <w:trHeight w:val="224"/>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15,364</w:t>
            </w:r>
          </w:p>
        </w:tc>
        <w:tc>
          <w:tcPr>
            <w:tcW w:w="132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7,064</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42,094</w:t>
            </w: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21,165</w:t>
            </w:r>
          </w:p>
        </w:tc>
        <w:tc>
          <w:tcPr>
            <w:tcW w:w="0" w:type="dxa"/>
            <w:vAlign w:val="bottom"/>
          </w:tcPr>
          <w:p>
            <w:pPr>
              <w:spacing w:after="0"/>
              <w:rPr>
                <w:sz w:val="1"/>
                <w:szCs w:val="1"/>
                <w:color w:val="auto"/>
              </w:rPr>
            </w:pPr>
          </w:p>
        </w:tc>
      </w:tr>
      <w:tr>
        <w:trPr>
          <w:trHeight w:val="512"/>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27,508</w:t>
            </w:r>
          </w:p>
        </w:tc>
        <w:tc>
          <w:tcPr>
            <w:tcW w:w="132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16,467</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70,323</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46,727</w:t>
            </w:r>
          </w:p>
        </w:tc>
        <w:tc>
          <w:tcPr>
            <w:tcW w:w="0" w:type="dxa"/>
            <w:vAlign w:val="bottom"/>
          </w:tcPr>
          <w:p>
            <w:pPr>
              <w:spacing w:after="0"/>
              <w:rPr>
                <w:sz w:val="1"/>
                <w:szCs w:val="1"/>
                <w:color w:val="auto"/>
              </w:rPr>
            </w:pPr>
          </w:p>
        </w:tc>
      </w:tr>
      <w:tr>
        <w:trPr>
          <w:trHeight w:val="378"/>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31,606</w:t>
            </w:r>
          </w:p>
        </w:tc>
        <w:tc>
          <w:tcPr>
            <w:tcW w:w="132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14,772</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86,804</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54,846</w:t>
            </w:r>
          </w:p>
        </w:tc>
        <w:tc>
          <w:tcPr>
            <w:tcW w:w="0" w:type="dxa"/>
            <w:vAlign w:val="bottom"/>
          </w:tcPr>
          <w:p>
            <w:pPr>
              <w:spacing w:after="0"/>
              <w:rPr>
                <w:sz w:val="1"/>
                <w:szCs w:val="1"/>
                <w:color w:val="auto"/>
              </w:rPr>
            </w:pPr>
          </w:p>
        </w:tc>
      </w:tr>
      <w:tr>
        <w:trPr>
          <w:trHeight w:val="304"/>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30,726</w:t>
            </w:r>
          </w:p>
        </w:tc>
        <w:tc>
          <w:tcPr>
            <w:tcW w:w="1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30,726</w:t>
            </w:r>
          </w:p>
        </w:tc>
        <w:tc>
          <w:tcPr>
            <w:tcW w:w="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89,840</w:t>
            </w:r>
          </w:p>
        </w:tc>
        <w:tc>
          <w:tcPr>
            <w:tcW w:w="132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31,239</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187,853</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101,573</w:t>
            </w:r>
          </w:p>
        </w:tc>
        <w:tc>
          <w:tcPr>
            <w:tcW w:w="0" w:type="dxa"/>
            <w:vAlign w:val="bottom"/>
          </w:tcPr>
          <w:p>
            <w:pPr>
              <w:spacing w:after="0"/>
              <w:rPr>
                <w:sz w:val="1"/>
                <w:szCs w:val="1"/>
                <w:color w:val="auto"/>
              </w:rPr>
            </w:pPr>
          </w:p>
        </w:tc>
      </w:tr>
      <w:tr>
        <w:trPr>
          <w:trHeight w:val="526"/>
        </w:trPr>
        <w:tc>
          <w:tcPr>
            <w:tcW w:w="1320" w:type="dxa"/>
            <w:vAlign w:val="bottom"/>
          </w:tcPr>
          <w:p>
            <w:pPr>
              <w:jc w:val="right"/>
              <w:ind w:right="151"/>
              <w:spacing w:after="0"/>
              <w:rPr>
                <w:sz w:val="20"/>
                <w:szCs w:val="20"/>
                <w:color w:val="auto"/>
              </w:rPr>
            </w:pPr>
            <w:r>
              <w:rPr>
                <w:rFonts w:ascii="Arial" w:cs="Arial" w:eastAsia="Arial" w:hAnsi="Arial"/>
                <w:sz w:val="18"/>
                <w:szCs w:val="18"/>
                <w:color w:val="auto"/>
              </w:rPr>
              <w:t>(74,476)</w:t>
            </w:r>
          </w:p>
        </w:tc>
        <w:tc>
          <w:tcPr>
            <w:tcW w:w="132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(24,175)</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8"/>
              </w:rPr>
              <w:t>(145,759)</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(80,408)</w:t>
            </w:r>
          </w:p>
        </w:tc>
        <w:tc>
          <w:tcPr>
            <w:tcW w:w="0" w:type="dxa"/>
            <w:vAlign w:val="bottom"/>
          </w:tcPr>
          <w:p>
            <w:pPr>
              <w:spacing w:after="0"/>
              <w:rPr>
                <w:sz w:val="1"/>
                <w:szCs w:val="1"/>
                <w:color w:val="auto"/>
              </w:rPr>
            </w:pPr>
          </w:p>
        </w:tc>
      </w:tr>
      <w:tr>
        <w:trPr>
          <w:trHeight w:val="310"/>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(52,000)</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97"/>
        </w:trPr>
        <w:tc>
          <w:tcPr>
            <w:tcW w:w="1320" w:type="dxa"/>
            <w:vAlign w:val="bottom"/>
          </w:tcPr>
          <w:p>
            <w:pPr>
              <w:jc w:val="right"/>
              <w:ind w:right="151"/>
              <w:spacing w:after="0"/>
              <w:rPr>
                <w:sz w:val="20"/>
                <w:szCs w:val="20"/>
                <w:color w:val="auto"/>
              </w:rPr>
            </w:pPr>
            <w:r>
              <w:rPr>
                <w:rFonts w:ascii="Arial" w:cs="Arial" w:eastAsia="Arial" w:hAnsi="Arial"/>
                <w:sz w:val="18"/>
                <w:szCs w:val="18"/>
                <w:color w:val="auto"/>
              </w:rPr>
              <w:t>(3,673)</w:t>
            </w:r>
          </w:p>
        </w:tc>
        <w:tc>
          <w:tcPr>
            <w:tcW w:w="132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(9,051)</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310"/>
        </w:trPr>
        <w:tc>
          <w:tcPr>
            <w:tcW w:w="1320" w:type="dxa"/>
            <w:vAlign w:val="bottom"/>
          </w:tcPr>
          <w:p>
            <w:pPr>
              <w:jc w:val="right"/>
              <w:ind w:right="151"/>
              <w:spacing w:after="0"/>
              <w:rPr>
                <w:sz w:val="20"/>
                <w:szCs w:val="20"/>
                <w:color w:val="auto"/>
              </w:rPr>
            </w:pPr>
            <w:r>
              <w:rPr>
                <w:rFonts w:ascii="Arial" w:cs="Arial" w:eastAsia="Arial" w:hAnsi="Arial"/>
                <w:sz w:val="18"/>
                <w:szCs w:val="18"/>
                <w:color w:val="auto"/>
              </w:rPr>
              <w:t>(133)</w:t>
            </w:r>
          </w:p>
        </w:tc>
        <w:tc>
          <w:tcPr>
            <w:tcW w:w="132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320" w:type="dxa"/>
            <w:vAlign w:val="bottom"/>
          </w:tcPr>
          <w:p>
            <w:pPr>
              <w:jc w:val="right"/>
              <w:ind w:right="151"/>
              <w:spacing w:after="0"/>
              <w:rPr>
                <w:sz w:val="20"/>
                <w:szCs w:val="20"/>
                <w:color w:val="auto"/>
              </w:rPr>
            </w:pPr>
            <w:r>
              <w:rPr>
                <w:rFonts w:ascii="Arial" w:cs="Arial" w:eastAsia="Arial" w:hAnsi="Arial"/>
                <w:sz w:val="18"/>
                <w:szCs w:val="18"/>
                <w:color w:val="auto"/>
              </w:rPr>
              <w:t>(78,282)</w:t>
            </w:r>
          </w:p>
        </w:tc>
        <w:tc>
          <w:tcPr>
            <w:tcW w:w="132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(23,708)</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8"/>
              </w:rPr>
              <w:t>(206,718)</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(45,532)</w:t>
            </w:r>
          </w:p>
        </w:tc>
        <w:tc>
          <w:tcPr>
            <w:tcW w:w="0" w:type="dxa"/>
            <w:vAlign w:val="bottom"/>
          </w:tcPr>
          <w:p>
            <w:pPr>
              <w:spacing w:after="0"/>
              <w:rPr>
                <w:sz w:val="1"/>
                <w:szCs w:val="1"/>
                <w:color w:val="auto"/>
              </w:rPr>
            </w:pPr>
          </w:p>
        </w:tc>
      </w:tr>
      <w:tr>
        <w:trPr>
          <w:trHeight w:val="304"/>
        </w:trPr>
        <w:tc>
          <w:tcPr>
            <w:tcW w:w="1320" w:type="dxa"/>
            <w:vAlign w:val="bottom"/>
          </w:tcPr>
          <w:p>
            <w:pPr>
              <w:jc w:val="right"/>
              <w:ind w:right="151"/>
              <w:spacing w:after="0"/>
              <w:rPr>
                <w:sz w:val="20"/>
                <w:szCs w:val="20"/>
                <w:color w:val="auto"/>
              </w:rPr>
            </w:pPr>
            <w:r>
              <w:rPr>
                <w:rFonts w:ascii="Arial" w:cs="Arial" w:eastAsia="Arial" w:hAnsi="Arial"/>
                <w:sz w:val="18"/>
                <w:szCs w:val="18"/>
                <w:color w:val="auto"/>
              </w:rPr>
              <w:t>(94,824)</w:t>
            </w:r>
          </w:p>
        </w:tc>
        <w:tc>
          <w:tcPr>
            <w:tcW w:w="1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(94,824)</w:t>
            </w:r>
          </w:p>
        </w:tc>
        <w:tc>
          <w:tcPr>
            <w:tcW w:w="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16,542</w:t>
            </w:r>
          </w:p>
        </w:tc>
        <w:tc>
          <w:tcPr>
            <w:tcW w:w="13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(23,708)</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8"/>
              </w:rPr>
              <w:t>(111,894)</w:t>
            </w: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(45,532)</w:t>
            </w:r>
          </w:p>
        </w:tc>
        <w:tc>
          <w:tcPr>
            <w:tcW w:w="0" w:type="dxa"/>
            <w:vAlign w:val="bottom"/>
          </w:tcPr>
          <w:p>
            <w:pPr>
              <w:spacing w:after="0"/>
              <w:rPr>
                <w:sz w:val="1"/>
                <w:szCs w:val="1"/>
                <w:color w:val="auto"/>
              </w:rPr>
            </w:pPr>
          </w:p>
        </w:tc>
      </w:tr>
      <w:tr>
        <w:trPr>
          <w:trHeight w:val="661"/>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33</w:t>
            </w:r>
          </w:p>
        </w:tc>
        <w:tc>
          <w:tcPr>
            <w:tcW w:w="132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81"/>
        </w:trPr>
        <w:tc>
          <w:tcPr>
            <w:tcW w:w="1320" w:type="dxa"/>
            <w:vAlign w:val="bottom"/>
            <w:vMerge w:val="restart"/>
          </w:tcPr>
          <w:p>
            <w:pPr>
              <w:jc w:val="right"/>
              <w:ind w:right="191"/>
              <w:spacing w:after="0"/>
              <w:rPr>
                <w:sz w:val="20"/>
                <w:szCs w:val="20"/>
                <w:color w:val="auto"/>
              </w:rPr>
            </w:pPr>
            <w:r>
              <w:rPr>
                <w:rFonts w:ascii="Arial" w:cs="Arial" w:eastAsia="Arial" w:hAnsi="Arial"/>
                <w:sz w:val="18"/>
                <w:szCs w:val="18"/>
                <w:color w:val="auto"/>
              </w:rPr>
              <w:t>16,575</w:t>
            </w:r>
          </w:p>
        </w:tc>
        <w:tc>
          <w:tcPr>
            <w:tcW w:w="13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320" w:type="dxa"/>
            <w:vAlign w:val="bottom"/>
            <w:vMerge w:val="continue"/>
          </w:tcPr>
          <w:p>
            <w:pPr>
              <w:spacing w:after="0"/>
              <w:rPr>
                <w:sz w:val="19"/>
                <w:szCs w:val="19"/>
                <w:color w:val="auto"/>
              </w:rPr>
            </w:pPr>
          </w:p>
        </w:tc>
        <w:tc>
          <w:tcPr>
            <w:tcW w:w="1320" w:type="dxa"/>
            <w:vAlign w:val="bottom"/>
          </w:tcPr>
          <w:p>
            <w:pPr>
              <w:jc w:val="right"/>
              <w:ind w:right="113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(23,833)</w:t>
            </w:r>
          </w:p>
        </w:tc>
        <w:tc>
          <w:tcPr>
            <w:tcW w:w="1420" w:type="dxa"/>
            <w:vAlign w:val="bottom"/>
            <w:gridSpan w:val="2"/>
          </w:tcPr>
          <w:p>
            <w:pPr>
              <w:jc w:val="right"/>
              <w:ind w:right="114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8"/>
              </w:rPr>
              <w:t>(111,952)</w:t>
            </w:r>
          </w:p>
        </w:tc>
        <w:tc>
          <w:tcPr>
            <w:tcW w:w="40" w:type="dxa"/>
            <w:vAlign w:val="bottom"/>
          </w:tcPr>
          <w:p>
            <w:pPr>
              <w:spacing w:after="0"/>
              <w:rPr>
                <w:sz w:val="19"/>
                <w:szCs w:val="19"/>
                <w:color w:val="auto"/>
              </w:rPr>
            </w:pPr>
          </w:p>
        </w:tc>
        <w:tc>
          <w:tcPr>
            <w:tcW w:w="1300" w:type="dxa"/>
            <w:vAlign w:val="bottom"/>
          </w:tcPr>
          <w:p>
            <w:pPr>
              <w:jc w:val="right"/>
              <w:ind w:right="111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(45,419)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1320" w:type="dxa"/>
            <w:vAlign w:val="bottom"/>
          </w:tcPr>
          <w:p>
            <w:pPr>
              <w:jc w:val="right"/>
              <w:ind w:right="191"/>
              <w:spacing w:after="0"/>
              <w:rPr>
                <w:sz w:val="20"/>
                <w:szCs w:val="20"/>
                <w:color w:val="auto"/>
              </w:rPr>
            </w:pPr>
            <w:r>
              <w:rPr>
                <w:rFonts w:ascii="Arial" w:cs="Arial" w:eastAsia="Arial" w:hAnsi="Arial"/>
                <w:sz w:val="18"/>
                <w:szCs w:val="18"/>
                <w:color w:val="auto"/>
              </w:rPr>
              <w:t>0.08</w:t>
            </w:r>
          </w:p>
        </w:tc>
        <w:tc>
          <w:tcPr>
            <w:tcW w:w="1320" w:type="dxa"/>
            <w:vAlign w:val="bottom"/>
          </w:tcPr>
          <w:p>
            <w:pPr>
              <w:jc w:val="right"/>
              <w:ind w:right="113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1420" w:type="dxa"/>
            <w:vAlign w:val="bottom"/>
            <w:gridSpan w:val="2"/>
          </w:tcPr>
          <w:p>
            <w:pPr>
              <w:jc w:val="right"/>
              <w:ind w:right="114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(0.56)</w:t>
            </w:r>
          </w:p>
        </w:tc>
        <w:tc>
          <w:tcPr>
            <w:tcW w:w="40" w:type="dxa"/>
            <w:vAlign w:val="bottom"/>
          </w:tcPr>
          <w:p>
            <w:pPr>
              <w:spacing w:after="0"/>
              <w:rPr>
                <w:sz w:val="24"/>
                <w:szCs w:val="24"/>
                <w:color w:val="auto"/>
              </w:rPr>
            </w:pPr>
          </w:p>
        </w:tc>
        <w:tc>
          <w:tcPr>
            <w:tcW w:w="1300" w:type="dxa"/>
            <w:vAlign w:val="bottom"/>
          </w:tcPr>
          <w:p>
            <w:pPr>
              <w:jc w:val="right"/>
              <w:ind w:right="111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1320" w:type="dxa"/>
            <w:vAlign w:val="bottom"/>
            <w:vMerge w:val="restart"/>
          </w:tcPr>
          <w:p>
            <w:pPr>
              <w:jc w:val="right"/>
              <w:ind w:right="191"/>
              <w:spacing w:after="0"/>
              <w:rPr>
                <w:sz w:val="20"/>
                <w:szCs w:val="20"/>
                <w:color w:val="auto"/>
              </w:rPr>
            </w:pPr>
            <w:r>
              <w:rPr>
                <w:rFonts w:ascii="Arial" w:cs="Arial" w:eastAsia="Arial" w:hAnsi="Arial"/>
                <w:sz w:val="18"/>
                <w:szCs w:val="18"/>
                <w:color w:val="auto"/>
              </w:rPr>
              <w:t>0.08</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1320" w:type="dxa"/>
            <w:vAlign w:val="bottom"/>
            <w:tcBorders>
              <w:bottom w:val="single" w:sz="8" w:color="auto"/>
            </w:tcBorders>
          </w:tcPr>
          <w:p>
            <w:pPr>
              <w:jc w:val="right"/>
              <w:ind w:right="1134"/>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(0.14)</w:t>
            </w:r>
          </w:p>
        </w:tc>
        <w:tc>
          <w:tcPr>
            <w:tcW w:w="1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ind w:right="11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(0.56)</w:t>
            </w:r>
          </w:p>
        </w:tc>
        <w:tc>
          <w:tcPr>
            <w:tcW w:w="40" w:type="dxa"/>
            <w:vAlign w:val="bottom"/>
          </w:tcPr>
          <w:p>
            <w:pPr>
              <w:spacing w:after="0"/>
              <w:rPr>
                <w:sz w:val="17"/>
                <w:szCs w:val="17"/>
                <w:color w:val="auto"/>
              </w:rPr>
            </w:pPr>
          </w:p>
        </w:tc>
        <w:tc>
          <w:tcPr>
            <w:tcW w:w="1300" w:type="dxa"/>
            <w:vAlign w:val="bottom"/>
            <w:tcBorders>
              <w:bottom w:val="single" w:sz="8" w:color="auto"/>
            </w:tcBorders>
          </w:tcPr>
          <w:p>
            <w:pPr>
              <w:jc w:val="right"/>
              <w:ind w:right="1114"/>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-5271135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-4688205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-4302760</wp:posOffset>
            </wp:positionV>
            <wp:extent cx="7132320" cy="48088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8088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-4979670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-5417185</wp:posOffset>
            </wp:positionV>
            <wp:extent cx="13544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-5605780</wp:posOffset>
            </wp:positionV>
            <wp:extent cx="2785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860" w:type="dxa"/>
            <w:vAlign w:val="bottom"/>
          </w:tcPr>
          <w:p>
            <w:pPr>
              <w:jc w:val="right"/>
              <w:ind w:right="190"/>
              <w:spacing w:after="0"/>
              <w:rPr>
                <w:sz w:val="20"/>
                <w:szCs w:val="20"/>
                <w:color w:val="auto"/>
              </w:rPr>
            </w:pPr>
            <w:r>
              <w:rPr>
                <w:rFonts w:ascii="Arial" w:cs="Arial" w:eastAsia="Arial" w:hAnsi="Arial"/>
                <w:sz w:val="18"/>
                <w:szCs w:val="18"/>
                <w:color w:val="auto"/>
                <w:w w:val="86"/>
              </w:rPr>
              <w:t>202,194</w:t>
            </w:r>
          </w:p>
        </w:tc>
        <w:tc>
          <w:tcPr>
            <w:tcW w:w="2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166,862</w:t>
            </w:r>
          </w:p>
        </w:tc>
        <w:tc>
          <w:tcPr>
            <w:tcW w:w="120" w:type="dxa"/>
            <w:vAlign w:val="bottom"/>
          </w:tcPr>
          <w:p>
            <w:pPr>
              <w:spacing w:after="0"/>
              <w:rPr>
                <w:sz w:val="18"/>
                <w:szCs w:val="18"/>
                <w:color w:val="auto"/>
              </w:rPr>
            </w:pPr>
          </w:p>
        </w:tc>
        <w:tc>
          <w:tcPr>
            <w:tcW w:w="2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198,545</w:t>
            </w:r>
          </w:p>
        </w:tc>
        <w:tc>
          <w:tcPr>
            <w:tcW w:w="40" w:type="dxa"/>
            <w:vAlign w:val="bottom"/>
          </w:tcPr>
          <w:p>
            <w:pPr>
              <w:spacing w:after="0"/>
              <w:rPr>
                <w:sz w:val="18"/>
                <w:szCs w:val="18"/>
                <w:color w:val="auto"/>
              </w:rPr>
            </w:pPr>
          </w:p>
        </w:tc>
        <w:tc>
          <w:tcPr>
            <w:tcW w:w="2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158,195</w:t>
            </w:r>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190"/>
              <w:spacing w:after="0"/>
              <w:rPr>
                <w:sz w:val="20"/>
                <w:szCs w:val="20"/>
                <w:color w:val="auto"/>
              </w:rPr>
            </w:pPr>
            <w:r>
              <w:rPr>
                <w:rFonts w:ascii="Arial" w:cs="Arial" w:eastAsia="Arial" w:hAnsi="Arial"/>
                <w:sz w:val="18"/>
                <w:szCs w:val="18"/>
                <w:color w:val="auto"/>
                <w:w w:val="86"/>
              </w:rPr>
              <w:t>215,127</w:t>
            </w: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0" w:type="dxa"/>
            <w:vAlign w:val="bottom"/>
            <w:vMerge w:val="continue"/>
          </w:tcPr>
          <w:p>
            <w:pPr>
              <w:spacing w:after="0"/>
              <w:rPr>
                <w:sz w:val="14"/>
                <w:szCs w:val="14"/>
                <w:color w:val="auto"/>
              </w:rPr>
            </w:pPr>
          </w:p>
        </w:tc>
        <w:tc>
          <w:tcPr>
            <w:tcW w:w="2140" w:type="dxa"/>
            <w:vAlign w:val="bottom"/>
            <w:tcBorders>
              <w:bottom w:val="single" w:sz="8" w:color="auto"/>
            </w:tcBorders>
          </w:tcPr>
          <w:p>
            <w:pPr>
              <w:jc w:val="right"/>
              <w:ind w:right="90"/>
              <w:spacing w:after="0" w:line="170" w:lineRule="exact"/>
              <w:rPr>
                <w:sz w:val="20"/>
                <w:szCs w:val="20"/>
                <w:color w:val="auto"/>
              </w:rPr>
            </w:pPr>
            <w:r>
              <w:rPr>
                <w:rFonts w:ascii="Arial" w:cs="Arial" w:eastAsia="Arial" w:hAnsi="Arial"/>
                <w:sz w:val="18"/>
                <w:szCs w:val="18"/>
                <w:color w:val="auto"/>
              </w:rPr>
              <w:t>166,862</w:t>
            </w:r>
          </w:p>
        </w:tc>
        <w:tc>
          <w:tcPr>
            <w:tcW w:w="120" w:type="dxa"/>
            <w:vAlign w:val="bottom"/>
          </w:tcPr>
          <w:p>
            <w:pPr>
              <w:spacing w:after="0"/>
              <w:rPr>
                <w:sz w:val="14"/>
                <w:szCs w:val="14"/>
                <w:color w:val="auto"/>
              </w:rPr>
            </w:pPr>
          </w:p>
        </w:tc>
        <w:tc>
          <w:tcPr>
            <w:tcW w:w="218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rPr>
              <w:t>198,545</w:t>
            </w:r>
          </w:p>
        </w:tc>
        <w:tc>
          <w:tcPr>
            <w:tcW w:w="40" w:type="dxa"/>
            <w:vAlign w:val="bottom"/>
          </w:tcPr>
          <w:p>
            <w:pPr>
              <w:spacing w:after="0"/>
              <w:rPr>
                <w:sz w:val="14"/>
                <w:szCs w:val="14"/>
                <w:color w:val="auto"/>
              </w:rPr>
            </w:pPr>
          </w:p>
        </w:tc>
        <w:tc>
          <w:tcPr>
            <w:tcW w:w="214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rPr>
              <w:t>158,195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-170815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720"/>
            <w:col w:w="7940"/>
          </w:cols>
          <w:pgMar w:left="320" w:top="112" w:right="339" w:bottom="1440" w:gutter="0" w:footer="0" w:header="0"/>
          <w:type w:val="continuous"/>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2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Total</w:t>
            </w:r>
          </w:p>
        </w:tc>
      </w:tr>
      <w:tr>
        <w:trPr>
          <w:trHeight w:val="215"/>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Stockholders'</w:t>
            </w:r>
          </w:p>
        </w:tc>
      </w:tr>
      <w:tr>
        <w:trPr>
          <w:trHeight w:val="209"/>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r>
      <w:tr>
        <w:trPr>
          <w:trHeight w:val="196"/>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8"/>
              </w:rPr>
              <w:t>For the three months ended September 30, 2021</w:t>
            </w:r>
          </w:p>
        </w:tc>
        <w:tc>
          <w:tcPr>
            <w:tcW w:w="1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23"/>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June 30, 2021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198,917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1,423,357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(1,165,305)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258,245</w:t>
            </w:r>
          </w:p>
        </w:tc>
      </w:tr>
      <w:tr>
        <w:trPr>
          <w:trHeight w:val="229"/>
        </w:trPr>
        <w:tc>
          <w:tcPr>
            <w:tcW w:w="4240" w:type="dxa"/>
            <w:vAlign w:val="bottom"/>
            <w:gridSpan w:val="3"/>
          </w:tcPr>
          <w:p>
            <w:pPr>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0" w:type="dxa"/>
            <w:vAlign w:val="bottom"/>
            <w:gridSpan w:val="2"/>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16,542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16,542</w:t>
            </w:r>
          </w:p>
        </w:tc>
      </w:tr>
      <w:tr>
        <w:trPr>
          <w:trHeight w:val="230"/>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48"/>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Issuance of common stock in conjunction with equity plans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4,809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4,811</w:t>
            </w:r>
          </w:p>
        </w:tc>
      </w:tr>
      <w:tr>
        <w:trPr>
          <w:trHeight w:val="148"/>
        </w:trPr>
        <w:tc>
          <w:tcPr>
            <w:tcW w:w="4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6"/>
              </w:rPr>
              <w:t>Issuance of common stock in Private Placement, net of issuance costs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294,834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294,845</w:t>
            </w:r>
          </w:p>
        </w:tc>
      </w:tr>
      <w:tr>
        <w:trPr>
          <w:trHeight w:val="229"/>
        </w:trPr>
        <w:tc>
          <w:tcPr>
            <w:tcW w:w="4240" w:type="dxa"/>
            <w:vAlign w:val="bottom"/>
            <w:gridSpan w:val="3"/>
          </w:tcPr>
          <w:p>
            <w:pPr>
              <w:spacing w:after="0"/>
              <w:rPr>
                <w:sz w:val="20"/>
                <w:szCs w:val="20"/>
                <w:color w:val="auto"/>
              </w:rPr>
            </w:pPr>
            <w:r>
              <w:rPr>
                <w:rFonts w:ascii="Arial" w:cs="Arial" w:eastAsia="Arial" w:hAnsi="Arial"/>
                <w:sz w:val="14"/>
                <w:szCs w:val="14"/>
                <w:color w:val="auto"/>
              </w:rPr>
              <w:t>Issuance of common stock in acquisition of Omniome</w:t>
            </w:r>
          </w:p>
        </w:tc>
        <w:tc>
          <w:tcPr>
            <w:tcW w:w="780" w:type="dxa"/>
            <w:vAlign w:val="bottom"/>
          </w:tcPr>
          <w:p>
            <w:pPr>
              <w:jc w:val="right"/>
              <w:spacing w:after="0"/>
              <w:rPr>
                <w:sz w:val="20"/>
                <w:szCs w:val="20"/>
                <w:color w:val="auto"/>
              </w:rPr>
            </w:pPr>
            <w:r>
              <w:rPr>
                <w:rFonts w:ascii="Arial" w:cs="Arial" w:eastAsia="Arial" w:hAnsi="Arial"/>
                <w:sz w:val="14"/>
                <w:szCs w:val="14"/>
                <w:color w:val="auto"/>
              </w:rPr>
              <w:t>8,912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center"/>
              <w:ind w:left="4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237,875</w:t>
            </w: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237,884</w:t>
            </w:r>
          </w:p>
        </w:tc>
      </w:tr>
      <w:tr>
        <w:trPr>
          <w:trHeight w:val="230"/>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28,447</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28,447</w:t>
            </w:r>
          </w:p>
        </w:tc>
      </w:tr>
      <w:tr>
        <w:trPr>
          <w:trHeight w:val="236"/>
        </w:trPr>
        <w:tc>
          <w:tcPr>
            <w:tcW w:w="42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Balance at September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220,547</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1,989,322</w:t>
            </w:r>
          </w:p>
        </w:tc>
        <w:tc>
          <w:tcPr>
            <w:tcW w:w="1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(1,148,763)</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840,807</w:t>
            </w:r>
          </w:p>
        </w:tc>
      </w:tr>
      <w:tr>
        <w:trPr>
          <w:trHeight w:val="183"/>
        </w:trPr>
        <w:tc>
          <w:tcPr>
            <w:tcW w:w="2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6"/>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8"/>
              </w:rPr>
              <w:t>For the three months ended September 30, 2020</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June 30, 2020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154,318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1,129,091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(1,088,096)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41,392</w:t>
            </w:r>
          </w:p>
        </w:tc>
      </w:tr>
      <w:tr>
        <w:trPr>
          <w:trHeight w:val="230"/>
        </w:trPr>
        <w:tc>
          <w:tcPr>
            <w:tcW w:w="4240" w:type="dxa"/>
            <w:vAlign w:val="bottom"/>
            <w:gridSpan w:val="3"/>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0" w:type="dxa"/>
            <w:vAlign w:val="bottom"/>
            <w:gridSpan w:val="2"/>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(23,708)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(23,708)</w:t>
            </w:r>
          </w:p>
        </w:tc>
      </w:tr>
      <w:tr>
        <w:trPr>
          <w:trHeight w:val="229"/>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148"/>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Issuance of common stock in conjunction with equity plans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13,344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13,347</w:t>
            </w:r>
          </w:p>
        </w:tc>
      </w:tr>
      <w:tr>
        <w:trPr>
          <w:trHeight w:val="130"/>
        </w:trPr>
        <w:tc>
          <w:tcPr>
            <w:tcW w:w="42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from underwritten public equity offering,</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of issuance costs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93,598</w:t>
            </w:r>
          </w:p>
        </w:tc>
      </w:tr>
      <w:tr>
        <w:trPr>
          <w:trHeight w:val="229"/>
        </w:trPr>
        <w:tc>
          <w:tcPr>
            <w:tcW w:w="4240" w:type="dxa"/>
            <w:vAlign w:val="bottom"/>
            <w:gridSpan w:val="3"/>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0" w:type="dxa"/>
            <w:vAlign w:val="bottom"/>
            <w:gridSpan w:val="2"/>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4,992</w:t>
            </w:r>
          </w:p>
        </w:tc>
      </w:tr>
      <w:tr>
        <w:trPr>
          <w:trHeight w:val="196"/>
        </w:trPr>
        <w:tc>
          <w:tcPr>
            <w:tcW w:w="4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179,937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1,241,002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(1,111,804)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129,496</w:t>
            </w: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2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w w:val="89"/>
              </w:rPr>
              <w:t>For the nine months ended September 30, 2021</w:t>
            </w:r>
          </w:p>
        </w:tc>
        <w:tc>
          <w:tcPr>
            <w:tcW w:w="142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83"/>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Balance at December 31, 2020</w:t>
            </w:r>
          </w:p>
        </w:tc>
        <w:tc>
          <w:tcPr>
            <w:tcW w:w="780" w:type="dxa"/>
            <w:vAlign w:val="bottom"/>
          </w:tcPr>
          <w:p>
            <w:pPr>
              <w:jc w:val="right"/>
              <w:spacing w:after="0"/>
              <w:rPr>
                <w:sz w:val="20"/>
                <w:szCs w:val="20"/>
                <w:color w:val="auto"/>
              </w:rPr>
            </w:pPr>
            <w:r>
              <w:rPr>
                <w:rFonts w:ascii="Arial" w:cs="Arial" w:eastAsia="Arial" w:hAnsi="Arial"/>
                <w:sz w:val="14"/>
                <w:szCs w:val="14"/>
                <w:color w:val="auto"/>
              </w:rPr>
              <w:t>192,294</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1,372,083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(1,036,869)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335,491</w:t>
            </w:r>
          </w:p>
        </w:tc>
      </w:tr>
      <w:tr>
        <w:trPr>
          <w:trHeight w:val="189"/>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(111,894)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(111,894)</w:t>
            </w: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48"/>
        </w:trPr>
        <w:tc>
          <w:tcPr>
            <w:tcW w:w="4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conjunction with equity plans</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8,126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30,122</w:t>
            </w: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w w:val="96"/>
              </w:rPr>
              <w:t>Issuance of common stock in Private Placement, net of issuance costs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11,215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294,834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294,845</w:t>
            </w:r>
          </w:p>
        </w:tc>
      </w:tr>
      <w:tr>
        <w:trPr>
          <w:trHeight w:val="189"/>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Issuance of common stock in acquisition of Omniome</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237,875</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237,884</w:t>
            </w: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54,417</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54,417</w:t>
            </w:r>
          </w:p>
        </w:tc>
      </w:tr>
      <w:tr>
        <w:trPr>
          <w:trHeight w:val="155"/>
        </w:trPr>
        <w:tc>
          <w:tcPr>
            <w:tcW w:w="4240" w:type="dxa"/>
            <w:vAlign w:val="bottom"/>
            <w:tcBorders>
              <w:top w:val="single" w:sz="8" w:color="CCEEFF"/>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September 30, 2021</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220,547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1,989,322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(1,148,763)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840,807</w:t>
            </w: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3"/>
        </w:trPr>
        <w:tc>
          <w:tcPr>
            <w:tcW w:w="2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5"/>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w w:val="89"/>
              </w:rPr>
              <w:t>For the nine months ended September 30, 2020</w:t>
            </w:r>
          </w:p>
        </w:tc>
        <w:tc>
          <w:tcPr>
            <w:tcW w:w="142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83"/>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Balance at December 31, 2019</w:t>
            </w:r>
          </w:p>
        </w:tc>
        <w:tc>
          <w:tcPr>
            <w:tcW w:w="780" w:type="dxa"/>
            <w:vAlign w:val="bottom"/>
          </w:tcPr>
          <w:p>
            <w:pPr>
              <w:jc w:val="right"/>
              <w:spacing w:after="0"/>
              <w:rPr>
                <w:sz w:val="20"/>
                <w:szCs w:val="20"/>
                <w:color w:val="auto"/>
              </w:rPr>
            </w:pPr>
            <w:r>
              <w:rPr>
                <w:rFonts w:ascii="Arial" w:cs="Arial" w:eastAsia="Arial" w:hAnsi="Arial"/>
                <w:sz w:val="14"/>
                <w:szCs w:val="14"/>
                <w:color w:val="auto"/>
              </w:rPr>
              <w:t>153,119</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1,120,999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(1,066,240)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54,917</w:t>
            </w:r>
          </w:p>
        </w:tc>
      </w:tr>
      <w:tr>
        <w:trPr>
          <w:trHeight w:val="189"/>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(45,532)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(45,532)</w:t>
            </w: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189"/>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Adoption effect of Topic 326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48"/>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Issuance of common stock in conjunction with equity plans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14,170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14,174</w:t>
            </w:r>
          </w:p>
        </w:tc>
      </w:tr>
      <w:tr>
        <w:trPr>
          <w:trHeight w:val="130"/>
        </w:trPr>
        <w:tc>
          <w:tcPr>
            <w:tcW w:w="42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from underwritten public equity offering,</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of issuance costs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93,598</w:t>
            </w:r>
          </w:p>
        </w:tc>
      </w:tr>
      <w:tr>
        <w:trPr>
          <w:trHeight w:val="189"/>
        </w:trPr>
        <w:tc>
          <w:tcPr>
            <w:tcW w:w="4240" w:type="dxa"/>
            <w:vAlign w:val="bottom"/>
            <w:gridSpan w:val="3"/>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center"/>
              <w:ind w:left="34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12,258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12,258</w:t>
            </w:r>
          </w:p>
        </w:tc>
      </w:tr>
      <w:tr>
        <w:trPr>
          <w:trHeight w:val="156"/>
        </w:trPr>
        <w:tc>
          <w:tcPr>
            <w:tcW w:w="4240" w:type="dxa"/>
            <w:vAlign w:val="bottom"/>
            <w:tcBorders>
              <w:top w:val="single" w:sz="8" w:color="CCEEFF"/>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September 30, 2020</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179,937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1,241,002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(1,111,804)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129,496</w:t>
            </w: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0" w:type="dxa"/>
            <w:vAlign w:val="bottom"/>
            <w:vMerge w:val="restart"/>
          </w:tcPr>
          <w:p>
            <w:pPr>
              <w:spacing w:after="0"/>
              <w:rPr>
                <w:sz w:val="20"/>
                <w:szCs w:val="20"/>
                <w:color w:val="auto"/>
              </w:rPr>
            </w:pPr>
            <w:r>
              <w:rPr>
                <w:rFonts w:ascii="Arial" w:cs="Arial" w:eastAsia="Arial" w:hAnsi="Arial"/>
                <w:sz w:val="16"/>
                <w:szCs w:val="16"/>
                <w:b w:val="1"/>
                <w:bCs w:val="1"/>
                <w:color w:val="auto"/>
                <w:w w:val="88"/>
              </w:rPr>
              <w:t>(in thousands)</w:t>
            </w:r>
          </w:p>
        </w:tc>
        <w:tc>
          <w:tcPr>
            <w:tcW w:w="6720" w:type="dxa"/>
            <w:vAlign w:val="bottom"/>
            <w:vMerge w:val="restart"/>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60"/>
        </w:trPr>
        <w:tc>
          <w:tcPr>
            <w:tcW w:w="1000" w:type="dxa"/>
            <w:vAlign w:val="bottom"/>
            <w:tcBorders>
              <w:bottom w:val="single" w:sz="8" w:color="auto"/>
            </w:tcBorders>
            <w:vMerge w:val="continue"/>
          </w:tcPr>
          <w:p>
            <w:pPr>
              <w:spacing w:after="0"/>
              <w:rPr>
                <w:sz w:val="13"/>
                <w:szCs w:val="13"/>
                <w:color w:val="auto"/>
              </w:rPr>
            </w:pPr>
          </w:p>
        </w:tc>
        <w:tc>
          <w:tcPr>
            <w:tcW w:w="67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ind w:right="559"/>
              <w:spacing w:after="0" w:line="15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619"/>
              <w:spacing w:after="0" w:line="15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7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7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(111,894)</w:t>
            </w:r>
          </w:p>
        </w:tc>
        <w:tc>
          <w:tcPr>
            <w:tcW w:w="480" w:type="dxa"/>
            <w:vAlign w:val="bottom"/>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(45,532)</w:t>
            </w: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line="162" w:lineRule="exact"/>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Loss (gain) from Continuation Advances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213"/>
        </w:trPr>
        <w:tc>
          <w:tcPr>
            <w:tcW w:w="7720" w:type="dxa"/>
            <w:vAlign w:val="bottom"/>
            <w:gridSpan w:val="2"/>
          </w:tcPr>
          <w:p>
            <w:pPr>
              <w:ind w:left="44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4,827</w:t>
            </w: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gridSpan w:val="2"/>
          </w:tcPr>
          <w:p>
            <w:pPr>
              <w:ind w:left="440"/>
              <w:spacing w:after="0"/>
              <w:rPr>
                <w:sz w:val="20"/>
                <w:szCs w:val="20"/>
                <w:color w:val="auto"/>
              </w:rPr>
            </w:pPr>
            <w:r>
              <w:rPr>
                <w:rFonts w:ascii="Arial" w:cs="Arial" w:eastAsia="Arial" w:hAnsi="Arial"/>
                <w:sz w:val="16"/>
                <w:szCs w:val="16"/>
                <w:color w:val="auto"/>
              </w:rPr>
              <w:t>Amortization of operating lease right-of-use assets</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debt discount and financing costs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7720" w:type="dxa"/>
            <w:vAlign w:val="bottom"/>
            <w:gridSpan w:val="2"/>
          </w:tcPr>
          <w:p>
            <w:pPr>
              <w:ind w:left="44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54,417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12,258</w:t>
            </w: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(accretion) from investment premium (discount)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3"/>
        </w:trPr>
        <w:tc>
          <w:tcPr>
            <w:tcW w:w="7720" w:type="dxa"/>
            <w:vAlign w:val="bottom"/>
            <w:gridSpan w:val="2"/>
          </w:tcPr>
          <w:p>
            <w:pPr>
              <w:ind w:left="4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(94,824)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66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(6,871)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213"/>
        </w:trPr>
        <w:tc>
          <w:tcPr>
            <w:tcW w:w="7720" w:type="dxa"/>
            <w:vAlign w:val="bottom"/>
            <w:gridSpan w:val="2"/>
          </w:tcPr>
          <w:p>
            <w:pPr>
              <w:ind w:left="66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0" w:type="dxa"/>
            <w:vAlign w:val="bottom"/>
          </w:tcPr>
          <w:p>
            <w:pPr>
              <w:spacing w:after="0"/>
              <w:rPr>
                <w:sz w:val="1"/>
                <w:szCs w:val="1"/>
                <w:color w:val="auto"/>
              </w:rPr>
            </w:pPr>
          </w:p>
        </w:tc>
      </w:tr>
      <w:tr>
        <w:trPr>
          <w:trHeight w:val="213"/>
        </w:trPr>
        <w:tc>
          <w:tcPr>
            <w:tcW w:w="7720" w:type="dxa"/>
            <w:vAlign w:val="bottom"/>
            <w:gridSpan w:val="2"/>
          </w:tcPr>
          <w:p>
            <w:pPr>
              <w:ind w:left="66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13"/>
        </w:trPr>
        <w:tc>
          <w:tcPr>
            <w:tcW w:w="7720" w:type="dxa"/>
            <w:vAlign w:val="bottom"/>
            <w:gridSpan w:val="2"/>
          </w:tcPr>
          <w:p>
            <w:pPr>
              <w:ind w:left="660"/>
              <w:spacing w:after="0"/>
              <w:rPr>
                <w:sz w:val="20"/>
                <w:szCs w:val="20"/>
                <w:color w:val="auto"/>
              </w:rPr>
            </w:pPr>
            <w:r>
              <w:rPr>
                <w:rFonts w:ascii="Arial" w:cs="Arial" w:eastAsia="Arial" w:hAnsi="Arial"/>
                <w:sz w:val="16"/>
                <w:szCs w:val="16"/>
                <w:color w:val="auto"/>
              </w:rPr>
              <w:t>Operating lease liabilities</w:t>
            </w: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(3,231)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Other liabilities</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gridSpan w:val="2"/>
          </w:tcPr>
          <w:p>
            <w:pPr>
              <w:ind w:left="660"/>
              <w:spacing w:after="0"/>
              <w:rPr>
                <w:sz w:val="20"/>
                <w:szCs w:val="20"/>
                <w:color w:val="auto"/>
              </w:rPr>
            </w:pPr>
            <w:r>
              <w:rPr>
                <w:rFonts w:ascii="Arial" w:cs="Arial" w:eastAsia="Arial" w:hAnsi="Arial"/>
                <w:sz w:val="16"/>
                <w:szCs w:val="16"/>
                <w:color w:val="auto"/>
              </w:rPr>
              <w:t>Deferred gain from Reverse Termination Fee</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98,000</w:t>
            </w:r>
          </w:p>
        </w:tc>
        <w:tc>
          <w:tcPr>
            <w:tcW w:w="0" w:type="dxa"/>
            <w:vAlign w:val="bottom"/>
          </w:tcPr>
          <w:p>
            <w:pPr>
              <w:spacing w:after="0"/>
              <w:rPr>
                <w:sz w:val="1"/>
                <w:szCs w:val="1"/>
                <w:color w:val="auto"/>
              </w:rPr>
            </w:pPr>
          </w:p>
        </w:tc>
      </w:tr>
      <w:tr>
        <w:trPr>
          <w:trHeight w:val="199"/>
        </w:trPr>
        <w:tc>
          <w:tcPr>
            <w:tcW w:w="77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(79,472)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33,766</w:t>
            </w:r>
          </w:p>
        </w:tc>
        <w:tc>
          <w:tcPr>
            <w:tcW w:w="0" w:type="dxa"/>
            <w:vAlign w:val="bottom"/>
          </w:tcPr>
          <w:p>
            <w:pPr>
              <w:spacing w:after="0"/>
              <w:rPr>
                <w:sz w:val="1"/>
                <w:szCs w:val="1"/>
                <w:color w:val="auto"/>
              </w:rPr>
            </w:pPr>
          </w:p>
        </w:tc>
      </w:tr>
      <w:tr>
        <w:trPr>
          <w:trHeight w:val="193"/>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13"/>
        </w:trPr>
        <w:tc>
          <w:tcPr>
            <w:tcW w:w="7720" w:type="dxa"/>
            <w:vAlign w:val="bottom"/>
            <w:gridSpan w:val="2"/>
          </w:tcPr>
          <w:p>
            <w:pPr>
              <w:ind w:left="120"/>
              <w:spacing w:after="0"/>
              <w:rPr>
                <w:sz w:val="20"/>
                <w:szCs w:val="20"/>
                <w:color w:val="auto"/>
              </w:rPr>
            </w:pPr>
            <w:r>
              <w:rPr>
                <w:rFonts w:ascii="Arial" w:cs="Arial" w:eastAsia="Arial" w:hAnsi="Arial"/>
                <w:sz w:val="16"/>
                <w:szCs w:val="16"/>
                <w:color w:val="auto"/>
              </w:rPr>
              <w:t>Cash paid for purchase of Circulomics, net of cash acquired</w:t>
            </w: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(28,560)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paid for purchase of Omniome, net of cash acquired</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(291,233)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gridSpan w:val="2"/>
          </w:tcPr>
          <w:p>
            <w:pPr>
              <w:ind w:left="120"/>
              <w:spacing w:after="0"/>
              <w:rPr>
                <w:sz w:val="20"/>
                <w:szCs w:val="20"/>
                <w:color w:val="auto"/>
              </w:rPr>
            </w:pPr>
            <w:r>
              <w:rPr>
                <w:rFonts w:ascii="Arial" w:cs="Arial" w:eastAsia="Arial" w:hAnsi="Arial"/>
                <w:sz w:val="16"/>
                <w:szCs w:val="16"/>
                <w:color w:val="auto"/>
              </w:rPr>
              <w:t>Purchase of investments</w:t>
            </w: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(857,421)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(234,555)</w:t>
            </w: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Sales of investments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212,734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Maturities of investments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223,285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114,700</w:t>
            </w:r>
          </w:p>
        </w:tc>
        <w:tc>
          <w:tcPr>
            <w:tcW w:w="0" w:type="dxa"/>
            <w:vAlign w:val="bottom"/>
          </w:tcPr>
          <w:p>
            <w:pPr>
              <w:spacing w:after="0"/>
              <w:rPr>
                <w:sz w:val="1"/>
                <w:szCs w:val="1"/>
                <w:color w:val="auto"/>
              </w:rPr>
            </w:pPr>
          </w:p>
        </w:tc>
      </w:tr>
      <w:tr>
        <w:trPr>
          <w:trHeight w:val="199"/>
        </w:trPr>
        <w:tc>
          <w:tcPr>
            <w:tcW w:w="77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(744,284)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(120,827)</w:t>
            </w:r>
          </w:p>
        </w:tc>
        <w:tc>
          <w:tcPr>
            <w:tcW w:w="0" w:type="dxa"/>
            <w:vAlign w:val="bottom"/>
          </w:tcPr>
          <w:p>
            <w:pPr>
              <w:spacing w:after="0"/>
              <w:rPr>
                <w:sz w:val="1"/>
                <w:szCs w:val="1"/>
                <w:color w:val="auto"/>
              </w:rPr>
            </w:pPr>
          </w:p>
        </w:tc>
      </w:tr>
      <w:tr>
        <w:trPr>
          <w:trHeight w:val="193"/>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Continuation Advances</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162"/>
        </w:trPr>
        <w:tc>
          <w:tcPr>
            <w:tcW w:w="772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Notes payable principal payoff</w:t>
            </w:r>
          </w:p>
        </w:tc>
        <w:tc>
          <w:tcPr>
            <w:tcW w:w="320" w:type="dxa"/>
            <w:vAlign w:val="bottom"/>
          </w:tcPr>
          <w:p>
            <w:pPr>
              <w:spacing w:after="0"/>
              <w:rPr>
                <w:sz w:val="14"/>
                <w:szCs w:val="14"/>
                <w:color w:val="auto"/>
              </w:rPr>
            </w:pP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6"/>
                <w:szCs w:val="16"/>
                <w:color w:val="auto"/>
              </w:rPr>
              <w:t>(16,000)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issuance of Convertible Senior Notes, net of issuance costs</w:t>
            </w: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895,536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Proceeds from issuance of common stock under equity offerings, net of issuance costs</w:t>
            </w:r>
          </w:p>
        </w:tc>
        <w:tc>
          <w:tcPr>
            <w:tcW w:w="32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294,846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6"/>
                <w:szCs w:val="16"/>
                <w:color w:val="auto"/>
              </w:rPr>
              <w:t>93,788</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issuance of common stock from equity plans</w:t>
            </w: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30,121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14,174</w:t>
            </w:r>
          </w:p>
        </w:tc>
        <w:tc>
          <w:tcPr>
            <w:tcW w:w="0" w:type="dxa"/>
            <w:vAlign w:val="bottom"/>
          </w:tcPr>
          <w:p>
            <w:pPr>
              <w:spacing w:after="0"/>
              <w:rPr>
                <w:sz w:val="1"/>
                <w:szCs w:val="1"/>
                <w:color w:val="auto"/>
              </w:rPr>
            </w:pPr>
          </w:p>
        </w:tc>
      </w:tr>
      <w:tr>
        <w:trPr>
          <w:trHeight w:val="162"/>
        </w:trPr>
        <w:tc>
          <w:tcPr>
            <w:tcW w:w="772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Other</w:t>
            </w:r>
          </w:p>
        </w:tc>
        <w:tc>
          <w:tcPr>
            <w:tcW w:w="320" w:type="dxa"/>
            <w:vAlign w:val="bottom"/>
          </w:tcPr>
          <w:p>
            <w:pPr>
              <w:spacing w:after="0"/>
              <w:rPr>
                <w:sz w:val="14"/>
                <w:szCs w:val="14"/>
                <w:color w:val="auto"/>
              </w:rPr>
            </w:pP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(246)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20" w:type="dxa"/>
            <w:vAlign w:val="bottom"/>
            <w:tcBorders>
              <w:top w:val="single" w:sz="8" w:color="CCEEFF"/>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1,168,257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125,962</w:t>
            </w:r>
          </w:p>
        </w:tc>
        <w:tc>
          <w:tcPr>
            <w:tcW w:w="0" w:type="dxa"/>
            <w:vAlign w:val="bottom"/>
          </w:tcPr>
          <w:p>
            <w:pPr>
              <w:spacing w:after="0"/>
              <w:rPr>
                <w:sz w:val="1"/>
                <w:szCs w:val="1"/>
                <w:color w:val="auto"/>
              </w:rPr>
            </w:pPr>
          </w:p>
        </w:tc>
      </w:tr>
      <w:tr>
        <w:trPr>
          <w:trHeight w:val="203"/>
        </w:trPr>
        <w:tc>
          <w:tcPr>
            <w:tcW w:w="7720" w:type="dxa"/>
            <w:vAlign w:val="bottom"/>
            <w:gridSpan w:val="2"/>
          </w:tcPr>
          <w:p>
            <w:pPr>
              <w:ind w:left="120"/>
              <w:spacing w:after="0"/>
              <w:rPr>
                <w:sz w:val="20"/>
                <w:szCs w:val="20"/>
                <w:color w:val="auto"/>
              </w:rPr>
            </w:pPr>
            <w:r>
              <w:rPr>
                <w:rFonts w:ascii="Arial" w:cs="Arial" w:eastAsia="Arial" w:hAnsi="Arial"/>
                <w:sz w:val="16"/>
                <w:szCs w:val="16"/>
                <w:color w:val="auto"/>
              </w:rPr>
              <w:t>Net increase in cash and cash equivalents and restricted cash</w:t>
            </w: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344,501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38,901</w:t>
            </w: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85,947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33,627</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Cash and cash equivalents and restricted cash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430,448</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72,528</w:t>
            </w:r>
          </w:p>
        </w:tc>
        <w:tc>
          <w:tcPr>
            <w:tcW w:w="0" w:type="dxa"/>
            <w:vAlign w:val="bottom"/>
          </w:tcPr>
          <w:p>
            <w:pPr>
              <w:spacing w:after="0"/>
              <w:rPr>
                <w:sz w:val="1"/>
                <w:szCs w:val="1"/>
                <w:color w:val="auto"/>
              </w:rPr>
            </w:pPr>
          </w:p>
        </w:tc>
      </w:tr>
      <w:tr>
        <w:trPr>
          <w:trHeight w:val="210"/>
        </w:trPr>
        <w:tc>
          <w:tcPr>
            <w:tcW w:w="7720" w:type="dxa"/>
            <w:vAlign w:val="bottom"/>
            <w:gridSpan w:val="2"/>
            <w:shd w:val="clear" w:color="auto" w:fill="CCEEFF"/>
          </w:tcPr>
          <w:p>
            <w:pPr>
              <w:ind w:left="120"/>
              <w:spacing w:after="0" w:line="177" w:lineRule="exact"/>
              <w:rPr>
                <w:sz w:val="20"/>
                <w:szCs w:val="20"/>
                <w:color w:val="auto"/>
              </w:rPr>
            </w:pPr>
            <w:r>
              <w:rPr>
                <w:rFonts w:ascii="Arial" w:cs="Arial" w:eastAsia="Arial" w:hAnsi="Arial"/>
                <w:sz w:val="16"/>
                <w:szCs w:val="16"/>
                <w:color w:val="auto"/>
              </w:rPr>
              <w:t>Cash and cash equivalents at end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425,388</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69,028</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Restricted cash at end of period</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185"/>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 and restricted cash at end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430,448</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72,528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Issuance of common stock in acquisition of Omniome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237,884</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256" w:lineRule="exact"/>
        <w:rPr>
          <w:sz w:val="20"/>
          <w:szCs w:val="20"/>
          <w:color w:val="auto"/>
        </w:rPr>
      </w:pPr>
    </w:p>
    <w:p>
      <w:pPr>
        <w:jc w:val="both"/>
        <w:ind w:right="540" w:firstLine="440"/>
        <w:spacing w:after="0" w:line="276" w:lineRule="auto"/>
        <w:rPr>
          <w:sz w:val="20"/>
          <w:szCs w:val="20"/>
          <w:color w:val="auto"/>
        </w:rPr>
      </w:pPr>
      <w:r>
        <w:rPr>
          <w:rFonts w:ascii="Arial" w:cs="Arial" w:eastAsia="Arial" w:hAnsi="Arial"/>
          <w:sz w:val="16"/>
          <w:szCs w:val="16"/>
          <w:color w:val="auto"/>
        </w:rPr>
        <w:t>We design, develop and manufacture sequencing systems to help scientists and clinical researchers resolve genetically complex problems. Our products address several applications based on our novel Single Molecule, Real-Time (SMRT®) sequencing technology, including human germline sequencing, plant and animal sciences, infectious disease and microbiology, oncology, and other emerging applications.</w:t>
      </w:r>
    </w:p>
    <w:p>
      <w:pPr>
        <w:spacing w:after="0" w:line="121" w:lineRule="exact"/>
        <w:rPr>
          <w:sz w:val="20"/>
          <w:szCs w:val="20"/>
          <w:color w:val="auto"/>
        </w:rPr>
      </w:pPr>
    </w:p>
    <w:p>
      <w:pPr>
        <w:ind w:right="160" w:firstLine="440"/>
        <w:spacing w:after="0" w:line="266" w:lineRule="auto"/>
        <w:rPr>
          <w:sz w:val="20"/>
          <w:szCs w:val="20"/>
          <w:color w:val="auto"/>
        </w:rPr>
      </w:pPr>
      <w:r>
        <w:rPr>
          <w:rFonts w:ascii="Arial" w:cs="Arial" w:eastAsia="Arial" w:hAnsi="Arial"/>
          <w:sz w:val="16"/>
          <w:szCs w:val="16"/>
          <w:color w:val="auto"/>
        </w:rPr>
        <w:t>Across these applications, customers use our technology in a wide range of sequencing methods, including whole genome sequencing and de novo genome assembly, long-range phasing, targeted sequencing, full-length RNA and single-cell sequencing, methylation and epigenetic characterization, and others. Our technology provides high accuracy, long reads, uniform coverage, and the ability to detect epigenetic changes simultaneously. PacBio® sequencing systems, including consumables and software, offer a simple and fast end-to-end workflow for SMRT sequencing.</w:t>
      </w:r>
    </w:p>
    <w:p>
      <w:pPr>
        <w:spacing w:after="0" w:line="129" w:lineRule="exact"/>
        <w:rPr>
          <w:sz w:val="20"/>
          <w:szCs w:val="20"/>
          <w:color w:val="auto"/>
        </w:rPr>
      </w:pPr>
    </w:p>
    <w:p>
      <w:pPr>
        <w:ind w:right="80" w:firstLine="440"/>
        <w:spacing w:after="0" w:line="235" w:lineRule="auto"/>
        <w:rPr>
          <w:sz w:val="20"/>
          <w:szCs w:val="20"/>
          <w:color w:val="auto"/>
        </w:rPr>
      </w:pPr>
      <w:r>
        <w:rPr>
          <w:rFonts w:ascii="Arial" w:cs="Arial" w:eastAsia="Arial" w:hAnsi="Arial"/>
          <w:sz w:val="18"/>
          <w:szCs w:val="18"/>
          <w:color w:val="auto"/>
        </w:rPr>
        <w:t>In addition to our SMRT sequencing technology, we are developing a highly accurate short-read sequencing platform based on the novel Sequencing by Binding (SBB®) technology. Upon launch, we expect SBB to address adjacent applications and complement our existing long-read sequencing technology.</w:t>
      </w:r>
    </w:p>
    <w:p>
      <w:pPr>
        <w:spacing w:after="0" w:line="175" w:lineRule="exact"/>
        <w:rPr>
          <w:sz w:val="20"/>
          <w:szCs w:val="20"/>
          <w:color w:val="auto"/>
        </w:rPr>
      </w:pPr>
    </w:p>
    <w:p>
      <w:pPr>
        <w:ind w:right="380" w:firstLine="485"/>
        <w:spacing w:after="0" w:line="246" w:lineRule="auto"/>
        <w:rPr>
          <w:sz w:val="20"/>
          <w:szCs w:val="20"/>
          <w:color w:val="auto"/>
        </w:rPr>
      </w:pPr>
      <w:r>
        <w:rPr>
          <w:rFonts w:ascii="Arial" w:cs="Arial" w:eastAsia="Arial" w:hAnsi="Arial"/>
          <w:sz w:val="18"/>
          <w:szCs w:val="18"/>
          <w:color w:val="auto"/>
        </w:rPr>
        <w:t>References in this report to “PacBio,” “we,” “us,” the “Company,” and “our” refer to Pacific Biosciences of California, Inc. and its consolidated subsidiaries.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ACQUISITIONS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Omniome, Inc.</w:t>
      </w:r>
    </w:p>
    <w:p>
      <w:pPr>
        <w:spacing w:after="0" w:line="63" w:lineRule="exact"/>
        <w:rPr>
          <w:sz w:val="20"/>
          <w:szCs w:val="20"/>
          <w:color w:val="auto"/>
        </w:rPr>
      </w:pPr>
    </w:p>
    <w:p>
      <w:pPr>
        <w:ind w:right="840" w:firstLine="492"/>
        <w:spacing w:after="0" w:line="246" w:lineRule="auto"/>
        <w:rPr>
          <w:sz w:val="20"/>
          <w:szCs w:val="20"/>
          <w:color w:val="auto"/>
        </w:rPr>
      </w:pPr>
      <w:r>
        <w:rPr>
          <w:rFonts w:ascii="Arial" w:cs="Arial" w:eastAsia="Arial" w:hAnsi="Arial"/>
          <w:sz w:val="18"/>
          <w:szCs w:val="18"/>
          <w:color w:val="auto"/>
        </w:rPr>
        <w:t>On September 20, 2021, we completed our acquisition of Omniome, Inc. (“Omniome”), a San Diego-based company developing a highly differentiated, proprietary short-read DNA sequencing platform capable of delivering high accuracy.</w:t>
      </w:r>
    </w:p>
    <w:p>
      <w:pPr>
        <w:spacing w:after="0" w:line="35" w:lineRule="exact"/>
        <w:rPr>
          <w:sz w:val="20"/>
          <w:szCs w:val="20"/>
          <w:color w:val="auto"/>
        </w:rPr>
      </w:pPr>
    </w:p>
    <w:p>
      <w:pPr>
        <w:ind w:right="120" w:firstLine="492"/>
        <w:spacing w:after="0" w:line="231" w:lineRule="auto"/>
        <w:rPr>
          <w:sz w:val="20"/>
          <w:szCs w:val="20"/>
          <w:color w:val="auto"/>
        </w:rPr>
      </w:pPr>
      <w:r>
        <w:rPr>
          <w:rFonts w:ascii="Arial" w:cs="Arial" w:eastAsia="Arial" w:hAnsi="Arial"/>
          <w:sz w:val="18"/>
          <w:szCs w:val="18"/>
          <w:color w:val="auto"/>
        </w:rPr>
        <w:t>In connection with the acquisition, all outstanding equity securities of Omniome were cancelled in exchange for consideration of $714.8 million, which consisted of approximately $315.7 million in cash, 8,911,580 shares of our common stock with a fair value of $249.4 million and contingent consideration with a fair value of $168.6 million. The fair value of the 8,911,580 common shares issued was determined based on the closing market price of PacBio’s common shares on the acquisition date.</w:t>
      </w:r>
    </w:p>
    <w:p>
      <w:pPr>
        <w:spacing w:after="0" w:line="40" w:lineRule="exact"/>
        <w:rPr>
          <w:sz w:val="20"/>
          <w:szCs w:val="20"/>
          <w:color w:val="auto"/>
        </w:rPr>
      </w:pPr>
    </w:p>
    <w:p>
      <w:pPr>
        <w:ind w:firstLine="492"/>
        <w:spacing w:after="0" w:line="276" w:lineRule="auto"/>
        <w:rPr>
          <w:sz w:val="20"/>
          <w:szCs w:val="20"/>
          <w:color w:val="auto"/>
        </w:rPr>
      </w:pPr>
      <w:r>
        <w:rPr>
          <w:rFonts w:ascii="Arial" w:cs="Arial" w:eastAsia="Arial" w:hAnsi="Arial"/>
          <w:sz w:val="16"/>
          <w:szCs w:val="16"/>
          <w:color w:val="auto"/>
        </w:rPr>
        <w:t>Out of the total consideration, approximately $18.9 million, comprised of $7.4 million of cash, 226,811 shares of our common stock with a fair value of $6.3 million, and $5.2 million related to contingent consideration, was accounted for as a one-time post acquisition stock-based compensation expense. This stock-based compensation expense was due to accelerated vesting of Omniome stock awards in connection with the acquisition.</w:t>
      </w:r>
    </w:p>
    <w:p>
      <w:pPr>
        <w:spacing w:after="0" w:line="13" w:lineRule="exact"/>
        <w:rPr>
          <w:sz w:val="20"/>
          <w:szCs w:val="20"/>
          <w:color w:val="auto"/>
        </w:rPr>
      </w:pPr>
    </w:p>
    <w:p>
      <w:pPr>
        <w:ind w:right="160" w:firstLine="492"/>
        <w:spacing w:after="0" w:line="258" w:lineRule="auto"/>
        <w:rPr>
          <w:sz w:val="20"/>
          <w:szCs w:val="20"/>
          <w:color w:val="auto"/>
        </w:rPr>
      </w:pPr>
      <w:r>
        <w:rPr>
          <w:rFonts w:ascii="Arial" w:cs="Arial" w:eastAsia="Arial" w:hAnsi="Arial"/>
          <w:sz w:val="16"/>
          <w:szCs w:val="16"/>
          <w:color w:val="auto"/>
        </w:rPr>
        <w:t>The contingent consideration of $200 million (composed of $100 million in cash and $100 million in shares of our common stock) is due upon the achievement of a milestone, defined as the first commercial shipment to a customer of a nucleotide sequencing platform, comprising both an instrument and related consumables, that utilizes Omniome’s sequencing by binding technology. The number of shares of stock to be issued will be determined using the volume-weighted average of the trading prices of our common stock for the twenty trading days ending with and including the trading day that is two days immediately prior to the achievement of the milestone. Of the $100 million in shares of our common stock to be issued as part of the milestone, $4.1 million is attributable to stock options issued by PacBio in replacement of Omniome’s unvested options as part of the transaction.</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total consideration transferred for the acquisition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315,703</w:t>
            </w:r>
          </w:p>
        </w:tc>
        <w:tc>
          <w:tcPr>
            <w:tcW w:w="0" w:type="dxa"/>
            <w:vAlign w:val="bottom"/>
          </w:tcPr>
          <w:p>
            <w:pPr>
              <w:spacing w:after="0"/>
              <w:rPr>
                <w:sz w:val="1"/>
                <w:szCs w:val="1"/>
                <w:color w:val="auto"/>
              </w:rPr>
            </w:pP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Fair value of share consideration</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249,435</w:t>
            </w: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contingent consideration</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168,574</w:t>
            </w:r>
          </w:p>
        </w:tc>
        <w:tc>
          <w:tcPr>
            <w:tcW w:w="0" w:type="dxa"/>
            <w:vAlign w:val="bottom"/>
          </w:tcPr>
          <w:p>
            <w:pPr>
              <w:spacing w:after="0"/>
              <w:rPr>
                <w:sz w:val="1"/>
                <w:szCs w:val="1"/>
                <w:color w:val="auto"/>
              </w:rPr>
            </w:pPr>
          </w:p>
        </w:tc>
      </w:tr>
      <w:tr>
        <w:trPr>
          <w:trHeight w:val="229"/>
        </w:trPr>
        <w:tc>
          <w:tcPr>
            <w:tcW w:w="9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Stock-based compensation expense excluded from consideration transferred</w:t>
            </w: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(18,923)</w:t>
            </w:r>
          </w:p>
        </w:tc>
        <w:tc>
          <w:tcPr>
            <w:tcW w:w="0" w:type="dxa"/>
            <w:vAlign w:val="bottom"/>
          </w:tcPr>
          <w:p>
            <w:pPr>
              <w:spacing w:after="0"/>
              <w:rPr>
                <w:sz w:val="1"/>
                <w:szCs w:val="1"/>
                <w:color w:val="auto"/>
              </w:rPr>
            </w:pPr>
          </w:p>
        </w:tc>
      </w:tr>
      <w:tr>
        <w:trPr>
          <w:trHeight w:val="196"/>
        </w:trPr>
        <w:tc>
          <w:tcPr>
            <w:tcW w:w="94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consideration transferred</w:t>
            </w:r>
          </w:p>
        </w:tc>
        <w:tc>
          <w:tcPr>
            <w:tcW w:w="60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714,789</w:t>
            </w:r>
          </w:p>
        </w:tc>
        <w:tc>
          <w:tcPr>
            <w:tcW w:w="0" w:type="dxa"/>
            <w:vAlign w:val="bottom"/>
          </w:tcPr>
          <w:p>
            <w:pPr>
              <w:spacing w:after="0"/>
              <w:rPr>
                <w:sz w:val="1"/>
                <w:szCs w:val="1"/>
                <w:color w:val="auto"/>
              </w:rPr>
            </w:pPr>
          </w:p>
        </w:tc>
      </w:tr>
      <w:tr>
        <w:trPr>
          <w:trHeight w:val="20"/>
        </w:trPr>
        <w:tc>
          <w:tcPr>
            <w:tcW w:w="9460" w:type="dxa"/>
            <w:vAlign w:val="bottom"/>
            <w:vMerge w:val="restart"/>
          </w:tcPr>
          <w:p>
            <w:pPr>
              <w:ind w:left="5580"/>
              <w:spacing w:after="0"/>
              <w:rPr>
                <w:sz w:val="20"/>
                <w:szCs w:val="20"/>
                <w:color w:val="auto"/>
              </w:rPr>
            </w:pPr>
            <w:r>
              <w:rPr>
                <w:rFonts w:ascii="Arial" w:cs="Arial" w:eastAsia="Arial" w:hAnsi="Arial"/>
                <w:sz w:val="18"/>
                <w:szCs w:val="18"/>
                <w:color w:val="auto"/>
              </w:rPr>
              <w:t>8</w:t>
            </w: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20" w:firstLine="492"/>
        <w:spacing w:after="0" w:line="246" w:lineRule="auto"/>
        <w:rPr>
          <w:sz w:val="20"/>
          <w:szCs w:val="20"/>
          <w:color w:val="auto"/>
        </w:rPr>
      </w:pPr>
      <w:r>
        <w:rPr>
          <w:rFonts w:ascii="Arial" w:cs="Arial" w:eastAsia="Arial" w:hAnsi="Arial"/>
          <w:sz w:val="17"/>
          <w:szCs w:val="17"/>
          <w:color w:val="auto"/>
        </w:rPr>
        <w:t>The contingent consideration is accounted for as a liability at fair value, with changes during each reporting period recognized in our consolidated statements of operations and comprehensive income (loss). The fair value of the contingent consideration liability is based on a scenario-based method which considers a range of possible outcomes and their assigned probabilities of occurrence. The potential outcomes are discounted to present value at a discount rate equal to the sum of the term-matched risk-free-interest rate plus PacBio’s credit spread.</w:t>
      </w:r>
    </w:p>
    <w:p>
      <w:pPr>
        <w:spacing w:after="0" w:line="36" w:lineRule="exact"/>
        <w:rPr>
          <w:sz w:val="20"/>
          <w:szCs w:val="20"/>
          <w:color w:val="auto"/>
        </w:rPr>
      </w:pPr>
    </w:p>
    <w:p>
      <w:pPr>
        <w:ind w:right="220" w:firstLine="492"/>
        <w:spacing w:after="0" w:line="253"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the consideration transferred was allocated to the tangible and intangible assets acquired and liabilities assumed based on their fair values on the acquisition date. The major classes of assets and liabilities to which we have allocated the total fair value of the consideration transferred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15,338</w:t>
            </w:r>
          </w:p>
        </w:tc>
      </w:tr>
      <w:tr>
        <w:trPr>
          <w:trHeight w:val="229"/>
        </w:trPr>
        <w:tc>
          <w:tcPr>
            <w:tcW w:w="8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6,123</w:t>
            </w:r>
          </w:p>
        </w:tc>
      </w:tr>
      <w:tr>
        <w:trPr>
          <w:trHeight w:val="23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9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18,095</w:t>
            </w:r>
          </w:p>
        </w:tc>
      </w:tr>
      <w:tr>
        <w:trPr>
          <w:trHeight w:val="229"/>
        </w:trPr>
        <w:tc>
          <w:tcPr>
            <w:tcW w:w="8840" w:type="dxa"/>
            <w:vAlign w:val="bottom"/>
          </w:tcPr>
          <w:p>
            <w:pPr>
              <w:spacing w:after="0"/>
              <w:rPr>
                <w:sz w:val="20"/>
                <w:szCs w:val="20"/>
                <w:color w:val="auto"/>
              </w:rPr>
            </w:pPr>
            <w:r>
              <w:rPr>
                <w:rFonts w:ascii="Arial" w:cs="Arial" w:eastAsia="Arial" w:hAnsi="Arial"/>
                <w:sz w:val="18"/>
                <w:szCs w:val="18"/>
                <w:color w:val="auto"/>
              </w:rPr>
              <w:t>In-process research and development ("IPR&amp;D")</w:t>
            </w:r>
          </w:p>
        </w:tc>
        <w:tc>
          <w:tcPr>
            <w:tcW w:w="9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9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392,224</w:t>
            </w:r>
          </w:p>
        </w:tc>
      </w:tr>
      <w:tr>
        <w:trPr>
          <w:trHeight w:val="229"/>
        </w:trPr>
        <w:tc>
          <w:tcPr>
            <w:tcW w:w="8840" w:type="dxa"/>
            <w:vAlign w:val="bottom"/>
          </w:tcPr>
          <w:p>
            <w:pPr>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3,203</w:t>
            </w:r>
          </w:p>
        </w:tc>
      </w:tr>
      <w:tr>
        <w:trPr>
          <w:trHeight w:val="229"/>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9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(93,373)</w:t>
            </w:r>
          </w:p>
        </w:tc>
      </w:tr>
      <w:tr>
        <w:trPr>
          <w:trHeight w:val="230"/>
        </w:trPr>
        <w:tc>
          <w:tcPr>
            <w:tcW w:w="8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Liabilities assumed</w:t>
            </w:r>
          </w:p>
        </w:tc>
        <w:tc>
          <w:tcPr>
            <w:tcW w:w="9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(26,821)</w:t>
            </w:r>
          </w:p>
        </w:tc>
      </w:tr>
      <w:tr>
        <w:trPr>
          <w:trHeight w:val="196"/>
        </w:trPr>
        <w:tc>
          <w:tcPr>
            <w:tcW w:w="88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consideration transferred</w:t>
            </w:r>
          </w:p>
        </w:tc>
        <w:tc>
          <w:tcPr>
            <w:tcW w:w="92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714,789</w:t>
            </w:r>
          </w:p>
        </w:tc>
      </w:tr>
      <w:tr>
        <w:trPr>
          <w:trHeight w:val="20"/>
        </w:trPr>
        <w:tc>
          <w:tcPr>
            <w:tcW w:w="8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firstLine="492"/>
        <w:spacing w:after="0" w:line="231" w:lineRule="auto"/>
        <w:rPr>
          <w:sz w:val="20"/>
          <w:szCs w:val="20"/>
          <w:color w:val="auto"/>
        </w:rPr>
      </w:pPr>
      <w:r>
        <w:rPr>
          <w:rFonts w:ascii="Arial" w:cs="Arial" w:eastAsia="Arial" w:hAnsi="Arial"/>
          <w:sz w:val="18"/>
          <w:szCs w:val="18"/>
          <w:color w:val="auto"/>
        </w:rPr>
        <w:t>The purchase price allocation is preliminary. We continue to collect information with regard to certain estimates and assumptions, including potential liabilities and contingencies. We will record adjustments to the fair value of the assets acquired, liabilities assumed and goodwill within the twelve months measurement period, if necessary. The goodwill recognized was primarily attributable to the assembled workforce and synergies that are expected to occur from the integration of Omniome and is not deductible for income tax purposes.</w:t>
      </w:r>
    </w:p>
    <w:p>
      <w:pPr>
        <w:spacing w:after="0" w:line="40" w:lineRule="exact"/>
        <w:rPr>
          <w:sz w:val="20"/>
          <w:szCs w:val="20"/>
          <w:color w:val="auto"/>
        </w:rPr>
      </w:pPr>
    </w:p>
    <w:p>
      <w:pPr>
        <w:ind w:right="200" w:firstLine="492"/>
        <w:spacing w:after="0" w:line="261" w:lineRule="auto"/>
        <w:rPr>
          <w:sz w:val="20"/>
          <w:szCs w:val="20"/>
          <w:color w:val="auto"/>
        </w:rPr>
      </w:pPr>
      <w:r>
        <w:rPr>
          <w:rFonts w:ascii="Arial" w:cs="Arial" w:eastAsia="Arial" w:hAnsi="Arial"/>
          <w:sz w:val="16"/>
          <w:szCs w:val="16"/>
          <w:color w:val="auto"/>
        </w:rPr>
        <w:t>We have allocated $400 million of the purchase price to acquired in-process research and development. The fair value of the IPR&amp;D was determined, with the assistance of a third-party valuation firm, using an income approach based on a forecast of expected future cash flows. The IPR&amp;D will remain on our consolidated balance sheet as an indefinite-lived intangible asset until the completion or abandonment of the associated research and development activities. During the development period following the acquisition, IPR&amp;D will not be amortized, but instead will be tested for impairment annually and more frequently if events or changes in circumstances indicate that it is more likely than not that the asset is impaired.</w:t>
      </w:r>
    </w:p>
    <w:p>
      <w:pPr>
        <w:spacing w:after="0" w:line="26" w:lineRule="exact"/>
        <w:rPr>
          <w:sz w:val="20"/>
          <w:szCs w:val="20"/>
          <w:color w:val="auto"/>
        </w:rPr>
      </w:pPr>
    </w:p>
    <w:p>
      <w:pPr>
        <w:ind w:right="120" w:firstLine="492"/>
        <w:spacing w:after="0" w:line="274" w:lineRule="auto"/>
        <w:rPr>
          <w:sz w:val="20"/>
          <w:szCs w:val="20"/>
          <w:color w:val="auto"/>
        </w:rPr>
      </w:pPr>
      <w:r>
        <w:rPr>
          <w:rFonts w:ascii="Arial" w:cs="Arial" w:eastAsia="Arial" w:hAnsi="Arial"/>
          <w:sz w:val="17"/>
          <w:szCs w:val="17"/>
          <w:color w:val="auto"/>
        </w:rPr>
        <w:t>We incurred costs related to the Omniome acquisition of approximately $11.6 million during the nine months ended September 30, 2021, which are included in merger-related costs on the Condensed Consolidated Statement of Operations and Comprehensive Income (Loss).</w:t>
      </w:r>
    </w:p>
    <w:p>
      <w:pPr>
        <w:spacing w:after="0" w:line="13" w:lineRule="exact"/>
        <w:rPr>
          <w:sz w:val="20"/>
          <w:szCs w:val="20"/>
          <w:color w:val="auto"/>
        </w:rPr>
      </w:pPr>
    </w:p>
    <w:p>
      <w:pPr>
        <w:ind w:firstLine="492"/>
        <w:spacing w:after="0" w:line="276" w:lineRule="auto"/>
        <w:rPr>
          <w:sz w:val="20"/>
          <w:szCs w:val="20"/>
          <w:color w:val="auto"/>
        </w:rPr>
      </w:pPr>
      <w:r>
        <w:rPr>
          <w:rFonts w:ascii="Arial" w:cs="Arial" w:eastAsia="Arial" w:hAnsi="Arial"/>
          <w:sz w:val="16"/>
          <w:szCs w:val="16"/>
          <w:color w:val="auto"/>
        </w:rPr>
        <w:t>Separately, in connection with the Omniome acquisition, on September 20, 2021, we issued and sold 11,214,953 shares of common stock in a private placement transaction at a price of $26.75 per share, for aggregate proceeds of approximately $294.8 million, net of issuance costs of approximately $5.2 million. We were also required to register the private placement shares for resale with the SEC following the closing of the merger.</w:t>
      </w:r>
    </w:p>
    <w:p>
      <w:pPr>
        <w:spacing w:after="0" w:line="13" w:lineRule="exact"/>
        <w:rPr>
          <w:sz w:val="20"/>
          <w:szCs w:val="20"/>
          <w:color w:val="auto"/>
        </w:rPr>
      </w:pPr>
    </w:p>
    <w:p>
      <w:pPr>
        <w:ind w:firstLine="492"/>
        <w:spacing w:after="0" w:line="221" w:lineRule="auto"/>
        <w:rPr>
          <w:sz w:val="20"/>
          <w:szCs w:val="20"/>
          <w:color w:val="auto"/>
        </w:rPr>
      </w:pPr>
      <w:r>
        <w:rPr>
          <w:rFonts w:ascii="Arial" w:cs="Arial" w:eastAsia="Arial" w:hAnsi="Arial"/>
          <w:sz w:val="18"/>
          <w:szCs w:val="18"/>
          <w:color w:val="auto"/>
        </w:rPr>
        <w:t>The following unaudited pro forma financial information presents combined results of operations for each of the periods presented as if Omniome had been acquired as of the beginning of the comparable fiscal year prior to the year of acquisition, giving effect on a pro forma basis to the purchase accounting adjustments such as $11.6 million of PacBio acquisition-related costs, $18.9 million of stock-based compensation expense related to acceleration of certain Omniome stock options not attributable to pre-combination service, and a $92.2 million one-time income tax benefit from the reduction of our deferred tax asset valuation allowance resulting from the Omniome acquisition, as well as a pro forma adjustment to reflect $16.7 million of Omniome’s acquisition-related costs. The unaudited pro forma information presented below is for informational purposes only and is not necessarily indicative of the consolidated results of the combined business had the acquisition actually occurred at the beginning of the fiscal year 2020 or the results of future operations of the combined business.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unaudited pro forma financial information for the periods presented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860" w:type="dxa"/>
            <w:vAlign w:val="bottom"/>
            <w:gridSpan w:val="5"/>
          </w:tcPr>
          <w:p>
            <w:pPr>
              <w:jc w:val="right"/>
              <w:ind w:right="435"/>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2020</w:t>
            </w:r>
          </w:p>
        </w:tc>
      </w:tr>
      <w:tr>
        <w:trPr>
          <w:trHeight w:val="34"/>
        </w:trPr>
        <w:tc>
          <w:tcPr>
            <w:tcW w:w="252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2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94,494</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51,757</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(54,802)</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(38,473)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(213,715)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(42,892)</w:t>
            </w:r>
          </w:p>
        </w:tc>
      </w:tr>
      <w:tr>
        <w:trPr>
          <w:trHeight w:val="229"/>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 basic and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bl>
    <w:p>
      <w:pPr>
        <w:spacing w:after="0" w:line="53" w:lineRule="exact"/>
        <w:rPr>
          <w:sz w:val="20"/>
          <w:szCs w:val="20"/>
          <w:color w:val="auto"/>
        </w:rPr>
      </w:pPr>
    </w:p>
    <w:p>
      <w:pPr>
        <w:ind w:right="320" w:firstLine="492"/>
        <w:spacing w:after="0" w:line="235" w:lineRule="auto"/>
        <w:rPr>
          <w:sz w:val="20"/>
          <w:szCs w:val="20"/>
          <w:color w:val="auto"/>
        </w:rPr>
      </w:pPr>
      <w:r>
        <w:rPr>
          <w:rFonts w:ascii="Arial" w:cs="Arial" w:eastAsia="Arial" w:hAnsi="Arial"/>
          <w:sz w:val="18"/>
          <w:szCs w:val="18"/>
          <w:color w:val="auto"/>
        </w:rPr>
        <w:t>Our condensed consolidated financial statements include the results of operations for Omniome beginning September 20, 2021. Since the date of acquisition, revenues of $0 and a net loss of $1.6 million from the acquired Omniome business have been included in our Condensed Consolidated Statement of Operations for the three and nine months ended September 30,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Circulomics, Inc.</w:t>
      </w:r>
    </w:p>
    <w:p>
      <w:pPr>
        <w:spacing w:after="0" w:line="90" w:lineRule="exact"/>
        <w:rPr>
          <w:sz w:val="20"/>
          <w:szCs w:val="20"/>
          <w:color w:val="auto"/>
        </w:rPr>
      </w:pPr>
    </w:p>
    <w:p>
      <w:pPr>
        <w:ind w:right="820" w:firstLine="492"/>
        <w:spacing w:after="0" w:line="246" w:lineRule="auto"/>
        <w:rPr>
          <w:sz w:val="20"/>
          <w:szCs w:val="20"/>
          <w:color w:val="auto"/>
        </w:rPr>
      </w:pPr>
      <w:r>
        <w:rPr>
          <w:rFonts w:ascii="Arial" w:cs="Arial" w:eastAsia="Arial" w:hAnsi="Arial"/>
          <w:sz w:val="18"/>
          <w:szCs w:val="18"/>
          <w:color w:val="auto"/>
        </w:rPr>
        <w:t>On July 20, 2021, we acquired Circulomics Inc. (“Circulomics”), a Maryland-based biotechnology company focused on delivering highly differentiated sample preparation products that enable genomic workflows.</w:t>
      </w:r>
    </w:p>
    <w:p>
      <w:pPr>
        <w:spacing w:after="0" w:line="62" w:lineRule="exact"/>
        <w:rPr>
          <w:sz w:val="20"/>
          <w:szCs w:val="20"/>
          <w:color w:val="auto"/>
        </w:rPr>
      </w:pPr>
    </w:p>
    <w:p>
      <w:pPr>
        <w:ind w:right="100" w:firstLine="492"/>
        <w:spacing w:after="0" w:line="276" w:lineRule="auto"/>
        <w:rPr>
          <w:sz w:val="20"/>
          <w:szCs w:val="20"/>
          <w:color w:val="auto"/>
        </w:rPr>
      </w:pPr>
      <w:r>
        <w:rPr>
          <w:rFonts w:ascii="Arial" w:cs="Arial" w:eastAsia="Arial" w:hAnsi="Arial"/>
          <w:sz w:val="16"/>
          <w:szCs w:val="16"/>
          <w:color w:val="auto"/>
        </w:rPr>
        <w:t>We paid $29.5 million in cash in exchange for all outstanding shares of common stock of Circulomics. We allocated the consideration transferred to the identifiable assets acquired and liabilities assumed based on their respective fair values at the date of the completion of the acquisition. The major classes of assets and liabilities to which we have allocated the total fair value of the consideration transferred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29"/>
        </w:trPr>
        <w:tc>
          <w:tcPr>
            <w:tcW w:w="8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Goodwill</w:t>
            </w:r>
          </w:p>
        </w:tc>
        <w:tc>
          <w:tcPr>
            <w:tcW w:w="1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19,309</w:t>
            </w:r>
          </w:p>
        </w:tc>
      </w:tr>
      <w:tr>
        <w:trPr>
          <w:trHeight w:val="229"/>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840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(2,672)</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9"/>
        </w:trPr>
        <w:tc>
          <w:tcPr>
            <w:tcW w:w="8400" w:type="dxa"/>
            <w:vAlign w:val="bottom"/>
          </w:tcPr>
          <w:p>
            <w:pPr>
              <w:ind w:left="120"/>
              <w:spacing w:after="0"/>
              <w:rPr>
                <w:sz w:val="20"/>
                <w:szCs w:val="20"/>
                <w:color w:val="auto"/>
              </w:rPr>
            </w:pPr>
            <w:r>
              <w:rPr>
                <w:rFonts w:ascii="Arial" w:cs="Arial" w:eastAsia="Arial" w:hAnsi="Arial"/>
                <w:sz w:val="18"/>
                <w:szCs w:val="18"/>
                <w:color w:val="auto"/>
              </w:rPr>
              <w:t>Total consideration transferred</w:t>
            </w: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29,547</w:t>
            </w:r>
          </w:p>
        </w:tc>
      </w:tr>
      <w:tr>
        <w:trPr>
          <w:trHeight w:val="20"/>
        </w:trPr>
        <w:tc>
          <w:tcPr>
            <w:tcW w:w="8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right="580" w:firstLine="492"/>
        <w:spacing w:after="0" w:line="235" w:lineRule="auto"/>
        <w:rPr>
          <w:sz w:val="20"/>
          <w:szCs w:val="20"/>
          <w:color w:val="auto"/>
        </w:rPr>
      </w:pPr>
      <w:r>
        <w:rPr>
          <w:rFonts w:ascii="Arial" w:cs="Arial" w:eastAsia="Arial" w:hAnsi="Arial"/>
          <w:sz w:val="18"/>
          <w:szCs w:val="18"/>
          <w:color w:val="auto"/>
        </w:rPr>
        <w:t>The excess of the value of consideration paid over the aggregate fair value of those net assets has been recorded as goodwill. We recognized goodwill of $19.3 million, which is primarily attributable to the synergies expected from capabilities in extraction and sample preparation and is not deductible for income tax purposes.</w:t>
      </w:r>
    </w:p>
    <w:p>
      <w:pPr>
        <w:spacing w:after="0" w:line="67" w:lineRule="exact"/>
        <w:rPr>
          <w:sz w:val="20"/>
          <w:szCs w:val="20"/>
          <w:color w:val="auto"/>
        </w:rPr>
      </w:pPr>
    </w:p>
    <w:p>
      <w:pPr>
        <w:ind w:right="60" w:firstLine="492"/>
        <w:spacing w:after="0" w:line="253" w:lineRule="auto"/>
        <w:rPr>
          <w:sz w:val="20"/>
          <w:szCs w:val="20"/>
          <w:color w:val="auto"/>
        </w:rPr>
      </w:pPr>
      <w:r>
        <w:rPr>
          <w:rFonts w:ascii="Arial" w:cs="Arial" w:eastAsia="Arial" w:hAnsi="Arial"/>
          <w:sz w:val="17"/>
          <w:szCs w:val="17"/>
          <w:color w:val="auto"/>
        </w:rPr>
        <w:t>We recorded $11.4 million for the fair value of acquired intangible assets, which consist of developed technology and customer relationships. The purchase price allocation is preliminary as we continue to collect information with regard to certain estimates and assumptions. We will record adjustments to the fair value of the assets acquired, liabilities assumed and goodwill within the twelve month measurement period, if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63" w:lineRule="exact"/>
        <w:rPr>
          <w:sz w:val="20"/>
          <w:szCs w:val="20"/>
          <w:color w:val="auto"/>
        </w:rPr>
      </w:pPr>
    </w:p>
    <w:p>
      <w:pPr>
        <w:ind w:right="240" w:firstLine="492"/>
        <w:spacing w:after="0" w:line="231" w:lineRule="auto"/>
        <w:rPr>
          <w:sz w:val="20"/>
          <w:szCs w:val="20"/>
          <w:color w:val="auto"/>
        </w:rPr>
      </w:pPr>
      <w:r>
        <w:rPr>
          <w:rFonts w:ascii="Arial" w:cs="Arial" w:eastAsia="Arial" w:hAnsi="Arial"/>
          <w:sz w:val="18"/>
          <w:szCs w:val="18"/>
          <w:color w:val="auto"/>
        </w:rPr>
        <w:t>A benefit for income taxes of $94.8 million for the three and nine months ended September 30, 2021, is related to the release of the valuation allowance for deferred tax assets due to the recognition of deferred tax liabilities in connection with the Omniome and Circulomics acquisitions. We maintain a full valuation allowance on the net deferred tax assets of our U.S. entities as we have concluded that it is more likely than not that we will not utilize our deferred tax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INVITAE COLLABORATION</w:t>
      </w:r>
    </w:p>
    <w:p>
      <w:pPr>
        <w:spacing w:after="0" w:line="67" w:lineRule="exact"/>
        <w:rPr>
          <w:sz w:val="20"/>
          <w:szCs w:val="20"/>
          <w:color w:val="auto"/>
        </w:rPr>
      </w:pPr>
    </w:p>
    <w:p>
      <w:pPr>
        <w:ind w:right="80" w:firstLine="440"/>
        <w:spacing w:after="0" w:line="228" w:lineRule="auto"/>
        <w:rPr>
          <w:sz w:val="20"/>
          <w:szCs w:val="20"/>
          <w:color w:val="auto"/>
        </w:rPr>
      </w:pPr>
      <w:r>
        <w:rPr>
          <w:rFonts w:ascii="Arial" w:cs="Arial" w:eastAsia="Arial" w:hAnsi="Arial"/>
          <w:sz w:val="18"/>
          <w:szCs w:val="18"/>
          <w:color w:val="auto"/>
        </w:rPr>
        <w:t>On January 12, 2021 we entered into a multi-year Development and Commercialization Agreement (the “Development Agreement”) with Invitae Corporation (“Invitae”). Pursuant to the Development Agreement, Invitae is providing certain funding to us to develop products relating to production-scale high-throughput sequencing (“Program Products”). If and when Program Products become commercially available for sale, Invitae may purchase the Program Products. In addition to selling the Program Products to Invitae, we will have the right to broadly commercialize Program Products for sale to other customers.</w:t>
      </w:r>
    </w:p>
    <w:p>
      <w:pPr>
        <w:spacing w:after="0" w:line="43" w:lineRule="exact"/>
        <w:rPr>
          <w:sz w:val="20"/>
          <w:szCs w:val="20"/>
          <w:color w:val="auto"/>
        </w:rPr>
      </w:pPr>
    </w:p>
    <w:p>
      <w:pPr>
        <w:ind w:right="680" w:firstLine="440"/>
        <w:spacing w:after="0" w:line="225" w:lineRule="auto"/>
        <w:rPr>
          <w:sz w:val="20"/>
          <w:szCs w:val="20"/>
          <w:color w:val="auto"/>
        </w:rPr>
      </w:pPr>
      <w:r>
        <w:rPr>
          <w:rFonts w:ascii="Arial" w:cs="Arial" w:eastAsia="Arial" w:hAnsi="Arial"/>
          <w:sz w:val="18"/>
          <w:szCs w:val="18"/>
          <w:color w:val="auto"/>
        </w:rPr>
        <w:t>The funding Invitae will provide to us will equal certain development costs we incur in connection with the Program Products (“Program Development Costs”). Under the Development Agreement, we will be responsible for conducting a program to develop the Program Products, and subsequently for manufacturing the Program Products. We will make general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93"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decisions regarding the development program jointly with Invitae but we are responsible for all research and development activities. The entire development program is expected to last approximately sixty months, but may be shorter or longer.</w:t>
      </w:r>
    </w:p>
    <w:p>
      <w:pPr>
        <w:spacing w:after="0" w:line="35" w:lineRule="exact"/>
        <w:rPr>
          <w:sz w:val="20"/>
          <w:szCs w:val="20"/>
          <w:color w:val="auto"/>
        </w:rPr>
      </w:pPr>
    </w:p>
    <w:p>
      <w:pPr>
        <w:ind w:firstLine="440"/>
        <w:spacing w:after="0" w:line="225" w:lineRule="auto"/>
        <w:rPr>
          <w:sz w:val="20"/>
          <w:szCs w:val="20"/>
          <w:color w:val="auto"/>
        </w:rPr>
      </w:pPr>
      <w:r>
        <w:rPr>
          <w:rFonts w:ascii="Arial" w:cs="Arial" w:eastAsia="Arial" w:hAnsi="Arial"/>
          <w:sz w:val="18"/>
          <w:szCs w:val="18"/>
          <w:color w:val="auto"/>
        </w:rPr>
        <w:t>As the primary benefit of its contribution, Invitae will be entitled to preferred pricing on the Program Products if and when they are available for commercial sale. Each Program Product will have a preferential pricing period, which will not exceed four years from the date of the first delivery of that Program Product (“Preferential Pricing Period”). During the Preferential Pricing Period for each Program Product, Invitae may purchase the Program Product at a substantially reduced margin until it has recouped a multiple of its contribution as defined in the Development Agreement. For a specified period after the end of the Preferential Pricing Period, Invitae has the right to purchase the Program Product at a higher price, determined by a formula, than the price during the Preferential Pricing Period (“Extended Pricing Period”). The Extended Pricing Periods will terminate early if Invitae does not meet certain volume minimums.</w:t>
      </w:r>
    </w:p>
    <w:p>
      <w:pPr>
        <w:spacing w:after="0" w:line="46" w:lineRule="exact"/>
        <w:rPr>
          <w:sz w:val="20"/>
          <w:szCs w:val="20"/>
          <w:color w:val="auto"/>
        </w:rPr>
      </w:pPr>
    </w:p>
    <w:p>
      <w:pPr>
        <w:ind w:right="100" w:firstLine="440"/>
        <w:spacing w:after="0" w:line="253" w:lineRule="auto"/>
        <w:rPr>
          <w:sz w:val="20"/>
          <w:szCs w:val="20"/>
          <w:color w:val="auto"/>
        </w:rPr>
      </w:pPr>
      <w:r>
        <w:rPr>
          <w:rFonts w:ascii="Arial" w:cs="Arial" w:eastAsia="Arial" w:hAnsi="Arial"/>
          <w:sz w:val="17"/>
          <w:szCs w:val="17"/>
          <w:color w:val="auto"/>
        </w:rPr>
        <w:t>We and Invitae may terminate the Development Agreement if the other party remains in material breach of the Development Agreement following a cure period to remedy the material breach. In addition, the Development Agreement includes certain other circumstances for termination by each party, including circumstances where Invitae may terminate for delays, IP concerns, our change in control, or without cause.</w:t>
      </w:r>
    </w:p>
    <w:p>
      <w:pPr>
        <w:spacing w:after="0" w:line="30" w:lineRule="exact"/>
        <w:rPr>
          <w:sz w:val="20"/>
          <w:szCs w:val="20"/>
          <w:color w:val="auto"/>
        </w:rPr>
      </w:pPr>
    </w:p>
    <w:p>
      <w:pPr>
        <w:jc w:val="both"/>
        <w:ind w:right="180" w:firstLine="440"/>
        <w:spacing w:after="0" w:line="253" w:lineRule="auto"/>
        <w:rPr>
          <w:sz w:val="20"/>
          <w:szCs w:val="20"/>
          <w:color w:val="auto"/>
        </w:rPr>
      </w:pPr>
      <w:r>
        <w:rPr>
          <w:rFonts w:ascii="Arial" w:cs="Arial" w:eastAsia="Arial" w:hAnsi="Arial"/>
          <w:sz w:val="17"/>
          <w:szCs w:val="17"/>
          <w:color w:val="auto"/>
        </w:rPr>
        <w:t>In certain termination circumstances, (i) we will be obligated to refund all or a portion of the development costs advanced by Invitae and/or (ii) we will owe Invitae a share of the revenue that may be generated from the sale of the Program Products to third parties if and when they are commercialized, until such time as Invitae has recouped the amounts reimbursed to us, and in certain circumstances, a mutually agreed return.</w:t>
      </w:r>
    </w:p>
    <w:p>
      <w:pPr>
        <w:spacing w:after="0" w:line="30"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We expect to incur significant development costs over the duration of the Development Agreement. There can be no assurances that the development program will be successful or that the Program Products will become ready for commercial sale.</w:t>
      </w:r>
    </w:p>
    <w:p>
      <w:pPr>
        <w:spacing w:after="0" w:line="35" w:lineRule="exact"/>
        <w:rPr>
          <w:sz w:val="20"/>
          <w:szCs w:val="20"/>
          <w:color w:val="auto"/>
        </w:rPr>
      </w:pPr>
    </w:p>
    <w:p>
      <w:pPr>
        <w:ind w:right="20" w:firstLine="440"/>
        <w:spacing w:after="0" w:line="242" w:lineRule="auto"/>
        <w:rPr>
          <w:sz w:val="20"/>
          <w:szCs w:val="20"/>
          <w:color w:val="auto"/>
        </w:rPr>
      </w:pPr>
      <w:r>
        <w:rPr>
          <w:rFonts w:ascii="Arial" w:cs="Arial" w:eastAsia="Arial" w:hAnsi="Arial"/>
          <w:sz w:val="17"/>
          <w:szCs w:val="17"/>
          <w:color w:val="auto"/>
        </w:rPr>
        <w:t xml:space="preserve">We determined that the primary benefit from the arrangement to Invitae is the ability to procure the Program Products during the Preferential Pricing Period at substantial discounts. As we expect the Program Products to be available for Invitae to purchase in the future, we concluded the arrangement is within the scope of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In addition, Invitae is not expected to substantially benefit from the intellectual property developed under the arrangement, or benefit from other goods or services during the development period. We are responsible for performing the research and development activities.</w:t>
      </w:r>
    </w:p>
    <w:p>
      <w:pPr>
        <w:spacing w:after="0" w:line="40" w:lineRule="exact"/>
        <w:rPr>
          <w:sz w:val="20"/>
          <w:szCs w:val="20"/>
          <w:color w:val="auto"/>
        </w:rPr>
      </w:pPr>
    </w:p>
    <w:p>
      <w:pPr>
        <w:ind w:right="120" w:firstLine="440"/>
        <w:spacing w:after="0" w:line="261" w:lineRule="auto"/>
        <w:rPr>
          <w:sz w:val="20"/>
          <w:szCs w:val="20"/>
          <w:color w:val="auto"/>
        </w:rPr>
      </w:pPr>
      <w:r>
        <w:rPr>
          <w:rFonts w:ascii="Arial" w:cs="Arial" w:eastAsia="Arial" w:hAnsi="Arial"/>
          <w:sz w:val="16"/>
          <w:szCs w:val="16"/>
          <w:color w:val="auto"/>
        </w:rPr>
        <w:t>Accordingly, the amounts received by the Company from Invitae during the development period represent significant discounts toward future supplies of the Program Products during the Preferential Pricing Period, and will be accounted as material rights in accordance with ASC Topic 606</w:t>
      </w:r>
      <w:r>
        <w:rPr>
          <w:rFonts w:ascii="Arial" w:cs="Arial" w:eastAsia="Arial" w:hAnsi="Arial"/>
          <w:sz w:val="16"/>
          <w:szCs w:val="16"/>
          <w:i w:val="1"/>
          <w:iCs w:val="1"/>
          <w:color w:val="auto"/>
        </w:rPr>
        <w:t>.</w:t>
      </w:r>
      <w:r>
        <w:rPr>
          <w:rFonts w:ascii="Arial" w:cs="Arial" w:eastAsia="Arial" w:hAnsi="Arial"/>
          <w:sz w:val="16"/>
          <w:szCs w:val="16"/>
          <w:color w:val="auto"/>
        </w:rPr>
        <w:t xml:space="preserve"> Proportionate amounts of these material rights will be recognized in revenue when Invitae places purchase orders for Program Products and the associated goods or services are delivered to Invitae. To the extent the discounts are not expected to be used, they will be recognized consistent with the guidance in Topic 606 relating to breakage, in proportion to the expected purchases by Invitae. Any remaining unused discounts will be recognized when they expire.</w:t>
      </w:r>
    </w:p>
    <w:p>
      <w:pPr>
        <w:spacing w:after="0" w:line="26" w:lineRule="exact"/>
        <w:rPr>
          <w:sz w:val="20"/>
          <w:szCs w:val="20"/>
          <w:color w:val="auto"/>
        </w:rPr>
      </w:pPr>
    </w:p>
    <w:p>
      <w:pPr>
        <w:ind w:right="500" w:firstLine="440"/>
        <w:spacing w:after="0" w:line="299" w:lineRule="auto"/>
        <w:rPr>
          <w:sz w:val="20"/>
          <w:szCs w:val="20"/>
          <w:color w:val="auto"/>
        </w:rPr>
      </w:pPr>
      <w:r>
        <w:rPr>
          <w:rFonts w:ascii="Arial" w:cs="Arial" w:eastAsia="Arial" w:hAnsi="Arial"/>
          <w:sz w:val="16"/>
          <w:szCs w:val="16"/>
          <w:color w:val="auto"/>
        </w:rPr>
        <w:t>All amounts received from Invitae are initially deferred and accumulated in deferred revenue, non-current. As of September 30, 2021, we have recognized payments received from Invitae of $16.8 million of deferred revenue, non-current, on the Condensed Consolidated Balance Sheet.</w:t>
      </w:r>
    </w:p>
    <w:p>
      <w:pPr>
        <w:spacing w:after="0" w:line="1" w:lineRule="exact"/>
        <w:rPr>
          <w:sz w:val="20"/>
          <w:szCs w:val="20"/>
          <w:color w:val="auto"/>
        </w:rPr>
      </w:pPr>
    </w:p>
    <w:p>
      <w:pPr>
        <w:ind w:right="680" w:firstLine="440"/>
        <w:spacing w:after="0" w:line="246" w:lineRule="auto"/>
        <w:rPr>
          <w:sz w:val="20"/>
          <w:szCs w:val="20"/>
          <w:color w:val="auto"/>
        </w:rPr>
      </w:pPr>
      <w:r>
        <w:rPr>
          <w:rFonts w:ascii="Arial" w:cs="Arial" w:eastAsia="Arial" w:hAnsi="Arial"/>
          <w:sz w:val="18"/>
          <w:szCs w:val="18"/>
          <w:color w:val="auto"/>
        </w:rPr>
        <w:t>Costs incurred to develop the Program Products are research and development costs and are expensed as incurred. There were no capitalized origination or fulfilment costs related to the arrangement with Invitae that are eligible to be capitalized.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TERMINATION OF MERGER WITH ILLUMINA</w:t>
      </w:r>
    </w:p>
    <w:p>
      <w:pPr>
        <w:spacing w:after="0" w:line="175" w:lineRule="exact"/>
        <w:rPr>
          <w:sz w:val="20"/>
          <w:szCs w:val="20"/>
          <w:color w:val="auto"/>
        </w:rPr>
      </w:pPr>
    </w:p>
    <w:p>
      <w:pPr>
        <w:ind w:right="260" w:firstLine="440"/>
        <w:spacing w:after="0" w:line="235" w:lineRule="auto"/>
        <w:rPr>
          <w:sz w:val="20"/>
          <w:szCs w:val="20"/>
          <w:color w:val="auto"/>
        </w:rPr>
      </w:pPr>
      <w:r>
        <w:rPr>
          <w:rFonts w:ascii="Arial" w:cs="Arial" w:eastAsia="Arial" w:hAnsi="Arial"/>
          <w:sz w:val="18"/>
          <w:szCs w:val="18"/>
          <w:color w:val="auto"/>
        </w:rPr>
        <w:t>On November 1, 2018, we entered into an Agreement and Plan of Merger (as amended, the “Illumina Merger Agreement”) with Illumina, Inc. (“Illumina”) and FC Ops Corp., a wholly owned subsidiary of Illumina (“Illumina Merger Sub”). On January 2, 2020, we, Illumina and Illumina Merger Sub, entered into an agreement to terminate the Merger Agreement (the “Termination Agreement”).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Continuation Advances from Illumina</w:t>
      </w:r>
    </w:p>
    <w:p>
      <w:pPr>
        <w:spacing w:after="0" w:line="63" w:lineRule="exact"/>
        <w:rPr>
          <w:sz w:val="20"/>
          <w:szCs w:val="20"/>
          <w:color w:val="auto"/>
        </w:rPr>
      </w:pPr>
    </w:p>
    <w:p>
      <w:pPr>
        <w:ind w:right="40" w:firstLine="440"/>
        <w:spacing w:after="0" w:line="225" w:lineRule="auto"/>
        <w:rPr>
          <w:sz w:val="20"/>
          <w:szCs w:val="20"/>
          <w:color w:val="auto"/>
        </w:rPr>
      </w:pPr>
      <w:r>
        <w:rPr>
          <w:rFonts w:ascii="Arial" w:cs="Arial" w:eastAsia="Arial" w:hAnsi="Arial"/>
          <w:sz w:val="18"/>
          <w:szCs w:val="18"/>
          <w:color w:val="auto"/>
        </w:rPr>
        <w:t>As part of the Termination Agreement, Illumina paid us cash payments (“Continuation Advances”) of $18.0 million during the fourth quarter of 2019 and $34.0 million during the first quarter of 2020. We recorded the $34.0 million as part of other income in the Condensed Consolidated Statements of Operations and Comprehensive Income (Loss) for the nine months ended September 30,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100" w:firstLine="440"/>
        <w:spacing w:after="0" w:line="235" w:lineRule="auto"/>
        <w:rPr>
          <w:sz w:val="20"/>
          <w:szCs w:val="20"/>
          <w:color w:val="auto"/>
        </w:rPr>
      </w:pPr>
      <w:r>
        <w:rPr>
          <w:rFonts w:ascii="Arial" w:cs="Arial" w:eastAsia="Arial" w:hAnsi="Arial"/>
          <w:sz w:val="18"/>
          <w:szCs w:val="18"/>
          <w:color w:val="auto"/>
        </w:rPr>
        <w:t>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40" w:lineRule="exact"/>
        <w:rPr>
          <w:sz w:val="20"/>
          <w:szCs w:val="20"/>
          <w:color w:val="auto"/>
        </w:rPr>
      </w:pPr>
    </w:p>
    <w:p>
      <w:pPr>
        <w:ind w:right="100" w:firstLine="440"/>
        <w:spacing w:after="0" w:line="231" w:lineRule="auto"/>
        <w:rPr>
          <w:sz w:val="20"/>
          <w:szCs w:val="20"/>
          <w:color w:val="auto"/>
        </w:rPr>
      </w:pPr>
      <w:r>
        <w:rPr>
          <w:rFonts w:ascii="Arial" w:cs="Arial" w:eastAsia="Arial" w:hAnsi="Arial"/>
          <w:sz w:val="18"/>
          <w:szCs w:val="18"/>
          <w:color w:val="auto"/>
        </w:rPr>
        <w:t xml:space="preserve">Resulting from the issuance and sale of $900 million of 1.50% Convertible Senior Notes due February 15, 2028, $52.0 million of Continuation Advances were paid without interest to Illumina in February 2021 and recorded as other expense in the Condensed Consolidated Statements of Operations and Comprehensive Income (Loss) for the nine months ended September 30, 2021. Please refer to Note 5.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the accounting treatment of the Continuation Advances.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Termination Fee from Illumina</w:t>
      </w:r>
    </w:p>
    <w:p>
      <w:pPr>
        <w:spacing w:after="0" w:line="63" w:lineRule="exact"/>
        <w:rPr>
          <w:sz w:val="20"/>
          <w:szCs w:val="20"/>
          <w:color w:val="auto"/>
        </w:rPr>
      </w:pPr>
    </w:p>
    <w:p>
      <w:pPr>
        <w:ind w:right="260" w:firstLine="440"/>
        <w:spacing w:after="0" w:line="246" w:lineRule="auto"/>
        <w:rPr>
          <w:sz w:val="20"/>
          <w:szCs w:val="20"/>
          <w:color w:val="auto"/>
        </w:rPr>
      </w:pPr>
      <w:r>
        <w:rPr>
          <w:rFonts w:ascii="Arial" w:cs="Arial" w:eastAsia="Arial" w:hAnsi="Arial"/>
          <w:sz w:val="18"/>
          <w:szCs w:val="18"/>
          <w:color w:val="auto"/>
        </w:rPr>
        <w:t>As part of the Termination Agreement, Illumina paid us a $98.0 million termination fee (the “Reverse Termination Fee”), from which we paid our financial advisor associated fees of $6.0 million in April 2020.</w:t>
      </w:r>
    </w:p>
    <w:p>
      <w:pPr>
        <w:spacing w:after="0" w:line="35" w:lineRule="exact"/>
        <w:rPr>
          <w:sz w:val="20"/>
          <w:szCs w:val="20"/>
          <w:color w:val="auto"/>
        </w:rPr>
      </w:pPr>
    </w:p>
    <w:p>
      <w:pPr>
        <w:ind w:right="40" w:firstLine="440"/>
        <w:spacing w:after="0"/>
        <w:rPr>
          <w:sz w:val="20"/>
          <w:szCs w:val="20"/>
          <w:color w:val="auto"/>
        </w:rPr>
      </w:pPr>
      <w:r>
        <w:rPr>
          <w:rFonts w:ascii="Arial" w:cs="Arial" w:eastAsia="Arial" w:hAnsi="Arial"/>
          <w:sz w:val="17"/>
          <w:szCs w:val="17"/>
          <w:color w:val="auto"/>
        </w:rPr>
        <w:t xml:space="preserve">Pursuant to the Termination Agreement, in the event that, on or prior to September 30, 2020, we entered into a definitive agreement providing for, or consummated, a Change of Control Transaction, then we may have been required to repay the Reverse Termination Fee (without interest) to Illumina in connection with the consummation of such Change of Control Transaction. As indicated in ASC 450, </w:t>
      </w:r>
      <w:r>
        <w:rPr>
          <w:rFonts w:ascii="Arial" w:cs="Arial" w:eastAsia="Arial" w:hAnsi="Arial"/>
          <w:sz w:val="17"/>
          <w:szCs w:val="17"/>
          <w:i w:val="1"/>
          <w:iCs w:val="1"/>
          <w:color w:val="auto"/>
        </w:rPr>
        <w:t>Contingencies</w:t>
      </w:r>
      <w:r>
        <w:rPr>
          <w:rFonts w:ascii="Arial" w:cs="Arial" w:eastAsia="Arial" w:hAnsi="Arial"/>
          <w:sz w:val="17"/>
          <w:szCs w:val="17"/>
          <w:color w:val="auto"/>
        </w:rPr>
        <w:t>, a gain contingency usually is not recognized in the financial statements until the period in which all contingencies are resolved and the gain is realizable. As such, we deferred the gain from the Reverse Termination Fee from Illumina until the date when the associated contingency lapsed. On October 1, 2020, the contingency clauses lapsed and we recorded the $98.0 million as a part of other income in the fourth quarter of 2020.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63" w:lineRule="exact"/>
        <w:rPr>
          <w:sz w:val="20"/>
          <w:szCs w:val="20"/>
          <w:color w:val="auto"/>
        </w:rPr>
      </w:pPr>
    </w:p>
    <w:p>
      <w:pPr>
        <w:ind w:firstLine="440"/>
        <w:spacing w:after="0" w:line="239" w:lineRule="auto"/>
        <w:rPr>
          <w:sz w:val="20"/>
          <w:szCs w:val="20"/>
          <w:color w:val="auto"/>
        </w:rPr>
      </w:pPr>
      <w:r>
        <w:rPr>
          <w:rFonts w:ascii="Arial" w:cs="Arial" w:eastAsia="Arial" w:hAnsi="Arial"/>
          <w:sz w:val="17"/>
          <w:szCs w:val="17"/>
          <w:color w:val="auto"/>
        </w:rPr>
        <w:t>The accompanying unaudited condensed consolidated financial statements, which include the accounts of Pacific Biosciences and the accounts of our wholly-owned subsidiaries, have been prepared in accordance with U.S. generally accepted accounting principles (“GAAP”). Certain information and footnote disclosures typically included in our audited financial statements have been condensed or omitted. The accompanying unaudited condensed consolidated financial statements have been prepared on a consistent basis with the December 31, 2020 audited consolidated financial statements and include all adjustments, consisting of only normal recurring adjustments, necessary to fairly state our financial position, results of operations, comprehensive income (loss), and cash flows for the period, but are not necessarily indicative of the results to be expected for the entire year or any future periods. All intercompany transactions and balances have been eliminated.</w:t>
      </w:r>
    </w:p>
    <w:p>
      <w:pPr>
        <w:spacing w:after="0" w:line="41"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The financial statements should be read in conjunction with the audited consolidated financial statements and notes included in our Annual Report on Form 10-K for the year ended December 31,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63" w:lineRule="exact"/>
        <w:rPr>
          <w:sz w:val="20"/>
          <w:szCs w:val="20"/>
          <w:color w:val="auto"/>
        </w:rPr>
      </w:pPr>
    </w:p>
    <w:p>
      <w:pPr>
        <w:ind w:right="280" w:firstLine="440"/>
        <w:spacing w:after="0" w:line="231" w:lineRule="auto"/>
        <w:rPr>
          <w:sz w:val="20"/>
          <w:szCs w:val="20"/>
          <w:color w:val="auto"/>
        </w:rPr>
      </w:pPr>
      <w:r>
        <w:rPr>
          <w:rFonts w:ascii="Arial" w:cs="Arial" w:eastAsia="Arial" w:hAnsi="Arial"/>
          <w:sz w:val="18"/>
          <w:szCs w:val="18"/>
          <w:color w:val="auto"/>
        </w:rPr>
        <w:t>We are subject to risks and uncertainties as a result of the novel coronavirus pandemic (“COVID-19”). The extent of the impact of the COVID-19 pandemic on our business is highly uncertain as responses to the pandemic can change quickly and information is continuing to evolve, including the effects of the Delta variant. We considered the impact of COVID-19 on the assumptions and estimates used to determine the results reported and asset valuations as of September 30,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63" w:lineRule="exact"/>
        <w:rPr>
          <w:sz w:val="20"/>
          <w:szCs w:val="20"/>
          <w:color w:val="auto"/>
        </w:rPr>
      </w:pPr>
    </w:p>
    <w:p>
      <w:pPr>
        <w:ind w:right="20" w:firstLine="440"/>
        <w:spacing w:after="0" w:line="235"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amounts reported in the financial statements and accompanying notes to the financial statements. On an ongoing basis, management evaluates its significant estimates including, but not limited to, the valuation of inventory, the determination of stand-alone selling prices for revenue recognition, the fair value of contingent consideration, the valuation of acquired intangible assets, the fair value of certain equity awards, the useful lives assigned to long-lived assets, the computation of provisions for income taxes, the borrowing rate used in calculating the operating lease right-of-use assets and operating lease liabilities, and the valuations related to our convertible senior notes. Actual results could differ materially from these estimates.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63" w:lineRule="exact"/>
        <w:rPr>
          <w:sz w:val="20"/>
          <w:szCs w:val="20"/>
          <w:color w:val="auto"/>
        </w:rPr>
      </w:pPr>
    </w:p>
    <w:p>
      <w:pPr>
        <w:ind w:right="660" w:firstLine="440"/>
        <w:spacing w:after="0" w:line="246" w:lineRule="auto"/>
        <w:rPr>
          <w:sz w:val="20"/>
          <w:szCs w:val="20"/>
          <w:color w:val="auto"/>
        </w:rPr>
      </w:pPr>
      <w:r>
        <w:rPr>
          <w:rFonts w:ascii="Arial" w:cs="Arial" w:eastAsia="Arial" w:hAnsi="Arial"/>
          <w:sz w:val="18"/>
          <w:szCs w:val="18"/>
          <w:color w:val="auto"/>
        </w:rPr>
        <w:t>Fair value is the exchange price that would be received to sell an asset or paid to transfer a liability in an orderly transaction between market participants at the measurement date.</w:t>
      </w:r>
    </w:p>
    <w:p>
      <w:pPr>
        <w:spacing w:after="0" w:line="35" w:lineRule="exact"/>
        <w:rPr>
          <w:sz w:val="20"/>
          <w:szCs w:val="20"/>
          <w:color w:val="auto"/>
        </w:rPr>
      </w:pPr>
    </w:p>
    <w:p>
      <w:pPr>
        <w:ind w:right="120" w:firstLine="440"/>
        <w:spacing w:after="0" w:line="246" w:lineRule="auto"/>
        <w:rPr>
          <w:sz w:val="20"/>
          <w:szCs w:val="20"/>
          <w:color w:val="auto"/>
        </w:rPr>
      </w:pPr>
      <w:r>
        <w:rPr>
          <w:rFonts w:ascii="Arial" w:cs="Arial" w:eastAsia="Arial" w:hAnsi="Arial"/>
          <w:sz w:val="18"/>
          <w:szCs w:val="18"/>
          <w:color w:val="auto"/>
        </w:rPr>
        <w:t>The fair value hierarchy established under GAAP requires an entity to maximize the use of observable inputs and minimize the use of unobservable inputs when measuring fair value. The three levels of inputs that may be used to measure fair value are as follows: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90" w:lineRule="exact"/>
        <w:rPr>
          <w:sz w:val="20"/>
          <w:szCs w:val="20"/>
          <w:color w:val="auto"/>
        </w:rPr>
      </w:pPr>
    </w:p>
    <w:p>
      <w:pPr>
        <w:ind w:left="1100"/>
        <w:spacing w:after="0" w:line="253" w:lineRule="auto"/>
        <w:rPr>
          <w:sz w:val="20"/>
          <w:szCs w:val="20"/>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57" w:lineRule="exact"/>
        <w:rPr>
          <w:sz w:val="20"/>
          <w:szCs w:val="20"/>
          <w:color w:val="auto"/>
        </w:rPr>
      </w:pPr>
    </w:p>
    <w:p>
      <w:pPr>
        <w:ind w:left="1100" w:right="560"/>
        <w:spacing w:after="0" w:line="246"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35" w:lineRule="exact"/>
        <w:rPr>
          <w:sz w:val="20"/>
          <w:szCs w:val="20"/>
          <w:color w:val="auto"/>
        </w:rPr>
      </w:pPr>
    </w:p>
    <w:p>
      <w:pPr>
        <w:ind w:right="80" w:firstLine="482"/>
        <w:spacing w:after="0" w:line="246" w:lineRule="auto"/>
        <w:rPr>
          <w:sz w:val="20"/>
          <w:szCs w:val="20"/>
          <w:color w:val="auto"/>
        </w:rPr>
      </w:pPr>
      <w:r>
        <w:rPr>
          <w:rFonts w:ascii="Arial" w:cs="Arial" w:eastAsia="Arial" w:hAnsi="Arial"/>
          <w:sz w:val="17"/>
          <w:szCs w:val="17"/>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36" w:lineRule="exact"/>
        <w:rPr>
          <w:sz w:val="20"/>
          <w:szCs w:val="20"/>
          <w:color w:val="auto"/>
        </w:rPr>
      </w:pPr>
    </w:p>
    <w:p>
      <w:pPr>
        <w:ind w:right="120" w:firstLine="440"/>
        <w:spacing w:after="0" w:line="235" w:lineRule="auto"/>
        <w:rPr>
          <w:sz w:val="20"/>
          <w:szCs w:val="20"/>
          <w:color w:val="auto"/>
        </w:rPr>
      </w:pPr>
      <w:r>
        <w:rPr>
          <w:rFonts w:ascii="Arial" w:cs="Arial" w:eastAsia="Arial" w:hAnsi="Arial"/>
          <w:sz w:val="18"/>
          <w:szCs w:val="18"/>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40" w:lineRule="exact"/>
        <w:rPr>
          <w:sz w:val="20"/>
          <w:szCs w:val="20"/>
          <w:color w:val="auto"/>
        </w:rPr>
      </w:pPr>
    </w:p>
    <w:p>
      <w:pPr>
        <w:ind w:right="240" w:firstLine="440"/>
        <w:spacing w:after="0" w:line="235"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40" w:lineRule="exact"/>
        <w:rPr>
          <w:sz w:val="20"/>
          <w:szCs w:val="20"/>
          <w:color w:val="auto"/>
        </w:rPr>
      </w:pPr>
    </w:p>
    <w:p>
      <w:pPr>
        <w:ind w:right="360" w:firstLine="440"/>
        <w:spacing w:after="0" w:line="228" w:lineRule="auto"/>
        <w:rPr>
          <w:sz w:val="20"/>
          <w:szCs w:val="20"/>
          <w:color w:val="auto"/>
        </w:rPr>
      </w:pPr>
      <w:r>
        <w:rPr>
          <w:rFonts w:ascii="Arial" w:cs="Arial" w:eastAsia="Arial" w:hAnsi="Arial"/>
          <w:sz w:val="18"/>
          <w:szCs w:val="18"/>
          <w:color w:val="auto"/>
        </w:rPr>
        <w:t>The carrying amount of our accounts receivable, prepaid expenses, other current assets, accounts payable, accrued expenses and other liabilities, current, approximate fair value due to their short maturities.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63" w:lineRule="exact"/>
        <w:rPr>
          <w:sz w:val="20"/>
          <w:szCs w:val="20"/>
          <w:color w:val="auto"/>
        </w:rPr>
      </w:pPr>
    </w:p>
    <w:p>
      <w:pPr>
        <w:ind w:right="200" w:firstLine="492"/>
        <w:spacing w:after="0" w:line="246" w:lineRule="auto"/>
        <w:rPr>
          <w:sz w:val="20"/>
          <w:szCs w:val="20"/>
          <w:color w:val="auto"/>
        </w:rPr>
      </w:pPr>
      <w:r>
        <w:rPr>
          <w:rFonts w:ascii="Arial" w:cs="Arial" w:eastAsia="Arial" w:hAnsi="Arial"/>
          <w:sz w:val="18"/>
          <w:szCs w:val="18"/>
          <w:color w:val="auto"/>
        </w:rPr>
        <w:t>The following table sets forth the fair value of our financial assets and liabilities that were measured on a recurring basis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September 30, 2021</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83"/>
        </w:trPr>
        <w:tc>
          <w:tcPr>
            <w:tcW w:w="27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18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3</w:t>
            </w:r>
          </w:p>
        </w:tc>
        <w:tc>
          <w:tcPr>
            <w:tcW w:w="20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Arial" w:cs="Arial" w:eastAsia="Arial" w:hAnsi="Arial"/>
                <w:sz w:val="13"/>
                <w:szCs w:val="13"/>
                <w:b w:val="1"/>
                <w:bCs w:val="1"/>
                <w:color w:val="auto"/>
              </w:rPr>
              <w:t>Total</w:t>
            </w:r>
          </w:p>
        </w:tc>
      </w:tr>
      <w:tr>
        <w:trPr>
          <w:trHeight w:val="211"/>
        </w:trPr>
        <w:tc>
          <w:tcPr>
            <w:tcW w:w="2700" w:type="dxa"/>
            <w:vAlign w:val="bottom"/>
            <w:gridSpan w:val="4"/>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01"/>
        </w:trPr>
        <w:tc>
          <w:tcPr>
            <w:tcW w:w="2700" w:type="dxa"/>
            <w:vAlign w:val="bottom"/>
            <w:gridSpan w:val="4"/>
          </w:tcPr>
          <w:p>
            <w:pPr>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7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Cash and money market funds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364,020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364,020</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43,040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43,040</w:t>
            </w:r>
          </w:p>
        </w:tc>
      </w:tr>
      <w:tr>
        <w:trPr>
          <w:trHeight w:val="230"/>
        </w:trPr>
        <w:tc>
          <w:tcPr>
            <w:tcW w:w="2700" w:type="dxa"/>
            <w:vAlign w:val="bottom"/>
            <w:gridSpan w:val="4"/>
          </w:tcPr>
          <w:p>
            <w:pPr>
              <w:spacing w:after="0"/>
              <w:rPr>
                <w:sz w:val="20"/>
                <w:szCs w:val="20"/>
                <w:color w:val="auto"/>
              </w:rPr>
            </w:pPr>
            <w:r>
              <w:rPr>
                <w:rFonts w:ascii="Arial" w:cs="Arial" w:eastAsia="Arial" w:hAnsi="Arial"/>
                <w:sz w:val="14"/>
                <w:szCs w:val="14"/>
                <w:color w:val="auto"/>
              </w:rPr>
              <w:t>Commercial paper</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61,368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61,368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32,537</w:t>
            </w:r>
          </w:p>
        </w:tc>
      </w:tr>
      <w:tr>
        <w:trPr>
          <w:trHeight w:val="229"/>
        </w:trPr>
        <w:tc>
          <w:tcPr>
            <w:tcW w:w="27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U.S. government &amp; agency securities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229"/>
        </w:trPr>
        <w:tc>
          <w:tcPr>
            <w:tcW w:w="2700" w:type="dxa"/>
            <w:vAlign w:val="bottom"/>
            <w:gridSpan w:val="4"/>
          </w:tcPr>
          <w:p>
            <w:pPr>
              <w:spacing w:after="0"/>
              <w:rPr>
                <w:sz w:val="20"/>
                <w:szCs w:val="20"/>
                <w:color w:val="auto"/>
              </w:rPr>
            </w:pPr>
            <w:r>
              <w:rPr>
                <w:rFonts w:ascii="Arial" w:cs="Arial" w:eastAsia="Arial" w:hAnsi="Arial"/>
                <w:sz w:val="14"/>
                <w:szCs w:val="14"/>
                <w:color w:val="auto"/>
              </w:rPr>
              <w:t>U.S. Treasury security</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5,864</w:t>
            </w:r>
          </w:p>
        </w:tc>
      </w:tr>
      <w:tr>
        <w:trPr>
          <w:trHeight w:val="20"/>
        </w:trPr>
        <w:tc>
          <w:tcPr>
            <w:tcW w:w="7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23"/>
        </w:trPr>
        <w:tc>
          <w:tcPr>
            <w:tcW w:w="27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cash and cash equivalents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364,020</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61,368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425,388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43,040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81,611</w:t>
            </w:r>
          </w:p>
        </w:tc>
      </w:tr>
      <w:tr>
        <w:trPr>
          <w:trHeight w:val="216"/>
        </w:trPr>
        <w:tc>
          <w:tcPr>
            <w:tcW w:w="2700" w:type="dxa"/>
            <w:vAlign w:val="bottom"/>
            <w:gridSpan w:val="4"/>
          </w:tcPr>
          <w:p>
            <w:pPr>
              <w:spacing w:after="0"/>
              <w:rPr>
                <w:sz w:val="20"/>
                <w:szCs w:val="20"/>
                <w:color w:val="auto"/>
              </w:rPr>
            </w:pPr>
            <w:r>
              <w:rPr>
                <w:rFonts w:ascii="Arial" w:cs="Arial" w:eastAsia="Arial" w:hAnsi="Arial"/>
                <w:sz w:val="14"/>
                <w:szCs w:val="14"/>
                <w:color w:val="auto"/>
              </w:rPr>
              <w:t>Investments: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7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255,817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112,644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112,644</w:t>
            </w:r>
          </w:p>
        </w:tc>
      </w:tr>
      <w:tr>
        <w:trPr>
          <w:trHeight w:val="229"/>
        </w:trPr>
        <w:tc>
          <w:tcPr>
            <w:tcW w:w="2700" w:type="dxa"/>
            <w:vAlign w:val="bottom"/>
            <w:gridSpan w:val="4"/>
          </w:tcPr>
          <w:p>
            <w:pPr>
              <w:spacing w:after="0"/>
              <w:rPr>
                <w:sz w:val="20"/>
                <w:szCs w:val="20"/>
                <w:color w:val="auto"/>
              </w:rPr>
            </w:pPr>
            <w:r>
              <w:rPr>
                <w:rFonts w:ascii="Arial" w:cs="Arial" w:eastAsia="Arial" w:hAnsi="Arial"/>
                <w:sz w:val="14"/>
                <w:szCs w:val="14"/>
                <w:color w:val="auto"/>
              </w:rPr>
              <w:t>Corporate debt securities</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17,456</w:t>
            </w:r>
          </w:p>
        </w:tc>
      </w:tr>
      <w:tr>
        <w:trPr>
          <w:trHeight w:val="229"/>
        </w:trPr>
        <w:tc>
          <w:tcPr>
            <w:tcW w:w="27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U.S. government &amp; agency securities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385,090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107,103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107,103</w:t>
            </w:r>
          </w:p>
        </w:tc>
      </w:tr>
      <w:tr>
        <w:trPr>
          <w:trHeight w:val="20"/>
        </w:trPr>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2700" w:type="dxa"/>
            <w:vAlign w:val="bottom"/>
            <w:gridSpan w:val="4"/>
          </w:tcPr>
          <w:p>
            <w:pPr>
              <w:spacing w:after="0"/>
              <w:rPr>
                <w:sz w:val="20"/>
                <w:szCs w:val="20"/>
                <w:color w:val="auto"/>
              </w:rPr>
            </w:pPr>
            <w:r>
              <w:rPr>
                <w:rFonts w:ascii="Arial" w:cs="Arial" w:eastAsia="Arial" w:hAnsi="Arial"/>
                <w:sz w:val="14"/>
                <w:szCs w:val="14"/>
                <w:color w:val="auto"/>
              </w:rPr>
              <w:t>Total investments</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654,502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654,502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237,203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237,203</w:t>
            </w:r>
          </w:p>
        </w:tc>
      </w:tr>
      <w:tr>
        <w:trPr>
          <w:trHeight w:val="216"/>
        </w:trPr>
        <w:tc>
          <w:tcPr>
            <w:tcW w:w="1560" w:type="dxa"/>
            <w:vAlign w:val="bottom"/>
            <w:tcBorders>
              <w:bottom w:val="single" w:sz="8" w:color="auto"/>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2"/>
              </w:rPr>
              <w:t>Short-term restricted cash:</w:t>
            </w: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23"/>
        </w:trPr>
        <w:tc>
          <w:tcPr>
            <w:tcW w:w="2700" w:type="dxa"/>
            <w:vAlign w:val="bottom"/>
            <w:gridSpan w:val="4"/>
          </w:tcPr>
          <w:p>
            <w:pPr>
              <w:spacing w:after="0"/>
              <w:rPr>
                <w:sz w:val="20"/>
                <w:szCs w:val="20"/>
                <w:color w:val="auto"/>
              </w:rPr>
            </w:pPr>
            <w:r>
              <w:rPr>
                <w:rFonts w:ascii="Arial" w:cs="Arial" w:eastAsia="Arial" w:hAnsi="Arial"/>
                <w:sz w:val="14"/>
                <w:szCs w:val="14"/>
                <w:color w:val="auto"/>
              </w:rPr>
              <w:t>Cash</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6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836</w:t>
            </w:r>
          </w:p>
        </w:tc>
      </w:tr>
      <w:tr>
        <w:trPr>
          <w:trHeight w:val="216"/>
        </w:trPr>
        <w:tc>
          <w:tcPr>
            <w:tcW w:w="27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Long-term restricted cash:</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3"/>
        </w:trPr>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Cash</w:t>
            </w:r>
          </w:p>
        </w:tc>
        <w:tc>
          <w:tcPr>
            <w:tcW w:w="1180" w:type="dxa"/>
            <w:vAlign w:val="bottom"/>
            <w:tcBorders>
              <w:top w:val="single" w:sz="8" w:color="CCEEFF"/>
            </w:tcBorders>
            <w:gridSpan w:val="2"/>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4,560</w:t>
            </w:r>
          </w:p>
        </w:tc>
        <w:tc>
          <w:tcPr>
            <w:tcW w:w="18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4,560</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3,500</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3,500</w:t>
            </w:r>
          </w:p>
        </w:tc>
      </w:tr>
      <w:tr>
        <w:trPr>
          <w:trHeight w:val="20"/>
        </w:trPr>
        <w:tc>
          <w:tcPr>
            <w:tcW w:w="7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96"/>
        </w:trPr>
        <w:tc>
          <w:tcPr>
            <w:tcW w:w="27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assets measured at fair value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369,080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715,870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1,084,950</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47,376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323,150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70"/>
        </w:trPr>
        <w:tc>
          <w:tcPr>
            <w:tcW w:w="27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149"/>
        </w:trPr>
        <w:tc>
          <w:tcPr>
            <w:tcW w:w="2700" w:type="dxa"/>
            <w:vAlign w:val="bottom"/>
            <w:gridSpan w:val="4"/>
          </w:tcPr>
          <w:p>
            <w:pPr>
              <w:spacing w:after="0" w:line="149" w:lineRule="exact"/>
              <w:rPr>
                <w:sz w:val="20"/>
                <w:szCs w:val="20"/>
                <w:color w:val="auto"/>
              </w:rPr>
            </w:pPr>
            <w:r>
              <w:rPr>
                <w:rFonts w:ascii="Arial" w:cs="Arial" w:eastAsia="Arial" w:hAnsi="Arial"/>
                <w:sz w:val="14"/>
                <w:szCs w:val="14"/>
                <w:color w:val="auto"/>
              </w:rPr>
              <w:t>Continuation Advances</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270"/>
        </w:trPr>
        <w:tc>
          <w:tcPr>
            <w:tcW w:w="27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Contingent consideration</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4"/>
              </w:rPr>
              <w:t>168,574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2"/>
        </w:trPr>
        <w:tc>
          <w:tcPr>
            <w:tcW w:w="2700" w:type="dxa"/>
            <w:vAlign w:val="bottom"/>
            <w:gridSpan w:val="4"/>
          </w:tcPr>
          <w:p>
            <w:pPr>
              <w:spacing w:after="0" w:line="142" w:lineRule="exact"/>
              <w:rPr>
                <w:sz w:val="20"/>
                <w:szCs w:val="20"/>
                <w:color w:val="auto"/>
              </w:rPr>
            </w:pPr>
            <w:r>
              <w:rPr>
                <w:rFonts w:ascii="Arial" w:cs="Arial" w:eastAsia="Arial" w:hAnsi="Arial"/>
                <w:sz w:val="14"/>
                <w:szCs w:val="14"/>
                <w:color w:val="auto"/>
              </w:rPr>
              <w:t>Total liabilities measured at fair value</w:t>
            </w: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ind w:left="64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color w:val="auto"/>
                <w:w w:val="94"/>
              </w:rPr>
              <w:t>168,574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168,574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58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ind w:left="620"/>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ind w:left="38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r>
      <w:tr>
        <w:trPr>
          <w:trHeight w:val="20"/>
        </w:trPr>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60" w:firstLine="440"/>
        <w:spacing w:after="0"/>
        <w:rPr>
          <w:sz w:val="20"/>
          <w:szCs w:val="20"/>
          <w:color w:val="auto"/>
        </w:rPr>
      </w:pPr>
      <w:r>
        <w:rPr>
          <w:rFonts w:ascii="Arial" w:cs="Arial" w:eastAsia="Arial" w:hAnsi="Arial"/>
          <w:sz w:val="17"/>
          <w:szCs w:val="17"/>
          <w:color w:val="auto"/>
        </w:rPr>
        <w:t>We classify contingent consideration, which was incurred in connection with the acquisition of Omniome, within Level 3 as factors used to develop the estimate of fair value include unobservable inputs that are not supported by market activity and are significant to the fair value. We estimate the fair value of the contingent consideration liability by discounting the probability-weighted outcomes to present value using an estimate of our borrowing rate and the risk-free rate. The potential outcomes of milestone achievement dates are within the period from December 31, 2022 to June 30, 2025, with the highest probability of achieving the milestone in the middle of this period. The discount rates used are the sum of the U.S. risk-free rate and the estimated subordinated credit spread for CCC+ and B- credit rating, which ranges from 4.3% to 4.8%.</w:t>
      </w:r>
    </w:p>
    <w:p>
      <w:pPr>
        <w:spacing w:after="0" w:line="42" w:lineRule="exact"/>
        <w:rPr>
          <w:sz w:val="20"/>
          <w:szCs w:val="20"/>
          <w:color w:val="auto"/>
        </w:rPr>
      </w:pPr>
    </w:p>
    <w:p>
      <w:pPr>
        <w:ind w:right="160" w:firstLine="440"/>
        <w:spacing w:after="0" w:line="231" w:lineRule="auto"/>
        <w:rPr>
          <w:sz w:val="20"/>
          <w:szCs w:val="20"/>
          <w:color w:val="auto"/>
        </w:rPr>
      </w:pPr>
      <w:r>
        <w:rPr>
          <w:rFonts w:ascii="Arial" w:cs="Arial" w:eastAsia="Arial" w:hAnsi="Arial"/>
          <w:sz w:val="18"/>
          <w:szCs w:val="18"/>
          <w:color w:val="auto"/>
        </w:rPr>
        <w:t>As of December 31, 2020, we classified the Continuation Advances, which were incurred in connection with the Illumina Merger Agreement and were subject to repayment under certain circumstances, as a financial liability and were reported at fair value. The estimated fair value of the liability related to the Continuation Advances was determined using Level 3 inputs, or significant unobservable inputs. Management assessed the fair value of this financial instrument to be zero at December 31, 2020.</w:t>
      </w:r>
    </w:p>
    <w:p>
      <w:pPr>
        <w:spacing w:after="0" w:line="40" w:lineRule="exact"/>
        <w:rPr>
          <w:sz w:val="20"/>
          <w:szCs w:val="20"/>
          <w:color w:val="auto"/>
        </w:rPr>
      </w:pPr>
    </w:p>
    <w:p>
      <w:pPr>
        <w:ind w:right="320" w:firstLine="440"/>
        <w:spacing w:after="0" w:line="227" w:lineRule="auto"/>
        <w:rPr>
          <w:sz w:val="20"/>
          <w:szCs w:val="20"/>
          <w:color w:val="auto"/>
        </w:rPr>
      </w:pPr>
      <w:r>
        <w:rPr>
          <w:rFonts w:ascii="Arial" w:cs="Arial" w:eastAsia="Arial" w:hAnsi="Arial"/>
          <w:sz w:val="18"/>
          <w:szCs w:val="18"/>
          <w:color w:val="auto"/>
        </w:rPr>
        <w:t xml:space="preserve">We were first approached by SB Northstar LP during the quarter ended March 31, 2021 regarding a potential convertible debt transaction. As discussed further below in Note 8.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in February 2021, we entered into an investment agreement with SB Northstar LP for the issuance and sale of $900 million of 1.50% Convertible Senior Notes due February 15, 2028. As a result, $52.0 million of Continuation Advances were repaid without interest to Illumina in February 2021 and recorded as other expense in the Condensed Consolidated Statements of Operations and Comprehensive Income (Loss) for the nine months ended September 30, 2021. There was no further liability exposure for Continuation Advances as of September 30, 2021.</w:t>
      </w:r>
    </w:p>
    <w:p>
      <w:pPr>
        <w:spacing w:after="0" w:line="40" w:lineRule="exact"/>
        <w:rPr>
          <w:sz w:val="20"/>
          <w:szCs w:val="20"/>
          <w:color w:val="auto"/>
        </w:rPr>
      </w:pPr>
    </w:p>
    <w:p>
      <w:pPr>
        <w:ind w:right="60" w:firstLine="440"/>
        <w:spacing w:after="0" w:line="235" w:lineRule="auto"/>
        <w:rPr>
          <w:sz w:val="20"/>
          <w:szCs w:val="20"/>
          <w:color w:val="auto"/>
        </w:rPr>
      </w:pPr>
      <w:r>
        <w:rPr>
          <w:rFonts w:ascii="Arial" w:cs="Arial" w:eastAsia="Arial" w:hAnsi="Arial"/>
          <w:sz w:val="18"/>
          <w:szCs w:val="18"/>
          <w:color w:val="auto"/>
        </w:rPr>
        <w:t>For the quarter ended September 30, 2021, there were no transfers between Level 1, Level 2, or Level 3 assets or liabilities reported at fair value on a recurring basis and our valuation techniques did not change compared to the prior year. As discussed above, we recorded a contingent consideration liability in connection with our acquisition of Omniome during the quarter ended September 30, 2021.</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44" w:lineRule="exact"/>
        <w:rPr>
          <w:sz w:val="20"/>
          <w:szCs w:val="20"/>
          <w:color w:val="auto"/>
        </w:rPr>
      </w:pPr>
    </w:p>
    <w:p>
      <w:pPr>
        <w:ind w:firstLine="440"/>
        <w:spacing w:after="0" w:line="246" w:lineRule="auto"/>
        <w:rPr>
          <w:sz w:val="20"/>
          <w:szCs w:val="20"/>
          <w:color w:val="auto"/>
        </w:rPr>
      </w:pPr>
      <w:r>
        <w:rPr>
          <w:rFonts w:ascii="Arial" w:cs="Arial" w:eastAsia="Arial" w:hAnsi="Arial"/>
          <w:sz w:val="17"/>
          <w:szCs w:val="17"/>
          <w:color w:val="auto"/>
        </w:rPr>
        <w:t>Basic net income (loss) per share is computed by dividing net income (loss) by the weighted average number of shares of common stock outstanding during the period. Diluted net income (loss) per share is computed using the weighted average number of shares of common stock outstanding and potential shares assuming the dilutive effect of the convertible senior notes, using the if-converted method, and outstanding stock options, restricted stock units and common stock issuable pursuant to our employee stock purchase plan, or ESPP, using the treasury stock method.</w:t>
      </w:r>
    </w:p>
    <w:p>
      <w:pPr>
        <w:spacing w:after="0" w:line="117" w:lineRule="exact"/>
        <w:rPr>
          <w:sz w:val="20"/>
          <w:szCs w:val="20"/>
          <w:color w:val="auto"/>
        </w:rPr>
      </w:pPr>
    </w:p>
    <w:p>
      <w:pPr>
        <w:ind w:right="260" w:firstLine="440"/>
        <w:spacing w:after="0" w:line="243" w:lineRule="auto"/>
        <w:rPr>
          <w:sz w:val="20"/>
          <w:szCs w:val="20"/>
          <w:color w:val="auto"/>
        </w:rPr>
      </w:pPr>
      <w:r>
        <w:rPr>
          <w:rFonts w:ascii="Arial" w:cs="Arial" w:eastAsia="Arial" w:hAnsi="Arial"/>
          <w:sz w:val="18"/>
          <w:szCs w:val="18"/>
          <w:color w:val="auto"/>
        </w:rPr>
        <w:t>The following table presents the calculation of the basic and diluted net income (loss) per share amounts presented in the Condensed Consolidated Statements of Operations and Comprehensive Income (Loss) (in thousands, except per share amounts):</w:t>
      </w: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2360" w:type="dxa"/>
            <w:vAlign w:val="bottom"/>
            <w:gridSpan w:val="7"/>
          </w:tcPr>
          <w:p>
            <w:pPr>
              <w:ind w:left="8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9"/>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i w:val="1"/>
                <w:iCs w:val="1"/>
                <w:color w:val="auto"/>
              </w:rPr>
              <w:t>Numerator:</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5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16,542</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(23,708)</w:t>
            </w:r>
          </w:p>
        </w:tc>
        <w:tc>
          <w:tcPr>
            <w:tcW w:w="34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(111,894)</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w w:val="94"/>
              </w:rPr>
              <w:t>Weighted average shares used in computing net income (loss) per share, basic</w:t>
            </w:r>
          </w:p>
        </w:tc>
        <w:tc>
          <w:tcPr>
            <w:tcW w:w="2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202,194</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166,862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198,545</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158,195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Net income (loss) per share, basic</w:t>
            </w:r>
          </w:p>
        </w:tc>
        <w:tc>
          <w:tcPr>
            <w:tcW w:w="2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260" w:type="dxa"/>
            <w:vAlign w:val="bottom"/>
            <w:tcBorders>
              <w:top w:val="single" w:sz="8" w:color="auto"/>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160" w:type="dxa"/>
            <w:vAlign w:val="bottom"/>
            <w:tcBorders>
              <w:bottom w:val="single" w:sz="8" w:color="CCEEFF"/>
            </w:tcBorders>
            <w:vMerge w:val="continue"/>
          </w:tcPr>
          <w:p>
            <w:pPr>
              <w:spacing w:after="0"/>
              <w:rPr>
                <w:sz w:val="20"/>
                <w:szCs w:val="20"/>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top w:val="single" w:sz="8" w:color="auto"/>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4"/>
              </w:rPr>
              <w:t>Weighted average shares used in computing net income (loss) per share, basic</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202,194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166,862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198,545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100" w:type="dxa"/>
            <w:vAlign w:val="bottom"/>
          </w:tcPr>
          <w:p>
            <w:pPr>
              <w:ind w:left="120"/>
              <w:spacing w:after="0"/>
              <w:rPr>
                <w:sz w:val="20"/>
                <w:szCs w:val="20"/>
                <w:color w:val="auto"/>
              </w:rPr>
            </w:pPr>
            <w:r>
              <w:rPr>
                <w:rFonts w:ascii="Arial" w:cs="Arial" w:eastAsia="Arial" w:hAnsi="Arial"/>
                <w:sz w:val="18"/>
                <w:szCs w:val="18"/>
                <w:color w:val="auto"/>
              </w:rPr>
              <w:t>Add: Weighted average stock options</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Weighted average restricted stock units</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100" w:type="dxa"/>
            <w:vAlign w:val="bottom"/>
          </w:tcPr>
          <w:p>
            <w:pPr>
              <w:ind w:left="120"/>
              <w:spacing w:after="0"/>
              <w:rPr>
                <w:sz w:val="20"/>
                <w:szCs w:val="20"/>
                <w:color w:val="auto"/>
              </w:rPr>
            </w:pPr>
            <w:r>
              <w:rPr>
                <w:rFonts w:ascii="Arial" w:cs="Arial" w:eastAsia="Arial" w:hAnsi="Arial"/>
                <w:sz w:val="18"/>
                <w:szCs w:val="18"/>
                <w:color w:val="auto"/>
              </w:rPr>
              <w:t>Add: Weighted average shares issuable pursuant to ESPP</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610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w w:val="92"/>
              </w:rPr>
              <w:t>Weighted average shares used in computing net income (loss) per share, diluted</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215,127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166,862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198,545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158,195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Net income (loss) per share, diluted</w:t>
            </w:r>
          </w:p>
        </w:tc>
        <w:tc>
          <w:tcPr>
            <w:tcW w:w="2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60" w:type="dxa"/>
            <w:vAlign w:val="bottom"/>
            <w:tcBorders>
              <w:top w:val="single" w:sz="8" w:color="auto"/>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160" w:type="dxa"/>
            <w:vAlign w:val="bottom"/>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tcBorders>
              <w:top w:val="single" w:sz="8" w:color="auto"/>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(0.56)</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60" w:firstLine="440"/>
        <w:spacing w:after="0" w:line="231" w:lineRule="auto"/>
        <w:rPr>
          <w:sz w:val="20"/>
          <w:szCs w:val="20"/>
          <w:color w:val="auto"/>
        </w:rPr>
      </w:pPr>
      <w:r>
        <w:rPr>
          <w:rFonts w:ascii="Arial" w:cs="Arial" w:eastAsia="Arial" w:hAnsi="Arial"/>
          <w:sz w:val="18"/>
          <w:szCs w:val="18"/>
          <w:color w:val="auto"/>
        </w:rPr>
        <w:t xml:space="preserve">The following outstanding shares issuable upon conversion of the convertible senior notes, common stock options, restricted stock units (“RSUs”), with time-based vesting, RSUs with performance-based vesting and ESPP shares expected to be purchased, were excluded from the computation of diluted net loss per share for the periods presented because including them would have had an anti-dilutive effect. 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for detailed information on RSUs with time-based vesting and RSUs with performance-based vesting.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04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88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32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532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Shares issuable upon conversion of convertible senior notes</w:t>
            </w:r>
          </w:p>
        </w:tc>
        <w:tc>
          <w:tcPr>
            <w:tcW w:w="132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20,690</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17,203</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2,326</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19,921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12,703</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19,921</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RSUs with time-based vesting</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RSUs with performance-based vesting</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ESPP shares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and Other Risks</w:t>
      </w:r>
    </w:p>
    <w:p>
      <w:pPr>
        <w:spacing w:after="0" w:line="63" w:lineRule="exact"/>
        <w:rPr>
          <w:sz w:val="20"/>
          <w:szCs w:val="20"/>
          <w:color w:val="auto"/>
        </w:rPr>
      </w:pPr>
    </w:p>
    <w:p>
      <w:pPr>
        <w:ind w:right="80" w:firstLine="570"/>
        <w:spacing w:after="0" w:line="223" w:lineRule="auto"/>
        <w:rPr>
          <w:sz w:val="20"/>
          <w:szCs w:val="20"/>
          <w:color w:val="auto"/>
        </w:rPr>
      </w:pPr>
      <w:r>
        <w:rPr>
          <w:rFonts w:ascii="Arial" w:cs="Arial" w:eastAsia="Arial" w:hAnsi="Arial"/>
          <w:sz w:val="18"/>
          <w:szCs w:val="18"/>
          <w:color w:val="auto"/>
        </w:rPr>
        <w:t>For the three and nine months ended September 30, 2021, Gene Company Limited accounted for approximately 17% and 15%, respectively, of our total revenue during the period with no other customer exceeding 10% during those periods. For the three and nine months ended September 30, 2020, Gene Company Limited accounted for approximately 18% and 14%, respectively, of our total revenue with no other customer exceeding 10% during those periods. Gene Company Limited is our primary distributor in China.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44" w:lineRule="exact"/>
        <w:rPr>
          <w:sz w:val="20"/>
          <w:szCs w:val="20"/>
          <w:color w:val="auto"/>
        </w:rPr>
      </w:pPr>
    </w:p>
    <w:p>
      <w:pPr>
        <w:ind w:right="40" w:firstLine="440"/>
        <w:spacing w:after="0" w:line="236"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Standards Update (“ASU”) No. 2020-06, </w:t>
      </w:r>
      <w:r>
        <w:rPr>
          <w:rFonts w:ascii="Arial" w:cs="Arial" w:eastAsia="Arial" w:hAnsi="Arial"/>
          <w:sz w:val="17"/>
          <w:szCs w:val="17"/>
          <w:i w:val="1"/>
          <w:iCs w:val="1"/>
          <w:color w:val="auto"/>
        </w:rPr>
        <w:t>Debt—Debt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Conversion and Other Options (Subtopic 470-20) and Derivatives and Hedging—Contracts in Entity’s Own Equity (Subtopic 815-40): Accounting for Convertible Instruments and Contracts in an Entity’s Own Equity. </w:t>
      </w:r>
      <w:r>
        <w:rPr>
          <w:rFonts w:ascii="Arial" w:cs="Arial" w:eastAsia="Arial" w:hAnsi="Arial"/>
          <w:sz w:val="17"/>
          <w:szCs w:val="17"/>
          <w:color w:val="auto"/>
        </w:rPr>
        <w:t>This guidance simplifies the accounting for convertible instruments primarily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eliminating the existing cash conversion and beneficial conversion models within Subtopic 470-20, which will result in fewer embedded conversion options being accounted for separately from the debt host. The guidance also amends and simplifies the calculation of earnings per share relating to convertible instruments. This guidance is effective for annual periods beginning after December 15, 2021, including interim periods within that reporting period, excluding smaller reporting companies. Early adoption is permitted, but no earlier than fiscal years beginning after December 15, 2020, including interim periods within that reporting period, using either a full or modified retrospective approach. We adopted ASU 2020-06 on January 1, 2021. Because we had no convertible instruments within the scope of ASU 2020-06 at the time of adoption, there was no impact of adoption on our condensed consolidated financial statements. In February 2021 we issued $900 million of 1.50% Convertible Senior Notes due February 15, 2028, as described in Note 8. </w:t>
      </w:r>
      <w:r>
        <w:rPr>
          <w:rFonts w:ascii="Arial" w:cs="Arial" w:eastAsia="Arial" w:hAnsi="Arial"/>
          <w:sz w:val="17"/>
          <w:szCs w:val="17"/>
          <w:i w:val="1"/>
          <w:iCs w:val="1"/>
          <w:color w:val="auto"/>
        </w:rPr>
        <w:t>Convertible Senior Notes</w:t>
      </w:r>
      <w:r>
        <w:rPr>
          <w:rFonts w:ascii="Arial" w:cs="Arial" w:eastAsia="Arial" w:hAnsi="Arial"/>
          <w:sz w:val="17"/>
          <w:szCs w:val="17"/>
          <w:color w:val="auto"/>
        </w:rPr>
        <w:t>, which are accounted for under ASU 2020-06.</w:t>
      </w:r>
    </w:p>
    <w:p>
      <w:pPr>
        <w:spacing w:after="0" w:line="127" w:lineRule="exact"/>
        <w:rPr>
          <w:sz w:val="20"/>
          <w:szCs w:val="20"/>
          <w:color w:val="auto"/>
        </w:rPr>
      </w:pPr>
    </w:p>
    <w:p>
      <w:pPr>
        <w:ind w:firstLine="492"/>
        <w:spacing w:after="0" w:line="261" w:lineRule="auto"/>
        <w:rPr>
          <w:sz w:val="20"/>
          <w:szCs w:val="20"/>
          <w:color w:val="auto"/>
        </w:rPr>
      </w:pPr>
      <w:r>
        <w:rPr>
          <w:rFonts w:ascii="Arial" w:cs="Arial" w:eastAsia="Arial" w:hAnsi="Arial"/>
          <w:sz w:val="16"/>
          <w:szCs w:val="16"/>
          <w:color w:val="212529"/>
        </w:rPr>
        <w:t xml:space="preserve">In December 2019, the FASB issued ASU No. 2019-12, </w:t>
      </w:r>
      <w:r>
        <w:rPr>
          <w:rFonts w:ascii="Arial" w:cs="Arial" w:eastAsia="Arial" w:hAnsi="Arial"/>
          <w:sz w:val="16"/>
          <w:szCs w:val="16"/>
          <w:i w:val="1"/>
          <w:iCs w:val="1"/>
          <w:color w:val="212529"/>
        </w:rPr>
        <w:t>Income Taxes (Topic</w:t>
      </w:r>
      <w:r>
        <w:rPr>
          <w:rFonts w:ascii="Arial" w:cs="Arial" w:eastAsia="Arial" w:hAnsi="Arial"/>
          <w:sz w:val="16"/>
          <w:szCs w:val="16"/>
          <w:color w:val="212529"/>
        </w:rPr>
        <w:t xml:space="preserve"> 740</w:t>
      </w:r>
      <w:r>
        <w:rPr>
          <w:rFonts w:ascii="Arial" w:cs="Arial" w:eastAsia="Arial" w:hAnsi="Arial"/>
          <w:sz w:val="16"/>
          <w:szCs w:val="16"/>
          <w:i w:val="1"/>
          <w:iCs w:val="1"/>
          <w:color w:val="212529"/>
        </w:rPr>
        <w:t>): Simplifying the Accounting for Income Taxes</w:t>
      </w:r>
      <w:r>
        <w:rPr>
          <w:rFonts w:ascii="Arial" w:cs="Arial" w:eastAsia="Arial" w:hAnsi="Arial"/>
          <w:sz w:val="16"/>
          <w:szCs w:val="16"/>
          <w:color w:val="212529"/>
        </w:rPr>
        <w:t xml:space="preserve">. This ASU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w:t>
      </w:r>
      <w:r>
        <w:rPr>
          <w:rFonts w:ascii="Arial" w:cs="Arial" w:eastAsia="Arial" w:hAnsi="Arial"/>
          <w:sz w:val="16"/>
          <w:szCs w:val="16"/>
          <w:color w:val="000000"/>
        </w:rPr>
        <w:t>The</w:t>
      </w:r>
      <w:r>
        <w:rPr>
          <w:rFonts w:ascii="Arial" w:cs="Arial" w:eastAsia="Arial" w:hAnsi="Arial"/>
          <w:sz w:val="16"/>
          <w:szCs w:val="16"/>
          <w:color w:val="212529"/>
        </w:rPr>
        <w:t xml:space="preserve"> </w:t>
      </w:r>
      <w:r>
        <w:rPr>
          <w:rFonts w:ascii="Arial" w:cs="Arial" w:eastAsia="Arial" w:hAnsi="Arial"/>
          <w:sz w:val="16"/>
          <w:szCs w:val="16"/>
          <w:color w:val="000000"/>
        </w:rPr>
        <w:t>standard is effective for our annual reporting periods beginning after December 15, 2020, including interim reporting periods within those fiscal years. We adopted ASU 2019-12 on January 1, 2021, and the adoption did not have a material impact on our condensed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44" w:lineRule="exact"/>
        <w:rPr>
          <w:sz w:val="20"/>
          <w:szCs w:val="20"/>
          <w:color w:val="auto"/>
        </w:rPr>
      </w:pPr>
    </w:p>
    <w:p>
      <w:pPr>
        <w:ind w:right="420" w:firstLine="440"/>
        <w:spacing w:after="0" w:line="253" w:lineRule="auto"/>
        <w:rPr>
          <w:sz w:val="20"/>
          <w:szCs w:val="20"/>
          <w:color w:val="auto"/>
        </w:rPr>
      </w:pPr>
      <w:r>
        <w:rPr>
          <w:rFonts w:ascii="Arial" w:cs="Arial" w:eastAsia="Arial" w:hAnsi="Arial"/>
          <w:sz w:val="16"/>
          <w:szCs w:val="16"/>
          <w:color w:val="auto"/>
        </w:rPr>
        <w:t>Except for the adoption of ASU 2020-06 as discussed above and in Note 8</w:t>
      </w:r>
      <w:r>
        <w:rPr>
          <w:rFonts w:ascii="Arial" w:cs="Arial" w:eastAsia="Arial" w:hAnsi="Arial"/>
          <w:sz w:val="16"/>
          <w:szCs w:val="16"/>
          <w:i w:val="1"/>
          <w:iCs w:val="1"/>
          <w:color w:val="auto"/>
        </w:rPr>
        <w:t>. Convertible Senior Notes</w:t>
      </w:r>
      <w:r>
        <w:rPr>
          <w:rFonts w:ascii="Arial" w:cs="Arial" w:eastAsia="Arial" w:hAnsi="Arial"/>
          <w:sz w:val="16"/>
          <w:szCs w:val="16"/>
          <w:color w:val="auto"/>
        </w:rPr>
        <w:t xml:space="preserve"> and the accounting for the acquisition of Omniome and Circulomics as described in Note 2. </w:t>
      </w:r>
      <w:r>
        <w:rPr>
          <w:rFonts w:ascii="Arial" w:cs="Arial" w:eastAsia="Arial" w:hAnsi="Arial"/>
          <w:sz w:val="16"/>
          <w:szCs w:val="16"/>
          <w:i w:val="1"/>
          <w:iCs w:val="1"/>
          <w:color w:val="auto"/>
        </w:rPr>
        <w:t>Business Acquisitions</w:t>
      </w:r>
      <w:r>
        <w:rPr>
          <w:rFonts w:ascii="Arial" w:cs="Arial" w:eastAsia="Arial" w:hAnsi="Arial"/>
          <w:sz w:val="16"/>
          <w:szCs w:val="16"/>
          <w:color w:val="auto"/>
        </w:rPr>
        <w:t xml:space="preserve"> and Note 7. </w:t>
      </w:r>
      <w:r>
        <w:rPr>
          <w:rFonts w:ascii="Arial" w:cs="Arial" w:eastAsia="Arial" w:hAnsi="Arial"/>
          <w:sz w:val="16"/>
          <w:szCs w:val="16"/>
          <w:i w:val="1"/>
          <w:iCs w:val="1"/>
          <w:color w:val="auto"/>
        </w:rPr>
        <w:t>Balance Sheet Components</w:t>
      </w:r>
      <w:r>
        <w:rPr>
          <w:rFonts w:ascii="Arial" w:cs="Arial" w:eastAsia="Arial" w:hAnsi="Arial"/>
          <w:sz w:val="16"/>
          <w:szCs w:val="16"/>
          <w:color w:val="auto"/>
        </w:rPr>
        <w:t>, there have been no new or material changes to the significant accounting policies discussed in our Annual Report on Form 10-K for the fiscal year ended December 31, 2020.</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CASH, CASH EQUIVALENTS AND INVESTMENTS</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cash, cash equivalents and investments as of September 30, 2021 and December 31, 2020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As of September 30, 2021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unrealized</w:t>
            </w:r>
          </w:p>
        </w:tc>
        <w:tc>
          <w:tcPr>
            <w:tcW w:w="320" w:type="dxa"/>
            <w:vAlign w:val="bottom"/>
          </w:tcPr>
          <w:p>
            <w:pPr>
              <w:spacing w:after="0"/>
              <w:rPr>
                <w:sz w:val="16"/>
                <w:szCs w:val="16"/>
                <w:color w:val="auto"/>
              </w:rPr>
            </w:pPr>
          </w:p>
        </w:tc>
        <w:tc>
          <w:tcPr>
            <w:tcW w:w="1140" w:type="dxa"/>
            <w:vAlign w:val="bottom"/>
          </w:tcPr>
          <w:p>
            <w:pPr>
              <w:jc w:val="center"/>
              <w:ind w:right="23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5"/>
                <w:szCs w:val="15"/>
                <w:color w:val="auto"/>
              </w:rPr>
            </w:pPr>
          </w:p>
        </w:tc>
        <w:tc>
          <w:tcPr>
            <w:tcW w:w="1140" w:type="dxa"/>
            <w:vAlign w:val="bottom"/>
          </w:tcPr>
          <w:p>
            <w:pPr>
              <w:jc w:val="center"/>
              <w:ind w:right="27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and money market funds</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364,020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61,368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&amp; agency securities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580" w:type="dxa"/>
            <w:vAlign w:val="bottom"/>
          </w:tcPr>
          <w:p>
            <w:pPr>
              <w:ind w:left="220"/>
              <w:spacing w:after="0" w:line="196" w:lineRule="exact"/>
              <w:rPr>
                <w:sz w:val="20"/>
                <w:szCs w:val="20"/>
                <w:color w:val="auto"/>
              </w:rPr>
            </w:pPr>
            <w:r>
              <w:rPr>
                <w:rFonts w:ascii="Arial" w:cs="Arial" w:eastAsia="Arial" w:hAnsi="Arial"/>
                <w:sz w:val="18"/>
                <w:szCs w:val="18"/>
                <w:color w:val="auto"/>
              </w:rPr>
              <w:t>Total cash and cash equivalents</w:t>
            </w:r>
          </w:p>
        </w:tc>
        <w:tc>
          <w:tcPr>
            <w:tcW w:w="9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425,389</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425,388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255,817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255,817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U.S. government &amp; agency securities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385,092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385,090</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investments</w:t>
            </w:r>
          </w:p>
        </w:tc>
        <w:tc>
          <w:tcPr>
            <w:tcW w:w="9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654,473</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654,502</w:t>
            </w:r>
          </w:p>
        </w:tc>
        <w:tc>
          <w:tcPr>
            <w:tcW w:w="0" w:type="dxa"/>
            <w:vAlign w:val="bottom"/>
          </w:tcPr>
          <w:p>
            <w:pPr>
              <w:spacing w:after="0"/>
              <w:rPr>
                <w:sz w:val="1"/>
                <w:szCs w:val="1"/>
                <w:color w:val="auto"/>
              </w:rPr>
            </w:pPr>
          </w:p>
        </w:tc>
      </w:tr>
      <w:tr>
        <w:trPr>
          <w:trHeight w:val="277"/>
        </w:trPr>
        <w:tc>
          <w:tcPr>
            <w:tcW w:w="4580" w:type="dxa"/>
            <w:vAlign w:val="bottom"/>
          </w:tcPr>
          <w:p>
            <w:pPr>
              <w:ind w:left="440"/>
              <w:spacing w:after="0"/>
              <w:rPr>
                <w:sz w:val="20"/>
                <w:szCs w:val="20"/>
                <w:color w:val="auto"/>
              </w:rPr>
            </w:pPr>
            <w:r>
              <w:rPr>
                <w:rFonts w:ascii="Arial" w:cs="Arial" w:eastAsia="Arial" w:hAnsi="Arial"/>
                <w:sz w:val="18"/>
                <w:szCs w:val="18"/>
                <w:color w:val="auto"/>
              </w:rPr>
              <w:t>Total cash, cash equivalents and investments</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1,079,862</w:t>
            </w:r>
          </w:p>
        </w:tc>
        <w:tc>
          <w:tcPr>
            <w:tcW w:w="200" w:type="dxa"/>
            <w:vAlign w:val="bottom"/>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1,079,890</w:t>
            </w: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restricted cash:</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0"/>
                <w:szCs w:val="20"/>
                <w:color w:val="auto"/>
              </w:rPr>
            </w:pPr>
            <w:r>
              <w:rPr>
                <w:rFonts w:ascii="Arial" w:cs="Arial" w:eastAsia="Arial" w:hAnsi="Arial"/>
                <w:sz w:val="18"/>
                <w:szCs w:val="18"/>
                <w:color w:val="auto"/>
              </w:rPr>
              <w:t>Cash</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restricted cash:</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Cash</w:t>
            </w:r>
          </w:p>
        </w:tc>
        <w:tc>
          <w:tcPr>
            <w:tcW w:w="9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4,560</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unrealized</w:t>
            </w:r>
          </w:p>
        </w:tc>
        <w:tc>
          <w:tcPr>
            <w:tcW w:w="320" w:type="dxa"/>
            <w:vAlign w:val="bottom"/>
          </w:tcPr>
          <w:p>
            <w:pPr>
              <w:spacing w:after="0"/>
              <w:rPr>
                <w:sz w:val="16"/>
                <w:szCs w:val="16"/>
                <w:color w:val="auto"/>
              </w:rPr>
            </w:pPr>
          </w:p>
        </w:tc>
        <w:tc>
          <w:tcPr>
            <w:tcW w:w="1140" w:type="dxa"/>
            <w:vAlign w:val="bottom"/>
          </w:tcPr>
          <w:p>
            <w:pPr>
              <w:jc w:val="center"/>
              <w:ind w:right="23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5"/>
                <w:szCs w:val="15"/>
                <w:color w:val="auto"/>
              </w:rPr>
            </w:pPr>
          </w:p>
        </w:tc>
        <w:tc>
          <w:tcPr>
            <w:tcW w:w="1140" w:type="dxa"/>
            <w:vAlign w:val="bottom"/>
          </w:tcPr>
          <w:p>
            <w:pPr>
              <w:jc w:val="center"/>
              <w:ind w:right="27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and money market funds</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32,537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&amp; agency securities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U.S. Treasury security</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81,611</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112,644</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17,456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&amp; agency securities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107,103</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investments</w:t>
            </w:r>
          </w:p>
        </w:tc>
        <w:tc>
          <w:tcPr>
            <w:tcW w:w="9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237,117</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237,203</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Total cash, cash equivalents and investments</w:t>
            </w:r>
          </w:p>
        </w:tc>
        <w:tc>
          <w:tcPr>
            <w:tcW w:w="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318,729</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318,814</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Short-term restricted cash:</w:t>
            </w: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Long-term restricted cash:</w:t>
            </w: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440" w:firstLine="492"/>
        <w:spacing w:after="0" w:line="246" w:lineRule="auto"/>
        <w:rPr>
          <w:sz w:val="20"/>
          <w:szCs w:val="20"/>
          <w:color w:val="auto"/>
        </w:rPr>
      </w:pPr>
      <w:r>
        <w:rPr>
          <w:rFonts w:ascii="Arial" w:cs="Arial" w:eastAsia="Arial" w:hAnsi="Arial"/>
          <w:sz w:val="18"/>
          <w:szCs w:val="18"/>
          <w:color w:val="auto"/>
        </w:rPr>
        <w:t>The following table summarizes the contractual maturities of our cash equivalents and available-for-sale investments, excluding money market funds, as of September 30, 2021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404,995</w:t>
            </w:r>
          </w:p>
        </w:tc>
      </w:tr>
      <w:tr>
        <w:trPr>
          <w:trHeight w:val="270"/>
        </w:trPr>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5 years</w:t>
            </w:r>
          </w:p>
        </w:tc>
        <w:tc>
          <w:tcPr>
            <w:tcW w:w="5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310,875</w:t>
            </w:r>
          </w:p>
        </w:tc>
      </w:tr>
      <w:tr>
        <w:trPr>
          <w:trHeight w:val="237"/>
        </w:trPr>
        <w:tc>
          <w:tcPr>
            <w:tcW w:w="8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715,870</w:t>
            </w:r>
          </w:p>
        </w:tc>
      </w:tr>
      <w:tr>
        <w:trPr>
          <w:trHeight w:val="20"/>
        </w:trPr>
        <w:tc>
          <w:tcPr>
            <w:tcW w:w="8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60" w:firstLine="440"/>
        <w:spacing w:after="0" w:line="228" w:lineRule="auto"/>
        <w:rPr>
          <w:sz w:val="20"/>
          <w:szCs w:val="20"/>
          <w:color w:val="auto"/>
        </w:rPr>
      </w:pPr>
      <w:r>
        <w:rPr>
          <w:rFonts w:ascii="Arial" w:cs="Arial" w:eastAsia="Arial" w:hAnsi="Arial"/>
          <w:sz w:val="18"/>
          <w:szCs w:val="18"/>
          <w:color w:val="auto"/>
        </w:rPr>
        <w:t>Actual maturities may differ from contractual maturities because issuers may have the right to call or prepay obligations without call or prepayment penalties.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restricted cash</w:t>
      </w:r>
    </w:p>
    <w:p>
      <w:pPr>
        <w:spacing w:after="0" w:line="90" w:lineRule="exact"/>
        <w:rPr>
          <w:sz w:val="20"/>
          <w:szCs w:val="20"/>
          <w:color w:val="auto"/>
        </w:rPr>
      </w:pPr>
    </w:p>
    <w:p>
      <w:pPr>
        <w:jc w:val="both"/>
        <w:ind w:right="40" w:firstLine="402"/>
        <w:spacing w:after="0" w:line="231" w:lineRule="auto"/>
        <w:rPr>
          <w:sz w:val="20"/>
          <w:szCs w:val="20"/>
          <w:color w:val="auto"/>
        </w:rPr>
      </w:pPr>
      <w:r>
        <w:rPr>
          <w:rFonts w:ascii="Arial" w:cs="Arial" w:eastAsia="Arial" w:hAnsi="Arial"/>
          <w:sz w:val="18"/>
          <w:szCs w:val="18"/>
          <w:color w:val="auto"/>
        </w:rPr>
        <w:t>As of September 30, 2021, the short-term restricted cash balance of $0.5 million was comprised of security deposits for the credit cards of employees. As of December 31, 2020, the short-term restricted cash balance of $0.8 million was comprised of $0.5 million for a customer deposit and $0.3 million for a security deposit for the credit cards of employees. In connection with the acquisition of Omniome in September 2021, we acquired $0.2 million of short-term restricted cash consisting of a security deposit for credit cards of Omniome employees.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2021 and December 31, 2020, our inventory consisted of the following components: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020" w:type="dxa"/>
            <w:vAlign w:val="bottom"/>
          </w:tcPr>
          <w:p>
            <w:pPr>
              <w:jc w:val="right"/>
              <w:ind w:right="87"/>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Pr>
          <w:p>
            <w:pPr>
              <w:jc w:val="right"/>
              <w:ind w:right="936"/>
              <w:spacing w:after="0"/>
              <w:rPr>
                <w:sz w:val="20"/>
                <w:szCs w:val="20"/>
                <w:color w:val="auto"/>
              </w:rPr>
            </w:pPr>
            <w:r>
              <w:rPr>
                <w:rFonts w:ascii="Arial" w:cs="Arial" w:eastAsia="Arial" w:hAnsi="Arial"/>
                <w:sz w:val="14"/>
                <w:szCs w:val="14"/>
                <w:b w:val="1"/>
                <w:bCs w:val="1"/>
                <w:color w:val="auto"/>
              </w:rPr>
              <w:t>December 31,</w:t>
            </w:r>
          </w:p>
        </w:tc>
      </w:tr>
      <w:tr>
        <w:trPr>
          <w:trHeight w:val="214"/>
        </w:trPr>
        <w:tc>
          <w:tcPr>
            <w:tcW w:w="5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1216"/>
              <w:spacing w:after="0"/>
              <w:rPr>
                <w:sz w:val="20"/>
                <w:szCs w:val="20"/>
                <w:color w:val="auto"/>
              </w:rPr>
            </w:pPr>
            <w:r>
              <w:rPr>
                <w:rFonts w:ascii="Arial" w:cs="Arial" w:eastAsia="Arial" w:hAnsi="Arial"/>
                <w:sz w:val="14"/>
                <w:szCs w:val="14"/>
                <w:b w:val="1"/>
                <w:bCs w:val="1"/>
                <w:color w:val="auto"/>
              </w:rPr>
              <w:t>2020</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Purchased materials</w:t>
            </w:r>
          </w:p>
        </w:tc>
        <w:tc>
          <w:tcPr>
            <w:tcW w:w="2020" w:type="dxa"/>
            <w:vAlign w:val="bottom"/>
            <w:shd w:val="clear" w:color="auto" w:fill="CCEEFF"/>
          </w:tcPr>
          <w:p>
            <w:pPr>
              <w:jc w:val="right"/>
              <w:ind w:right="18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5,511</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32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3,531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Work in process</w:t>
            </w:r>
          </w:p>
        </w:tc>
        <w:tc>
          <w:tcPr>
            <w:tcW w:w="202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8,762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Pr>
          <w:p>
            <w:pPr>
              <w:jc w:val="right"/>
              <w:ind w:right="76"/>
              <w:spacing w:after="0"/>
              <w:rPr>
                <w:sz w:val="20"/>
                <w:szCs w:val="20"/>
                <w:color w:val="auto"/>
              </w:rPr>
            </w:pPr>
            <w:r>
              <w:rPr>
                <w:rFonts w:ascii="Arial" w:cs="Arial" w:eastAsia="Arial" w:hAnsi="Arial"/>
                <w:sz w:val="18"/>
                <w:szCs w:val="18"/>
                <w:color w:val="auto"/>
              </w:rPr>
              <w:t>6,651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4,003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4,048</w:t>
            </w:r>
          </w:p>
        </w:tc>
      </w:tr>
      <w:tr>
        <w:trPr>
          <w:trHeight w:val="183"/>
        </w:trPr>
        <w:tc>
          <w:tcPr>
            <w:tcW w:w="5120" w:type="dxa"/>
            <w:vAlign w:val="bottom"/>
          </w:tcPr>
          <w:p>
            <w:pPr>
              <w:ind w:left="560"/>
              <w:spacing w:after="0" w:line="182" w:lineRule="exact"/>
              <w:rPr>
                <w:sz w:val="20"/>
                <w:szCs w:val="20"/>
                <w:color w:val="auto"/>
              </w:rPr>
            </w:pPr>
            <w:r>
              <w:rPr>
                <w:rFonts w:ascii="Arial" w:cs="Arial" w:eastAsia="Arial" w:hAnsi="Arial"/>
                <w:sz w:val="18"/>
                <w:szCs w:val="18"/>
                <w:color w:val="auto"/>
              </w:rPr>
              <w:t>Inventory</w:t>
            </w:r>
          </w:p>
        </w:tc>
        <w:tc>
          <w:tcPr>
            <w:tcW w:w="2020" w:type="dxa"/>
            <w:vAlign w:val="bottom"/>
            <w:tcBorders>
              <w:bottom w:val="single" w:sz="8" w:color="auto"/>
            </w:tcBorders>
          </w:tcPr>
          <w:p>
            <w:pPr>
              <w:jc w:val="right"/>
              <w:ind w:right="18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18,276</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2320" w:type="dxa"/>
            <w:vAlign w:val="bottom"/>
            <w:tcBorders>
              <w:bottom w:val="single" w:sz="8" w:color="auto"/>
            </w:tcBorders>
          </w:tcPr>
          <w:p>
            <w:pPr>
              <w:jc w:val="right"/>
              <w:ind w:right="76"/>
              <w:spacing w:after="0" w:line="182" w:lineRule="exact"/>
              <w:rPr>
                <w:sz w:val="20"/>
                <w:szCs w:val="20"/>
                <w:color w:val="auto"/>
              </w:rPr>
            </w:pPr>
            <w:r>
              <w:rPr>
                <w:rFonts w:ascii="Arial" w:cs="Arial" w:eastAsia="Arial" w:hAnsi="Arial"/>
                <w:sz w:val="18"/>
                <w:szCs w:val="18"/>
                <w:color w:val="auto"/>
              </w:rPr>
              <w:t>14,230</w:t>
            </w:r>
          </w:p>
        </w:tc>
      </w:tr>
      <w:tr>
        <w:trPr>
          <w:trHeight w:val="20"/>
        </w:trPr>
        <w:tc>
          <w:tcPr>
            <w:tcW w:w="5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restricted cash</w:t>
      </w:r>
    </w:p>
    <w:p>
      <w:pPr>
        <w:spacing w:after="0" w:line="279" w:lineRule="exact"/>
        <w:rPr>
          <w:sz w:val="20"/>
          <w:szCs w:val="20"/>
          <w:color w:val="auto"/>
        </w:rPr>
      </w:pPr>
    </w:p>
    <w:p>
      <w:pPr>
        <w:ind w:right="180" w:firstLine="402"/>
        <w:spacing w:after="0" w:line="228" w:lineRule="auto"/>
        <w:rPr>
          <w:sz w:val="20"/>
          <w:szCs w:val="20"/>
          <w:color w:val="auto"/>
        </w:rPr>
      </w:pPr>
      <w:r>
        <w:rPr>
          <w:rFonts w:ascii="Arial" w:cs="Arial" w:eastAsia="Arial" w:hAnsi="Arial"/>
          <w:sz w:val="18"/>
          <w:szCs w:val="18"/>
          <w:color w:val="auto"/>
        </w:rPr>
        <w:t>For our facility located at 1305 O’Brien Drive, Menlo Park, California (the “O’Brien Lease”), we were required to establish a letter of credit for the benefit of the landlord and to submit $4.5 million as a deposit for the letter of credit in October 2015. Subsequently, pursuant to the terms of the O’Brien Lease, beginning on May 1, 2019, the amount of the letter of credit was reduced by $0.5 million each year thereafter on May 1. As such, $3.0 million and $3.5 million was recorded in long-term restricted cash related to the O’Brien Lease in the Condensed Consolidated Balance Sheets as of September 30, 2021 and December 31, 2020, respectively.</w:t>
      </w:r>
    </w:p>
    <w:p>
      <w:pPr>
        <w:spacing w:after="0" w:line="70" w:lineRule="exact"/>
        <w:rPr>
          <w:sz w:val="20"/>
          <w:szCs w:val="20"/>
          <w:color w:val="auto"/>
        </w:rPr>
      </w:pPr>
    </w:p>
    <w:p>
      <w:pPr>
        <w:ind w:right="200" w:firstLine="402"/>
        <w:spacing w:after="0" w:line="246" w:lineRule="auto"/>
        <w:rPr>
          <w:sz w:val="20"/>
          <w:szCs w:val="20"/>
          <w:color w:val="auto"/>
        </w:rPr>
      </w:pPr>
      <w:r>
        <w:rPr>
          <w:rFonts w:ascii="Arial" w:cs="Arial" w:eastAsia="Arial" w:hAnsi="Arial"/>
          <w:sz w:val="18"/>
          <w:szCs w:val="18"/>
          <w:color w:val="auto"/>
        </w:rPr>
        <w:t>In connection with the acquisition of Omniome in September 2021, we acquired $1.6 million of long-term restricted cash related to a letter of credit established for a facility lease.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and goodwill</w:t>
      </w:r>
    </w:p>
    <w:p>
      <w:pPr>
        <w:spacing w:after="0" w:line="171" w:lineRule="exact"/>
        <w:rPr>
          <w:sz w:val="20"/>
          <w:szCs w:val="20"/>
          <w:color w:val="auto"/>
        </w:rPr>
      </w:pPr>
    </w:p>
    <w:p>
      <w:pPr>
        <w:ind w:right="760" w:firstLine="440"/>
        <w:spacing w:after="0" w:line="235" w:lineRule="auto"/>
        <w:rPr>
          <w:sz w:val="20"/>
          <w:szCs w:val="20"/>
          <w:color w:val="auto"/>
        </w:rPr>
      </w:pPr>
      <w:r>
        <w:rPr>
          <w:rFonts w:ascii="Arial" w:cs="Arial" w:eastAsia="Arial" w:hAnsi="Arial"/>
          <w:sz w:val="18"/>
          <w:szCs w:val="18"/>
          <w:color w:val="auto"/>
        </w:rPr>
        <w:t>Intangible assets include acquired in-process research and development (IPR&amp;D) of $400 million as a result of the Omniome acquisition in September 2021. We capitalize IPR&amp;D as an indefinite-lived intangible asset and either begin to amortize it over the life of the product upon commercialization or record an impairment charge if the project is abandoned.</w:t>
      </w:r>
    </w:p>
    <w:p>
      <w:pPr>
        <w:spacing w:after="0" w:line="148" w:lineRule="exact"/>
        <w:rPr>
          <w:sz w:val="20"/>
          <w:szCs w:val="20"/>
          <w:color w:val="auto"/>
        </w:rPr>
      </w:pPr>
    </w:p>
    <w:p>
      <w:pPr>
        <w:ind w:right="480" w:firstLine="440"/>
        <w:spacing w:after="0" w:line="246" w:lineRule="auto"/>
        <w:rPr>
          <w:sz w:val="20"/>
          <w:szCs w:val="20"/>
          <w:color w:val="auto"/>
        </w:rPr>
      </w:pPr>
      <w:r>
        <w:rPr>
          <w:rFonts w:ascii="Arial" w:cs="Arial" w:eastAsia="Arial" w:hAnsi="Arial"/>
          <w:sz w:val="18"/>
          <w:szCs w:val="18"/>
          <w:color w:val="auto"/>
        </w:rPr>
        <w:t>In addition to IPR&amp;D, we had the following definite-lived intangible assets from business acquisitions as of September 30, 2021 (in thousands, except years):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center"/>
              <w:ind w:right="319"/>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center"/>
              <w:ind w:right="219"/>
              <w:spacing w:after="0"/>
              <w:rPr>
                <w:sz w:val="20"/>
                <w:szCs w:val="20"/>
                <w:color w:val="auto"/>
              </w:rPr>
            </w:pPr>
            <w:r>
              <w:rPr>
                <w:rFonts w:ascii="Arial" w:cs="Arial" w:eastAsia="Arial" w:hAnsi="Arial"/>
                <w:sz w:val="14"/>
                <w:szCs w:val="14"/>
                <w:b w:val="1"/>
                <w:bCs w:val="1"/>
                <w:color w:val="auto"/>
                <w:w w:val="97"/>
              </w:rPr>
              <w:t>Net</w:t>
            </w:r>
          </w:p>
        </w:tc>
      </w:tr>
      <w:tr>
        <w:trPr>
          <w:trHeight w:val="243"/>
        </w:trPr>
        <w:tc>
          <w:tcPr>
            <w:tcW w:w="35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center"/>
              <w:ind w:right="319"/>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21"/>
                <w:szCs w:val="21"/>
                <w:color w:val="auto"/>
              </w:rPr>
            </w:pPr>
          </w:p>
        </w:tc>
        <w:tc>
          <w:tcPr>
            <w:tcW w:w="1360" w:type="dxa"/>
            <w:vAlign w:val="bottom"/>
          </w:tcPr>
          <w:p>
            <w:pPr>
              <w:jc w:val="center"/>
              <w:ind w:right="239"/>
              <w:spacing w:after="0"/>
              <w:rPr>
                <w:sz w:val="20"/>
                <w:szCs w:val="20"/>
                <w:color w:val="auto"/>
              </w:rPr>
            </w:pPr>
            <w:r>
              <w:rPr>
                <w:rFonts w:ascii="Arial" w:cs="Arial" w:eastAsia="Arial" w:hAnsi="Arial"/>
                <w:sz w:val="14"/>
                <w:szCs w:val="14"/>
                <w:b w:val="1"/>
                <w:bCs w:val="1"/>
                <w:color w:val="auto"/>
                <w:w w:val="97"/>
              </w:rPr>
              <w:t>Carrying</w:t>
            </w:r>
          </w:p>
        </w:tc>
      </w:tr>
      <w:tr>
        <w:trPr>
          <w:trHeight w:val="214"/>
        </w:trPr>
        <w:tc>
          <w:tcPr>
            <w:tcW w:w="35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center"/>
              <w:ind w:right="339"/>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8"/>
                <w:szCs w:val="18"/>
                <w:color w:val="auto"/>
              </w:rPr>
            </w:pPr>
          </w:p>
        </w:tc>
        <w:tc>
          <w:tcPr>
            <w:tcW w:w="136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Amount</w:t>
            </w: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1420" w:type="dxa"/>
            <w:vAlign w:val="bottom"/>
            <w:tcBorders>
              <w:top w:val="single" w:sz="8" w:color="auto"/>
            </w:tcBorders>
            <w:shd w:val="clear" w:color="auto" w:fill="CCEEFF"/>
          </w:tcPr>
          <w:p>
            <w:pPr>
              <w:jc w:val="right"/>
              <w:ind w:right="541"/>
              <w:spacing w:after="0" w:line="196" w:lineRule="exact"/>
              <w:rPr>
                <w:sz w:val="20"/>
                <w:szCs w:val="20"/>
                <w:color w:val="auto"/>
              </w:rPr>
            </w:pPr>
            <w:r>
              <w:rPr>
                <w:rFonts w:ascii="Arial" w:cs="Arial" w:eastAsia="Arial" w:hAnsi="Arial"/>
                <w:sz w:val="18"/>
                <w:szCs w:val="18"/>
                <w:color w:val="auto"/>
              </w:rPr>
              <w:t>15</w:t>
            </w: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rPr>
              <w:t>11,000</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37"/>
              <w:spacing w:after="0" w:line="196" w:lineRule="exact"/>
              <w:rPr>
                <w:sz w:val="20"/>
                <w:szCs w:val="20"/>
                <w:color w:val="auto"/>
              </w:rPr>
            </w:pPr>
            <w:r>
              <w:rPr>
                <w:rFonts w:ascii="Arial" w:cs="Arial" w:eastAsia="Arial" w:hAnsi="Arial"/>
                <w:sz w:val="18"/>
                <w:szCs w:val="18"/>
                <w:color w:val="auto"/>
              </w:rPr>
              <w:t>(123)</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rPr>
              <w:t>10,877</w:t>
            </w: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Customer relationships</w:t>
            </w:r>
          </w:p>
        </w:tc>
        <w:tc>
          <w:tcPr>
            <w:tcW w:w="1420" w:type="dxa"/>
            <w:vAlign w:val="bottom"/>
            <w:tcBorders>
              <w:bottom w:val="single" w:sz="8" w:color="CCEEFF"/>
            </w:tcBorders>
          </w:tcPr>
          <w:p>
            <w:pPr>
              <w:jc w:val="right"/>
              <w:ind w:right="581"/>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360</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329</w:t>
            </w:r>
          </w:p>
        </w:tc>
      </w:tr>
      <w:tr>
        <w:trPr>
          <w:trHeight w:val="183"/>
        </w:trPr>
        <w:tc>
          <w:tcPr>
            <w:tcW w:w="3520" w:type="dxa"/>
            <w:vAlign w:val="bottom"/>
            <w:tcBorders>
              <w:bottom w:val="single" w:sz="8" w:color="CCEEFF"/>
            </w:tcBorders>
            <w:shd w:val="clear" w:color="auto" w:fill="CCEEFF"/>
          </w:tcPr>
          <w:p>
            <w:pPr>
              <w:ind w:left="560"/>
              <w:spacing w:after="0" w:line="182" w:lineRule="exact"/>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9"/>
              <w:spacing w:after="0" w:line="182" w:lineRule="exact"/>
              <w:rPr>
                <w:sz w:val="20"/>
                <w:szCs w:val="20"/>
                <w:color w:val="auto"/>
              </w:rPr>
            </w:pPr>
            <w:r>
              <w:rPr>
                <w:rFonts w:ascii="Arial" w:cs="Arial" w:eastAsia="Arial" w:hAnsi="Arial"/>
                <w:sz w:val="18"/>
                <w:szCs w:val="18"/>
                <w:color w:val="auto"/>
              </w:rPr>
              <w:t>11,360</w:t>
            </w:r>
          </w:p>
        </w:tc>
        <w:tc>
          <w:tcPr>
            <w:tcW w:w="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7"/>
              <w:spacing w:after="0" w:line="182" w:lineRule="exact"/>
              <w:rPr>
                <w:sz w:val="20"/>
                <w:szCs w:val="20"/>
                <w:color w:val="auto"/>
              </w:rPr>
            </w:pPr>
            <w:r>
              <w:rPr>
                <w:rFonts w:ascii="Arial" w:cs="Arial" w:eastAsia="Arial" w:hAnsi="Arial"/>
                <w:sz w:val="18"/>
                <w:szCs w:val="18"/>
                <w:color w:val="auto"/>
              </w:rPr>
              <w:t>(154)</w:t>
            </w:r>
          </w:p>
        </w:tc>
        <w:tc>
          <w:tcPr>
            <w:tcW w:w="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9"/>
              <w:spacing w:after="0" w:line="182" w:lineRule="exact"/>
              <w:rPr>
                <w:sz w:val="20"/>
                <w:szCs w:val="20"/>
                <w:color w:val="auto"/>
              </w:rPr>
            </w:pPr>
            <w:r>
              <w:rPr>
                <w:rFonts w:ascii="Arial" w:cs="Arial" w:eastAsia="Arial" w:hAnsi="Arial"/>
                <w:sz w:val="18"/>
                <w:szCs w:val="18"/>
                <w:color w:val="auto"/>
              </w:rPr>
              <w:t>11,206</w:t>
            </w:r>
          </w:p>
        </w:tc>
      </w:tr>
      <w:tr>
        <w:trPr>
          <w:trHeight w:val="20"/>
        </w:trPr>
        <w:tc>
          <w:tcPr>
            <w:tcW w:w="3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18</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47"/>
        </w:trPr>
        <w:tc>
          <w:tcPr>
            <w:tcW w:w="35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future amortization expense of acquisition-related intangible assets with definite lives is estimated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4540" w:type="dxa"/>
            <w:vAlign w:val="bottom"/>
            <w:tcBorders>
              <w:bottom w:val="single" w:sz="8" w:color="auto"/>
            </w:tcBorders>
          </w:tcPr>
          <w:p>
            <w:pPr>
              <w:jc w:val="right"/>
              <w:ind w:right="1752"/>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2021</w:t>
            </w:r>
          </w:p>
        </w:tc>
        <w:tc>
          <w:tcPr>
            <w:tcW w:w="68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4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2022</w:t>
            </w:r>
          </w:p>
        </w:tc>
        <w:tc>
          <w:tcPr>
            <w:tcW w:w="680" w:type="dxa"/>
            <w:vAlign w:val="bottom"/>
          </w:tcPr>
          <w:p>
            <w:pPr>
              <w:spacing w:after="0"/>
              <w:rPr>
                <w:sz w:val="18"/>
                <w:szCs w:val="18"/>
                <w:color w:val="auto"/>
              </w:rPr>
            </w:pPr>
          </w:p>
        </w:tc>
        <w:tc>
          <w:tcPr>
            <w:tcW w:w="454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CEEFF"/>
          </w:tcPr>
          <w:p>
            <w:pPr>
              <w:spacing w:after="0"/>
              <w:rPr>
                <w:sz w:val="18"/>
                <w:szCs w:val="18"/>
                <w:color w:val="auto"/>
              </w:rPr>
            </w:pP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8"/>
                <w:szCs w:val="18"/>
                <w:color w:val="auto"/>
              </w:rPr>
            </w:pPr>
          </w:p>
        </w:tc>
        <w:tc>
          <w:tcPr>
            <w:tcW w:w="454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spacing w:after="0"/>
              <w:rPr>
                <w:sz w:val="18"/>
                <w:szCs w:val="18"/>
                <w:color w:val="auto"/>
              </w:rPr>
            </w:pP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16"/>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 and thereafter</w:t>
            </w:r>
          </w:p>
        </w:tc>
        <w:tc>
          <w:tcPr>
            <w:tcW w:w="68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7,762</w:t>
            </w:r>
          </w:p>
        </w:tc>
      </w:tr>
      <w:tr>
        <w:trPr>
          <w:trHeight w:val="183"/>
        </w:trPr>
        <w:tc>
          <w:tcPr>
            <w:tcW w:w="6020" w:type="dxa"/>
            <w:vAlign w:val="bottom"/>
            <w:tcBorders>
              <w:bottom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90"/>
              <w:spacing w:after="0" w:line="182" w:lineRule="exact"/>
              <w:rPr>
                <w:sz w:val="20"/>
                <w:szCs w:val="20"/>
                <w:color w:val="auto"/>
              </w:rPr>
            </w:pPr>
            <w:r>
              <w:rPr>
                <w:rFonts w:ascii="Arial" w:cs="Arial" w:eastAsia="Arial" w:hAnsi="Arial"/>
                <w:sz w:val="18"/>
                <w:szCs w:val="18"/>
                <w:color w:val="auto"/>
                <w:w w:val="79"/>
              </w:rPr>
              <w:t>$</w:t>
            </w:r>
          </w:p>
        </w:tc>
        <w:tc>
          <w:tcPr>
            <w:tcW w:w="45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11,206</w:t>
            </w:r>
          </w:p>
        </w:tc>
      </w:tr>
      <w:tr>
        <w:trPr>
          <w:trHeight w:val="20"/>
        </w:trPr>
        <w:tc>
          <w:tcPr>
            <w:tcW w:w="6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40" w:firstLine="440"/>
        <w:spacing w:after="0" w:line="246" w:lineRule="auto"/>
        <w:rPr>
          <w:sz w:val="20"/>
          <w:szCs w:val="20"/>
          <w:color w:val="auto"/>
        </w:rPr>
      </w:pPr>
      <w:r>
        <w:rPr>
          <w:rFonts w:ascii="Arial" w:cs="Arial" w:eastAsia="Arial" w:hAnsi="Arial"/>
          <w:sz w:val="18"/>
          <w:szCs w:val="18"/>
          <w:color w:val="auto"/>
        </w:rPr>
        <w:t>We review definite-lived intangible assets for impairment on an annual basis or when indication of potential impairment exists, such as a significant reduction in cash flows associated with the assets.</w:t>
      </w:r>
    </w:p>
    <w:p>
      <w:pPr>
        <w:spacing w:after="0" w:line="143" w:lineRule="exact"/>
        <w:rPr>
          <w:sz w:val="20"/>
          <w:szCs w:val="20"/>
          <w:color w:val="auto"/>
        </w:rPr>
      </w:pPr>
    </w:p>
    <w:p>
      <w:pPr>
        <w:ind w:right="320" w:firstLine="440"/>
        <w:spacing w:after="0" w:line="246" w:lineRule="auto"/>
        <w:rPr>
          <w:sz w:val="20"/>
          <w:szCs w:val="20"/>
          <w:color w:val="auto"/>
        </w:rPr>
      </w:pPr>
      <w:r>
        <w:rPr>
          <w:rFonts w:ascii="Arial" w:cs="Arial" w:eastAsia="Arial" w:hAnsi="Arial"/>
          <w:sz w:val="18"/>
          <w:szCs w:val="18"/>
          <w:color w:val="auto"/>
        </w:rPr>
        <w:t>Goodwill is reviewed for impairment at least annually during the second quarter, or more frequently if an event occurs indicating the potential for impairment. Changes to goodwill during the nine months ended September 30, 2021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Acquisition of Omniome</w:t>
            </w:r>
          </w:p>
        </w:tc>
        <w:tc>
          <w:tcPr>
            <w:tcW w:w="10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392,224</w:t>
            </w:r>
          </w:p>
        </w:tc>
      </w:tr>
      <w:tr>
        <w:trPr>
          <w:trHeight w:val="229"/>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Circulomics</w:t>
            </w:r>
          </w:p>
        </w:tc>
        <w:tc>
          <w:tcPr>
            <w:tcW w:w="10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19,309</w:t>
            </w:r>
          </w:p>
        </w:tc>
      </w:tr>
      <w:tr>
        <w:trPr>
          <w:trHeight w:val="210"/>
        </w:trPr>
        <w:tc>
          <w:tcPr>
            <w:tcW w:w="8640" w:type="dxa"/>
            <w:vAlign w:val="bottom"/>
          </w:tcPr>
          <w:p>
            <w:pPr>
              <w:spacing w:after="0"/>
              <w:rPr>
                <w:sz w:val="20"/>
                <w:szCs w:val="20"/>
                <w:color w:val="auto"/>
              </w:rPr>
            </w:pPr>
            <w:r>
              <w:rPr>
                <w:rFonts w:ascii="Arial" w:cs="Arial" w:eastAsia="Arial" w:hAnsi="Arial"/>
                <w:sz w:val="18"/>
                <w:szCs w:val="18"/>
                <w:color w:val="auto"/>
              </w:rPr>
              <w:t>Balance as of September 30, 2021</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411,533</w:t>
            </w:r>
          </w:p>
        </w:tc>
      </w:tr>
      <w:tr>
        <w:trPr>
          <w:trHeight w:val="20"/>
        </w:trPr>
        <w:tc>
          <w:tcPr>
            <w:tcW w:w="8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63" w:lineRule="exact"/>
        <w:rPr>
          <w:sz w:val="20"/>
          <w:szCs w:val="20"/>
          <w:color w:val="auto"/>
        </w:rPr>
      </w:pPr>
    </w:p>
    <w:p>
      <w:pPr>
        <w:ind w:right="40" w:firstLine="440"/>
        <w:spacing w:after="0" w:line="258" w:lineRule="auto"/>
        <w:rPr>
          <w:sz w:val="20"/>
          <w:szCs w:val="20"/>
          <w:color w:val="auto"/>
        </w:rPr>
      </w:pPr>
      <w:r>
        <w:rPr>
          <w:rFonts w:ascii="Arial" w:cs="Arial" w:eastAsia="Arial" w:hAnsi="Arial"/>
          <w:sz w:val="16"/>
          <w:szCs w:val="16"/>
          <w:color w:val="auto"/>
        </w:rPr>
        <w:t>As of September 30, 2021, we had a total of $28.2 million of deferred revenue, $9.8 million of which was recorded as deferred revenue, current and primarily relates to deferred service contract revenues to be recognized over the next year and the remaining $18.4 million was recorded as deferred revenue, non-current. Of the deferred revenue, non-current balance, $16.8 million relates to payments received under the Invitae collaboration described in Note 3 and $1.6 million primarily relates to deferred service contract revenues and is scheduled to be recognized in the next 5 years. Revenue recorded in the nine months ended September 30, 2021 includes $7.4 million of previously deferred revenue that was included in deferred revenue, current as of December 31, 2020. Contract assets as of September 30, 2021 and December 31, 2020 were not material.</w:t>
      </w:r>
    </w:p>
    <w:p>
      <w:pPr>
        <w:spacing w:after="0" w:line="28" w:lineRule="exact"/>
        <w:rPr>
          <w:sz w:val="20"/>
          <w:szCs w:val="20"/>
          <w:color w:val="auto"/>
        </w:rPr>
      </w:pPr>
    </w:p>
    <w:p>
      <w:pPr>
        <w:ind w:right="360" w:firstLine="440"/>
        <w:spacing w:after="0" w:line="235" w:lineRule="auto"/>
        <w:rPr>
          <w:sz w:val="20"/>
          <w:szCs w:val="20"/>
          <w:color w:val="auto"/>
        </w:rPr>
      </w:pPr>
      <w:r>
        <w:rPr>
          <w:rFonts w:ascii="Arial" w:cs="Arial" w:eastAsia="Arial" w:hAnsi="Arial"/>
          <w:sz w:val="18"/>
          <w:szCs w:val="18"/>
          <w:color w:val="auto"/>
        </w:rPr>
        <w:t>As of September 30, 2021, we had a total of $0.7 million of deferred commissions included in prepaid expenses and other current assets which is recognized as sales, general and administrative expense as the related revenue is recognized. Costs to obtain a contract are expensed as incurred if the amortization period would have been a year or less.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w:t>
      </w:r>
    </w:p>
    <w:p>
      <w:pPr>
        <w:spacing w:after="0" w:line="63" w:lineRule="exact"/>
        <w:rPr>
          <w:sz w:val="20"/>
          <w:szCs w:val="20"/>
          <w:color w:val="auto"/>
        </w:rPr>
      </w:pPr>
    </w:p>
    <w:p>
      <w:pPr>
        <w:jc w:val="both"/>
        <w:ind w:firstLine="440"/>
        <w:spacing w:after="0" w:line="264" w:lineRule="auto"/>
        <w:rPr>
          <w:sz w:val="20"/>
          <w:szCs w:val="20"/>
          <w:color w:val="auto"/>
        </w:rPr>
      </w:pPr>
      <w:r>
        <w:rPr>
          <w:rFonts w:ascii="Arial" w:cs="Arial" w:eastAsia="Arial" w:hAnsi="Arial"/>
          <w:sz w:val="16"/>
          <w:szCs w:val="16"/>
          <w:color w:val="auto"/>
        </w:rPr>
        <w:t>In connection with the acquisition of Omniome, we acquired $1.3 million in short-term debt and $3.0 million in long-term debt relating to a term loan facility that Omniome obtained in April 2020. Borrowings on the term loan facility were used to fund Omniome’s purchases of equipment, which serves as collateral. Each term loan has a term of 43 months and bears a fixed interest rate of approximately 17% annually. The fee for the elective option to prepay</w:t>
      </w:r>
    </w:p>
    <w:p>
      <w:pPr>
        <w:spacing w:after="0" w:line="1" w:lineRule="exact"/>
        <w:rPr>
          <w:sz w:val="20"/>
          <w:szCs w:val="20"/>
          <w:color w:val="auto"/>
        </w:rPr>
      </w:pPr>
    </w:p>
    <w:p>
      <w:pPr>
        <w:ind w:right="280"/>
        <w:spacing w:after="0" w:line="203" w:lineRule="auto"/>
        <w:rPr>
          <w:sz w:val="20"/>
          <w:szCs w:val="20"/>
          <w:color w:val="auto"/>
        </w:rPr>
      </w:pPr>
      <w:r>
        <w:rPr>
          <w:rFonts w:ascii="Arial" w:cs="Arial" w:eastAsia="Arial" w:hAnsi="Arial"/>
          <w:sz w:val="18"/>
          <w:szCs w:val="18"/>
          <w:color w:val="auto"/>
        </w:rPr>
        <w:t>all, but not less than all, of the borrowed amounts at any time after the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and before the 43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month after the commencement date, is 4% of the outstanding loan balance. Payments are made in equal monthly installments including principal and interest. The following table presents the future principal payments on the term loans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980" w:type="dxa"/>
            <w:vAlign w:val="bottom"/>
            <w:gridSpan w:val="2"/>
            <w:shd w:val="clear" w:color="auto" w:fill="CCEEFF"/>
          </w:tcPr>
          <w:p>
            <w:pPr>
              <w:jc w:val="right"/>
              <w:ind w:right="2250"/>
              <w:spacing w:after="0"/>
              <w:rPr>
                <w:sz w:val="20"/>
                <w:szCs w:val="20"/>
                <w:color w:val="auto"/>
              </w:rPr>
            </w:pPr>
            <w:r>
              <w:rPr>
                <w:rFonts w:ascii="Arial" w:cs="Arial" w:eastAsia="Arial" w:hAnsi="Arial"/>
                <w:sz w:val="18"/>
                <w:szCs w:val="18"/>
                <w:color w:val="auto"/>
              </w:rPr>
              <w: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2022</w:t>
            </w:r>
          </w:p>
        </w:tc>
        <w:tc>
          <w:tcPr>
            <w:tcW w:w="2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5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254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183"/>
        </w:trPr>
        <w:tc>
          <w:tcPr>
            <w:tcW w:w="3460" w:type="dxa"/>
            <w:vAlign w:val="bottom"/>
            <w:tcBorders>
              <w:bottom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Total</w:t>
            </w:r>
          </w:p>
        </w:tc>
        <w:tc>
          <w:tcPr>
            <w:tcW w:w="2540" w:type="dxa"/>
            <w:vAlign w:val="bottom"/>
            <w:tcBorders>
              <w:bottom w:val="single" w:sz="8" w:color="CCEEFF"/>
            </w:tcBorders>
            <w:shd w:val="clear" w:color="auto" w:fill="CCEEFF"/>
          </w:tcPr>
          <w:p>
            <w:pPr>
              <w:spacing w:after="0"/>
              <w:rPr>
                <w:sz w:val="15"/>
                <w:szCs w:val="15"/>
                <w:color w:val="auto"/>
              </w:rPr>
            </w:pPr>
          </w:p>
        </w:tc>
        <w:tc>
          <w:tcPr>
            <w:tcW w:w="2440" w:type="dxa"/>
            <w:vAlign w:val="bottom"/>
            <w:tcBorders>
              <w:bottom w:val="single" w:sz="8" w:color="auto"/>
            </w:tcBorders>
            <w:shd w:val="clear" w:color="auto" w:fill="CCEEFF"/>
          </w:tcPr>
          <w:p>
            <w:pPr>
              <w:jc w:val="right"/>
              <w:ind w:right="2250"/>
              <w:spacing w:after="0" w:line="182" w:lineRule="exact"/>
              <w:rPr>
                <w:sz w:val="20"/>
                <w:szCs w:val="20"/>
                <w:color w:val="auto"/>
              </w:rPr>
            </w:pPr>
            <w:r>
              <w:rPr>
                <w:rFonts w:ascii="Arial" w:cs="Arial" w:eastAsia="Arial" w:hAnsi="Arial"/>
                <w:sz w:val="18"/>
                <w:szCs w:val="18"/>
                <w:color w:val="auto"/>
                <w:w w:val="79"/>
              </w:rPr>
              <w:t>$</w:t>
            </w:r>
          </w:p>
        </w:tc>
        <w:tc>
          <w:tcPr>
            <w:tcW w:w="2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540" w:type="dxa"/>
            <w:vAlign w:val="bottom"/>
            <w:vMerge w:val="restart"/>
          </w:tcPr>
          <w:p>
            <w:pPr>
              <w:jc w:val="right"/>
              <w:ind w:right="190"/>
              <w:spacing w:after="0"/>
              <w:rPr>
                <w:sz w:val="20"/>
                <w:szCs w:val="20"/>
                <w:color w:val="auto"/>
              </w:rPr>
            </w:pPr>
            <w:r>
              <w:rPr>
                <w:rFonts w:ascii="Arial" w:cs="Arial" w:eastAsia="Arial" w:hAnsi="Arial"/>
                <w:sz w:val="18"/>
                <w:szCs w:val="18"/>
                <w:color w:val="auto"/>
              </w:rPr>
              <w:t>19</w:t>
            </w:r>
          </w:p>
        </w:tc>
        <w:tc>
          <w:tcPr>
            <w:tcW w:w="24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4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CONVERTIBLE SENIOR NOTES</w:t>
      </w:r>
    </w:p>
    <w:p>
      <w:pPr>
        <w:spacing w:after="0" w:line="202" w:lineRule="exact"/>
        <w:rPr>
          <w:sz w:val="20"/>
          <w:szCs w:val="20"/>
          <w:color w:val="auto"/>
        </w:rPr>
      </w:pPr>
    </w:p>
    <w:p>
      <w:pPr>
        <w:jc w:val="both"/>
        <w:ind w:right="40" w:firstLine="440"/>
        <w:spacing w:after="0" w:line="235" w:lineRule="auto"/>
        <w:rPr>
          <w:sz w:val="20"/>
          <w:szCs w:val="20"/>
          <w:color w:val="auto"/>
        </w:rPr>
      </w:pPr>
      <w:r>
        <w:rPr>
          <w:rFonts w:ascii="Arial" w:cs="Arial" w:eastAsia="Arial" w:hAnsi="Arial"/>
          <w:sz w:val="18"/>
          <w:szCs w:val="18"/>
          <w:color w:val="auto"/>
        </w:rPr>
        <w:t>On February 9, 2021, we entered into an investment agreement (the “Investment Agreement”) with SB Northstar LP (the “Purchaser”), a subsidiary of SoftBank Group Corp., relating to the issuance and sale to the Purchaser of $900 million in aggregate principal amount of our 1.50% Convertible Senior Notes due February 15, 2028 (the “Notes”). The Notes were issued on February 16, 2021.</w:t>
      </w:r>
    </w:p>
    <w:p>
      <w:pPr>
        <w:spacing w:after="0" w:line="40" w:lineRule="exact"/>
        <w:rPr>
          <w:sz w:val="20"/>
          <w:szCs w:val="20"/>
          <w:color w:val="auto"/>
        </w:rPr>
      </w:pPr>
    </w:p>
    <w:p>
      <w:pPr>
        <w:ind w:right="340" w:firstLine="440"/>
        <w:spacing w:after="0" w:line="253" w:lineRule="auto"/>
        <w:rPr>
          <w:sz w:val="20"/>
          <w:szCs w:val="20"/>
          <w:color w:val="auto"/>
        </w:rPr>
      </w:pPr>
      <w:r>
        <w:rPr>
          <w:rFonts w:ascii="Arial" w:cs="Arial" w:eastAsia="Arial" w:hAnsi="Arial"/>
          <w:sz w:val="17"/>
          <w:szCs w:val="17"/>
          <w:color w:val="auto"/>
        </w:rPr>
        <w:t>The Notes are governed by an indenture (the “Indenture”) between the Company and U.S. Bank National Association, as trustee. The Notes bear interest at a rate of 1.50% per annum. Interest on the Notes is payable semi-annually in arrears on February 15 and August 15 and commenced on August 15, 2021. The Notes will mature on February 15, 2028, subject to earlier conversion, redemption or repurchase.</w:t>
      </w:r>
    </w:p>
    <w:p>
      <w:pPr>
        <w:spacing w:after="0" w:line="30" w:lineRule="exact"/>
        <w:rPr>
          <w:sz w:val="20"/>
          <w:szCs w:val="20"/>
          <w:color w:val="auto"/>
        </w:rPr>
      </w:pPr>
    </w:p>
    <w:p>
      <w:pPr>
        <w:ind w:right="20" w:firstLine="440"/>
        <w:spacing w:after="0" w:line="228" w:lineRule="auto"/>
        <w:rPr>
          <w:sz w:val="20"/>
          <w:szCs w:val="20"/>
          <w:color w:val="auto"/>
        </w:rPr>
      </w:pPr>
      <w:r>
        <w:rPr>
          <w:rFonts w:ascii="Arial" w:cs="Arial" w:eastAsia="Arial" w:hAnsi="Arial"/>
          <w:sz w:val="18"/>
          <w:szCs w:val="18"/>
          <w:color w:val="auto"/>
        </w:rPr>
        <w:t>The Notes are convertible at the option of the holder at any time until the second scheduled trading day prior to the maturity date, including in connection with a redemption by the Company. The Notes are convertible into shares of our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spacing w:after="0" w:line="43"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On or after February 20, 2026, the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Notes, plus accrued and unpaid interest up to, but excluding, the redemption date.</w:t>
      </w:r>
    </w:p>
    <w:p>
      <w:pPr>
        <w:spacing w:after="0" w:line="43" w:lineRule="exact"/>
        <w:rPr>
          <w:sz w:val="20"/>
          <w:szCs w:val="20"/>
          <w:color w:val="auto"/>
        </w:rPr>
      </w:pPr>
    </w:p>
    <w:p>
      <w:pPr>
        <w:ind w:right="100" w:firstLine="440"/>
        <w:spacing w:after="0" w:line="235" w:lineRule="auto"/>
        <w:rPr>
          <w:sz w:val="20"/>
          <w:szCs w:val="20"/>
          <w:color w:val="auto"/>
        </w:rPr>
      </w:pPr>
      <w:r>
        <w:rPr>
          <w:rFonts w:ascii="Arial" w:cs="Arial" w:eastAsia="Arial" w:hAnsi="Arial"/>
          <w:sz w:val="18"/>
          <w:szCs w:val="18"/>
          <w:color w:val="auto"/>
        </w:rPr>
        <w:t>With certain exceptions, upon a change of control of the Company or the failure of our common stock to be listed on certain stock exchanges (a “Fundamental Change”), the holders of the Notes may require that we repurchase all or part of the principal amount of the Notes at a purchase price of par plus unpaid interest up to, but excluding, the maturity date.</w:t>
      </w:r>
    </w:p>
    <w:p>
      <w:pPr>
        <w:spacing w:after="0" w:line="40" w:lineRule="exact"/>
        <w:rPr>
          <w:sz w:val="20"/>
          <w:szCs w:val="20"/>
          <w:color w:val="auto"/>
        </w:rPr>
      </w:pPr>
    </w:p>
    <w:p>
      <w:pPr>
        <w:ind w:right="360" w:firstLine="440"/>
        <w:spacing w:after="0" w:line="246" w:lineRule="auto"/>
        <w:rPr>
          <w:sz w:val="20"/>
          <w:szCs w:val="20"/>
          <w:color w:val="auto"/>
        </w:rPr>
      </w:pPr>
      <w:r>
        <w:rPr>
          <w:rFonts w:ascii="Arial" w:cs="Arial" w:eastAsia="Arial" w:hAnsi="Arial"/>
          <w:sz w:val="18"/>
          <w:szCs w:val="18"/>
          <w:color w:val="auto"/>
        </w:rPr>
        <w:t>The Indenture includes customary “events of default,” which may result in the acceleration of the maturity of the Notes under the Indenture. The Indenture also includes customary covenants for convertible notes of this type.</w:t>
      </w:r>
    </w:p>
    <w:p>
      <w:pPr>
        <w:spacing w:after="0" w:line="35" w:lineRule="exact"/>
        <w:rPr>
          <w:sz w:val="20"/>
          <w:szCs w:val="20"/>
          <w:color w:val="auto"/>
        </w:rPr>
      </w:pPr>
    </w:p>
    <w:p>
      <w:pPr>
        <w:ind w:firstLine="440"/>
        <w:spacing w:after="0" w:line="224" w:lineRule="auto"/>
        <w:rPr>
          <w:sz w:val="20"/>
          <w:szCs w:val="20"/>
          <w:color w:val="auto"/>
        </w:rPr>
      </w:pPr>
      <w:r>
        <w:rPr>
          <w:rFonts w:ascii="Arial" w:cs="Arial" w:eastAsia="Arial" w:hAnsi="Arial"/>
          <w:sz w:val="18"/>
          <w:szCs w:val="18"/>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Notes at a rate equal to (i) 0.25% per annum of the principal amount of the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Indenture). On the 361st day after such event of default (if the event of default relating to our failure to comply with its obligations is not cured or waived prior to such 361st day), the Notes shall be subject to acceleration as provided for in the Indenture.</w:t>
      </w:r>
    </w:p>
    <w:p>
      <w:pPr>
        <w:spacing w:after="0" w:line="43" w:lineRule="exact"/>
        <w:rPr>
          <w:sz w:val="20"/>
          <w:szCs w:val="20"/>
          <w:color w:val="auto"/>
        </w:rPr>
      </w:pPr>
    </w:p>
    <w:p>
      <w:pPr>
        <w:ind w:right="20" w:firstLine="440"/>
        <w:spacing w:after="0" w:line="239" w:lineRule="auto"/>
        <w:rPr>
          <w:sz w:val="20"/>
          <w:szCs w:val="20"/>
          <w:color w:val="auto"/>
        </w:rPr>
      </w:pPr>
      <w:r>
        <w:rPr>
          <w:rFonts w:ascii="Arial" w:cs="Arial" w:eastAsia="Arial" w:hAnsi="Arial"/>
          <w:sz w:val="17"/>
          <w:szCs w:val="17"/>
          <w:color w:val="auto"/>
        </w:rPr>
        <w:t>The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Notes is not accounted for as an embedded derivative because it is considered to be indexed to our common stock, and the Notes were not issued at a premium; therefore, the Notes are accounted for in their entirety as a liability. Because we may elect to settle any conversions entirely in shares, and because settlement in shares is the default settlement method, the liability is classified as non-current.</w:t>
      </w:r>
    </w:p>
    <w:p>
      <w:pPr>
        <w:spacing w:after="0" w:line="41" w:lineRule="exact"/>
        <w:rPr>
          <w:sz w:val="20"/>
          <w:szCs w:val="20"/>
          <w:color w:val="auto"/>
        </w:rPr>
      </w:pPr>
    </w:p>
    <w:p>
      <w:pPr>
        <w:ind w:right="160" w:firstLine="440"/>
        <w:spacing w:after="0" w:line="235" w:lineRule="auto"/>
        <w:rPr>
          <w:sz w:val="20"/>
          <w:szCs w:val="20"/>
          <w:color w:val="auto"/>
        </w:rPr>
      </w:pPr>
      <w:r>
        <w:rPr>
          <w:rFonts w:ascii="Arial" w:cs="Arial" w:eastAsia="Arial" w:hAnsi="Arial"/>
          <w:sz w:val="18"/>
          <w:szCs w:val="18"/>
          <w:color w:val="auto"/>
        </w:rPr>
        <w:t xml:space="preserve">The requirement to repurchase the Notes including unpaid interest to the maturity date in the event of a Fundamental Change is considered a put option for certain periods requiring bifurcation under ASC 815 –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However, given the low probability of a Fundamental Change occurring during the applicable periods, the value of the embedded derivative is immaterial.</w:t>
      </w:r>
    </w:p>
    <w:p>
      <w:pPr>
        <w:spacing w:after="0" w:line="40" w:lineRule="exact"/>
        <w:rPr>
          <w:sz w:val="20"/>
          <w:szCs w:val="20"/>
          <w:color w:val="auto"/>
        </w:rPr>
      </w:pPr>
    </w:p>
    <w:p>
      <w:pPr>
        <w:ind w:right="420" w:firstLine="440"/>
        <w:spacing w:after="0" w:line="225" w:lineRule="auto"/>
        <w:rPr>
          <w:sz w:val="20"/>
          <w:szCs w:val="20"/>
          <w:color w:val="auto"/>
        </w:rPr>
      </w:pPr>
      <w:r>
        <w:rPr>
          <w:rFonts w:ascii="Arial" w:cs="Arial" w:eastAsia="Arial" w:hAnsi="Arial"/>
          <w:sz w:val="18"/>
          <w:szCs w:val="18"/>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0" w:firstLine="485"/>
        <w:spacing w:after="0" w:line="246" w:lineRule="auto"/>
        <w:rPr>
          <w:sz w:val="20"/>
          <w:szCs w:val="20"/>
          <w:color w:val="auto"/>
        </w:rPr>
      </w:pPr>
      <w:r>
        <w:rPr>
          <w:rFonts w:ascii="Arial" w:cs="Arial" w:eastAsia="Arial" w:hAnsi="Arial"/>
          <w:sz w:val="17"/>
          <w:szCs w:val="17"/>
          <w:color w:val="auto"/>
        </w:rPr>
        <w:t>We incurred issuance costs related to the Notes of approximately $4.5 million, which were recorded as debt issuance cost and are presented as a reduction to the Notes on our Condensed Consolidated Balance Sheets and are amortized to interest expense using the effective interest method over the term of the Notes, resulting in an effective interest rate of 1.6%. As of September 30, 2021, the net carrying amount of the liability for the Notes is recorded as convertible senior notes, net in the Condensed Consolidated Balance Sheets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1460" w:type="dxa"/>
            <w:vAlign w:val="bottom"/>
            <w:shd w:val="clear" w:color="auto" w:fill="CCEEFF"/>
          </w:tcPr>
          <w:p>
            <w:pPr>
              <w:jc w:val="right"/>
              <w:ind w:right="130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r>
      <w:tr>
        <w:trPr>
          <w:trHeight w:val="229"/>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issuance costs</w:t>
            </w:r>
          </w:p>
        </w:tc>
        <w:tc>
          <w:tcPr>
            <w:tcW w:w="14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r>
      <w:tr>
        <w:trPr>
          <w:trHeight w:val="196"/>
        </w:trPr>
        <w:tc>
          <w:tcPr>
            <w:tcW w:w="77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carrying amount</w:t>
            </w:r>
          </w:p>
        </w:tc>
        <w:tc>
          <w:tcPr>
            <w:tcW w:w="1460" w:type="dxa"/>
            <w:vAlign w:val="bottom"/>
            <w:tcBorders>
              <w:bottom w:val="single" w:sz="8" w:color="auto"/>
            </w:tcBorders>
            <w:shd w:val="clear" w:color="auto" w:fill="CCEEFF"/>
          </w:tcPr>
          <w:p>
            <w:pPr>
              <w:jc w:val="right"/>
              <w:ind w:right="130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895,915</w:t>
            </w:r>
          </w:p>
        </w:tc>
      </w:tr>
      <w:tr>
        <w:trPr>
          <w:trHeight w:val="20"/>
        </w:trPr>
        <w:tc>
          <w:tcPr>
            <w:tcW w:w="7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nine months ended September 30, 2021, interest expense for the Notes was as follows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60" w:type="dxa"/>
            <w:vAlign w:val="bottom"/>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50"/>
        </w:trPr>
        <w:tc>
          <w:tcPr>
            <w:tcW w:w="5160" w:type="dxa"/>
            <w:vAlign w:val="bottom"/>
            <w:tcBorders>
              <w:bottom w:val="single" w:sz="8" w:color="CCEEFF"/>
            </w:tcBorders>
          </w:tcPr>
          <w:p>
            <w:pPr>
              <w:spacing w:after="0"/>
              <w:rPr>
                <w:sz w:val="21"/>
                <w:szCs w:val="21"/>
                <w:color w:val="auto"/>
              </w:rPr>
            </w:pPr>
          </w:p>
        </w:tc>
        <w:tc>
          <w:tcPr>
            <w:tcW w:w="236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September 30, 2021</w:t>
            </w:r>
          </w:p>
        </w:tc>
        <w:tc>
          <w:tcPr>
            <w:tcW w:w="56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September 30, 2021</w:t>
            </w: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expense</w:t>
            </w:r>
          </w:p>
        </w:tc>
        <w:tc>
          <w:tcPr>
            <w:tcW w:w="2360" w:type="dxa"/>
            <w:vAlign w:val="bottom"/>
            <w:shd w:val="clear" w:color="auto" w:fill="CCEEFF"/>
          </w:tcPr>
          <w:p>
            <w:pPr>
              <w:jc w:val="right"/>
              <w:ind w:right="219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r>
      <w:tr>
        <w:trPr>
          <w:trHeight w:val="230"/>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debt issuance costs</w:t>
            </w:r>
          </w:p>
        </w:tc>
        <w:tc>
          <w:tcPr>
            <w:tcW w:w="2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196"/>
        </w:trPr>
        <w:tc>
          <w:tcPr>
            <w:tcW w:w="51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interest expense</w:t>
            </w:r>
          </w:p>
        </w:tc>
        <w:tc>
          <w:tcPr>
            <w:tcW w:w="2360" w:type="dxa"/>
            <w:vAlign w:val="bottom"/>
            <w:tcBorders>
              <w:bottom w:val="single" w:sz="8" w:color="auto"/>
            </w:tcBorders>
            <w:shd w:val="clear" w:color="auto" w:fill="CCEEFF"/>
          </w:tcPr>
          <w:p>
            <w:pPr>
              <w:jc w:val="right"/>
              <w:ind w:right="219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3,527</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8,817</w:t>
            </w:r>
          </w:p>
        </w:tc>
      </w:tr>
      <w:tr>
        <w:trPr>
          <w:trHeight w:val="20"/>
        </w:trPr>
        <w:tc>
          <w:tcPr>
            <w:tcW w:w="5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40" w:firstLine="492"/>
        <w:spacing w:after="0" w:line="246" w:lineRule="auto"/>
        <w:rPr>
          <w:sz w:val="20"/>
          <w:szCs w:val="20"/>
          <w:color w:val="auto"/>
        </w:rPr>
      </w:pPr>
      <w:r>
        <w:rPr>
          <w:rFonts w:ascii="Arial" w:cs="Arial" w:eastAsia="Arial" w:hAnsi="Arial"/>
          <w:sz w:val="18"/>
          <w:szCs w:val="18"/>
          <w:color w:val="auto"/>
        </w:rPr>
        <w:t>As of September 30, 2021, the estimated fair value (Level 2) of the Notes was $886.5 million. The fair value of the Notes is estimated using a pricing model that is primarily affected by the trading price of our common stock and market interest rates.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56" w:lineRule="exact"/>
        <w:rPr>
          <w:sz w:val="20"/>
          <w:szCs w:val="20"/>
          <w:color w:val="auto"/>
        </w:rPr>
      </w:pPr>
    </w:p>
    <w:p>
      <w:pPr>
        <w:ind w:right="60" w:firstLine="440"/>
        <w:spacing w:after="0" w:line="250" w:lineRule="auto"/>
        <w:rPr>
          <w:sz w:val="20"/>
          <w:szCs w:val="20"/>
          <w:color w:val="auto"/>
        </w:rPr>
      </w:pPr>
      <w:r>
        <w:rPr>
          <w:rFonts w:ascii="Arial" w:cs="Arial" w:eastAsia="Arial" w:hAnsi="Arial"/>
          <w:sz w:val="16"/>
          <w:szCs w:val="16"/>
          <w:color w:val="auto"/>
        </w:rPr>
        <w:t>We record an operating lease right-of-use assets and liabilities on our Condensed Consolidated Balance Sheets for all leases with a term of more than 12 months. In connection with the acquisition of Omniome, we acquired $18.1 million in right-of-use assets and liabilities on our Condensed Consolidated Balance Sheets.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base rent per the term of the Lease. Lease expense for these leases is recognized on a straight-line basis over the lease term, with variable lease payments, such as common area maintenance fees, recognized in the period incurred.</w:t>
      </w: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information as to the amount and timing of cash flows arising from our operating leases as of September 30,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540" w:type="dxa"/>
            <w:vAlign w:val="bottom"/>
          </w:tcPr>
          <w:p>
            <w:pPr>
              <w:spacing w:after="0"/>
              <w:rPr>
                <w:sz w:val="20"/>
                <w:szCs w:val="20"/>
                <w:color w:val="auto"/>
              </w:rPr>
            </w:pPr>
          </w:p>
        </w:tc>
        <w:tc>
          <w:tcPr>
            <w:tcW w:w="2300" w:type="dxa"/>
            <w:vAlign w:val="bottom"/>
          </w:tcPr>
          <w:p>
            <w:pPr>
              <w:jc w:val="right"/>
              <w:ind w:right="10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5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4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right"/>
              <w:ind w:right="8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39"/>
        </w:trPr>
        <w:tc>
          <w:tcPr>
            <w:tcW w:w="8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11,163</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21,941</w:t>
            </w:r>
          </w:p>
        </w:tc>
        <w:tc>
          <w:tcPr>
            <w:tcW w:w="0" w:type="dxa"/>
            <w:vAlign w:val="bottom"/>
          </w:tcPr>
          <w:p>
            <w:pPr>
              <w:spacing w:after="0"/>
              <w:rPr>
                <w:sz w:val="1"/>
                <w:szCs w:val="1"/>
                <w:color w:val="auto"/>
              </w:rPr>
            </w:pPr>
          </w:p>
        </w:tc>
      </w:tr>
      <w:tr>
        <w:trPr>
          <w:trHeight w:val="25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operating lease payments</w:t>
            </w:r>
          </w:p>
        </w:tc>
        <w:tc>
          <w:tcPr>
            <w:tcW w:w="540" w:type="dxa"/>
            <w:vAlign w:val="bottom"/>
            <w:shd w:val="clear" w:color="auto" w:fill="CCEEFF"/>
          </w:tcPr>
          <w:p>
            <w:pPr>
              <w:spacing w:after="0"/>
              <w:rPr>
                <w:sz w:val="21"/>
                <w:szCs w:val="21"/>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69,938</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(12,856)</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Present value of operating lease liabilities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57,082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Classification</w:t>
            </w:r>
          </w:p>
        </w:tc>
        <w:tc>
          <w:tcPr>
            <w:tcW w:w="5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540" w:type="dxa"/>
            <w:vAlign w:val="bottom"/>
            <w:tcBorders>
              <w:bottom w:val="single" w:sz="8" w:color="auto"/>
            </w:tcBorders>
            <w:shd w:val="clear" w:color="auto" w:fill="CCEEFF"/>
          </w:tcPr>
          <w:p>
            <w:pPr>
              <w:spacing w:after="0"/>
              <w:rPr>
                <w:sz w:val="23"/>
                <w:szCs w:val="23"/>
                <w:color w:val="auto"/>
              </w:rPr>
            </w:pPr>
          </w:p>
        </w:tc>
        <w:tc>
          <w:tcPr>
            <w:tcW w:w="2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49,954</w:t>
            </w:r>
          </w:p>
        </w:tc>
        <w:tc>
          <w:tcPr>
            <w:tcW w:w="0" w:type="dxa"/>
            <w:vAlign w:val="bottom"/>
          </w:tcPr>
          <w:p>
            <w:pPr>
              <w:spacing w:after="0"/>
              <w:rPr>
                <w:sz w:val="1"/>
                <w:szCs w:val="1"/>
                <w:color w:val="auto"/>
              </w:rPr>
            </w:pPr>
          </w:p>
        </w:tc>
      </w:tr>
      <w:tr>
        <w:trPr>
          <w:trHeight w:val="291"/>
        </w:trPr>
        <w:tc>
          <w:tcPr>
            <w:tcW w:w="8400" w:type="dxa"/>
            <w:vAlign w:val="bottom"/>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57,082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right="80" w:firstLine="440"/>
        <w:spacing w:after="0" w:line="235" w:lineRule="auto"/>
        <w:rPr>
          <w:sz w:val="20"/>
          <w:szCs w:val="20"/>
          <w:color w:val="auto"/>
        </w:rPr>
      </w:pPr>
      <w:r>
        <w:rPr>
          <w:rFonts w:ascii="Arial" w:cs="Arial" w:eastAsia="Arial" w:hAnsi="Arial"/>
          <w:sz w:val="18"/>
          <w:szCs w:val="18"/>
          <w:color w:val="auto"/>
        </w:rPr>
        <w:t>We use our incremental borrowing rate to determine the present value of lease payments, as the implicit rates in our leases are not readily determinable. The weighted average discount rate used to measure our operating lease liabilities was 6.8%. The weighted average remaining lease term for our operating leases as of September 30, 2021 was 6.0 years.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ind w:right="320" w:firstLine="440"/>
        <w:spacing w:after="0" w:line="233" w:lineRule="auto"/>
        <w:rPr>
          <w:sz w:val="20"/>
          <w:szCs w:val="20"/>
          <w:color w:val="auto"/>
        </w:rPr>
      </w:pPr>
      <w:r>
        <w:rPr>
          <w:rFonts w:ascii="Arial" w:cs="Arial" w:eastAsia="Arial" w:hAnsi="Arial"/>
          <w:sz w:val="18"/>
          <w:szCs w:val="18"/>
          <w:color w:val="auto"/>
        </w:rPr>
        <w:t>Cash paid for amounts included in the present value of operating lease liabilities was $1.8 million and $5.5 million, respectively, for the three and nine months ended September 30, 2021 and included in operating cash flow.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Costs</w:t>
      </w:r>
    </w:p>
    <w:p>
      <w:pPr>
        <w:ind w:left="440"/>
        <w:spacing w:after="0"/>
        <w:rPr>
          <w:sz w:val="20"/>
          <w:szCs w:val="20"/>
          <w:color w:val="auto"/>
        </w:rPr>
      </w:pPr>
      <w:r>
        <w:rPr>
          <w:rFonts w:ascii="Arial" w:cs="Arial" w:eastAsia="Arial" w:hAnsi="Arial"/>
          <w:sz w:val="16"/>
          <w:szCs w:val="16"/>
          <w:color w:val="auto"/>
        </w:rPr>
        <w:t>Operating lease costs were $1.6 million and $4.7 million, respectively, for the three and nine months ended September 30 of both 2021 and 2020.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6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District Court Proceedings</w:t>
      </w:r>
    </w:p>
    <w:p>
      <w:pPr>
        <w:spacing w:after="0" w:line="63" w:lineRule="exact"/>
        <w:rPr>
          <w:sz w:val="20"/>
          <w:szCs w:val="20"/>
          <w:color w:val="auto"/>
        </w:rPr>
      </w:pPr>
    </w:p>
    <w:p>
      <w:pPr>
        <w:ind w:right="180" w:firstLine="440"/>
        <w:spacing w:after="0" w:line="228" w:lineRule="auto"/>
        <w:rPr>
          <w:sz w:val="20"/>
          <w:szCs w:val="20"/>
          <w:color w:val="auto"/>
        </w:rPr>
      </w:pPr>
      <w:r>
        <w:rPr>
          <w:rFonts w:ascii="Arial" w:cs="Arial" w:eastAsia="Arial" w:hAnsi="Arial"/>
          <w:sz w:val="18"/>
          <w:szCs w:val="18"/>
          <w:color w:val="auto"/>
        </w:rPr>
        <w:t>On March 15, 2017, we filed a complaint in the U.S. District Court for the District of Delaware against ONT Inc. for patent infringement (C.A. No. 17-cv-275) (the “275 Action”). The complaint is based on our U.S. Patent No. 9,546,400 (the “’400 Patent”) which covers novel methods for nanopore sequencing of nucleic acid molecules using the signals from multiple monomeric units. We are seeking remedies including injunctive relief, damages and costs. On August 23, 2018, we filed an amended complaint, adding allegations of willful infringement and adding ONT Ltd. as a defendant in the 275 Action, which was granted on August 15, 2019.</w:t>
      </w:r>
    </w:p>
    <w:p>
      <w:pPr>
        <w:spacing w:after="0" w:line="43" w:lineRule="exact"/>
        <w:rPr>
          <w:sz w:val="20"/>
          <w:szCs w:val="20"/>
          <w:color w:val="auto"/>
        </w:rPr>
      </w:pPr>
    </w:p>
    <w:p>
      <w:pPr>
        <w:ind w:right="80" w:firstLine="440"/>
        <w:spacing w:after="0" w:line="222" w:lineRule="auto"/>
        <w:rPr>
          <w:sz w:val="20"/>
          <w:szCs w:val="20"/>
          <w:color w:val="auto"/>
        </w:rPr>
      </w:pPr>
      <w:r>
        <w:rPr>
          <w:rFonts w:ascii="Arial" w:cs="Arial" w:eastAsia="Arial" w:hAnsi="Arial"/>
          <w:sz w:val="18"/>
          <w:szCs w:val="18"/>
          <w:color w:val="auto"/>
        </w:rPr>
        <w:t>On September 25, 2017, we filed a second complaint in the U.S. District Court for the District of Delaware against ONT Inc. for patent infringement (C.A. No. 17-cv-1353) (the “1353 Action”). The complaint is based on our U.S. Patent No. 9,678,056 (the “’056 Patent”) and U.S. Patent No. 9,738,929. We are seeking remedies including injunctive relief, damages and costs. On March 28, 2018, we added a claim for infringement of our U.S. Patent No. 9,772,323 (the “’323 Patent”). On August 23, 2018 we filed an amended complaint, adding allegations of willful infringement and adding ONT Ltd. as a defendant in the 1353 Action, which was granted on August 15,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A trial for the U.S. District Court matters was held from March 9 through March 18, 2020. The jury determined that ONT Inc. and ONT Ltd. infringed the ‘056 Patent, the ‘400 Patent, and the ‘323 Patent, but the jury declined to find these patents valid based on enablement and, in the case of the ’056 Patent, written description and indefiniteness. The jury declined to find valid or infringed U.S. Patent No. 9,738,929. Our appeal of the decision to the U.S. Court of Appeals for the Federal Circuit was denied on May 11, 2021.</w:t>
      </w:r>
    </w:p>
    <w:p>
      <w:pPr>
        <w:spacing w:after="0" w:line="40" w:lineRule="exact"/>
        <w:rPr>
          <w:sz w:val="20"/>
          <w:szCs w:val="20"/>
          <w:color w:val="auto"/>
        </w:rPr>
      </w:pPr>
    </w:p>
    <w:p>
      <w:pPr>
        <w:jc w:val="both"/>
        <w:ind w:right="80" w:firstLine="440"/>
        <w:spacing w:after="0" w:line="246" w:lineRule="auto"/>
        <w:rPr>
          <w:sz w:val="20"/>
          <w:szCs w:val="20"/>
          <w:color w:val="auto"/>
        </w:rPr>
      </w:pPr>
      <w:r>
        <w:rPr>
          <w:rFonts w:ascii="Arial" w:cs="Arial" w:eastAsia="Arial" w:hAnsi="Arial"/>
          <w:sz w:val="17"/>
          <w:szCs w:val="17"/>
          <w:color w:val="auto"/>
        </w:rPr>
        <w:t>Unrelated to the preceding matters, 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w:t>
      </w:r>
    </w:p>
    <w:p>
      <w:pPr>
        <w:spacing w:after="0" w:line="36" w:lineRule="exact"/>
        <w:rPr>
          <w:sz w:val="20"/>
          <w:szCs w:val="20"/>
          <w:color w:val="auto"/>
        </w:rPr>
      </w:pPr>
    </w:p>
    <w:p>
      <w:pPr>
        <w:ind w:right="20" w:firstLine="440"/>
        <w:spacing w:after="0" w:line="228" w:lineRule="auto"/>
        <w:rPr>
          <w:sz w:val="20"/>
          <w:szCs w:val="20"/>
          <w:color w:val="auto"/>
        </w:rPr>
      </w:pPr>
      <w:r>
        <w:rPr>
          <w:rFonts w:ascii="Arial" w:cs="Arial" w:eastAsia="Arial" w:hAnsi="Arial"/>
          <w:sz w:val="18"/>
          <w:szCs w:val="18"/>
          <w:color w:val="auto"/>
        </w:rPr>
        <w:t>On June 22, 2020, we filed a petition requesting institution of an inter-partes review (IPR) to the Patent Trial and Appeals Board (the “Board”) at the United States Patent Office requesting the Board to find a set of claims in the ‘441 Patent invalid. On June 27, 2020, we filed a second petition requesting institution of an IPR requesting the Board to find another set of claims in the ‘441 Patent invalid. The two petitions (the “PacBio IPR Petitions”) requesting IPRs assert that all of the claims relevant to the PGI complaint are invalid. On January 19, 2021, the Board ordered that both PacBio IPR Petitions are instituted on all grounds presented.</w:t>
      </w:r>
    </w:p>
    <w:p>
      <w:pPr>
        <w:spacing w:after="0" w:line="43" w:lineRule="exact"/>
        <w:rPr>
          <w:sz w:val="20"/>
          <w:szCs w:val="20"/>
          <w:color w:val="auto"/>
        </w:rPr>
      </w:pPr>
    </w:p>
    <w:p>
      <w:pPr>
        <w:ind w:right="200" w:firstLine="440"/>
        <w:spacing w:after="0" w:line="274" w:lineRule="auto"/>
        <w:rPr>
          <w:sz w:val="20"/>
          <w:szCs w:val="20"/>
          <w:color w:val="auto"/>
        </w:rPr>
      </w:pPr>
      <w:r>
        <w:rPr>
          <w:rFonts w:ascii="Arial" w:cs="Arial" w:eastAsia="Arial" w:hAnsi="Arial"/>
          <w:sz w:val="17"/>
          <w:szCs w:val="17"/>
          <w:color w:val="auto"/>
        </w:rPr>
        <w:t>On August 19, 2020, the court ordered a stay of the PGI District Court matter based on a joint stipulation by the parties. With the institution of the PacBio IPR Petitions described above, pursuant to the joint stipulation, the matter is now stayed pending a final written decision on the IPRs.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 China</w:t>
      </w:r>
    </w:p>
    <w:p>
      <w:pPr>
        <w:spacing w:after="0" w:line="63" w:lineRule="exact"/>
        <w:rPr>
          <w:sz w:val="20"/>
          <w:szCs w:val="20"/>
          <w:color w:val="auto"/>
        </w:rPr>
      </w:pPr>
    </w:p>
    <w:p>
      <w:pPr>
        <w:ind w:right="80" w:firstLine="440"/>
        <w:spacing w:after="0" w:line="256" w:lineRule="auto"/>
        <w:rPr>
          <w:sz w:val="20"/>
          <w:szCs w:val="20"/>
          <w:color w:val="auto"/>
        </w:rPr>
      </w:pPr>
      <w:r>
        <w:rPr>
          <w:rFonts w:ascii="Arial" w:cs="Arial" w:eastAsia="Arial" w:hAnsi="Arial"/>
          <w:sz w:val="16"/>
          <w:szCs w:val="16"/>
          <w:color w:val="auto"/>
        </w:rPr>
        <w:t>On May 12, 2020, PGI filed a complaint in the Wuhan Intermediate People’s Court in China alleging infringement of one or more claims of China patent No. CN101743321B (the “CN321 Patent”), which is related to the ‘441 Patent. We were served on January 20, 2021 and plan to vigorously defend in this matter.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We have filed a petition with the Wuhan Intermediate People’s court requesting dismissal of the infringement action, which we anticipate will be granted.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Proceedings</w:t>
      </w:r>
    </w:p>
    <w:p>
      <w:pPr>
        <w:spacing w:after="0" w:line="63" w:lineRule="exact"/>
        <w:rPr>
          <w:sz w:val="20"/>
          <w:szCs w:val="20"/>
          <w:color w:val="auto"/>
        </w:rPr>
      </w:pPr>
    </w:p>
    <w:p>
      <w:pPr>
        <w:ind w:firstLine="440"/>
        <w:spacing w:after="0" w:line="239"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 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63" w:lineRule="exact"/>
        <w:rPr>
          <w:sz w:val="20"/>
          <w:szCs w:val="20"/>
          <w:color w:val="auto"/>
        </w:rPr>
      </w:pPr>
    </w:p>
    <w:p>
      <w:pPr>
        <w:ind w:firstLine="440"/>
        <w:spacing w:after="0" w:line="233" w:lineRule="auto"/>
        <w:rPr>
          <w:sz w:val="20"/>
          <w:szCs w:val="20"/>
          <w:color w:val="auto"/>
        </w:rPr>
      </w:pPr>
      <w:r>
        <w:rPr>
          <w:rFonts w:ascii="Arial" w:cs="Arial" w:eastAsia="Arial" w:hAnsi="Arial"/>
          <w:sz w:val="17"/>
          <w:szCs w:val="17"/>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September 30, 2021.</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63" w:lineRule="exact"/>
        <w:rPr>
          <w:sz w:val="20"/>
          <w:szCs w:val="20"/>
          <w:color w:val="auto"/>
        </w:rPr>
      </w:pPr>
    </w:p>
    <w:p>
      <w:pPr>
        <w:ind w:right="120" w:firstLine="440"/>
        <w:spacing w:after="0" w:line="235" w:lineRule="auto"/>
        <w:rPr>
          <w:sz w:val="20"/>
          <w:szCs w:val="20"/>
          <w:color w:val="auto"/>
        </w:rPr>
      </w:pPr>
      <w:r>
        <w:rPr>
          <w:rFonts w:ascii="Arial" w:cs="Arial" w:eastAsia="Arial" w:hAnsi="Arial"/>
          <w:sz w:val="18"/>
          <w:szCs w:val="18"/>
          <w:color w:val="auto"/>
        </w:rPr>
        <w:t>At March 31, 2020, we had three active equity compensation plans: the 2010 Equity Incentive Plan (“2010 Plan”), the 2010 Outside Director Equity Incentive Plan (“2010 Director Plan”) and the 2010 Employee Stock Purchase Plan (“ESPP”). Our 2010 Plan and 2010 Director Plan expired on July 29, 2020.</w:t>
      </w:r>
    </w:p>
    <w:p>
      <w:pPr>
        <w:spacing w:after="0" w:line="40"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On August 4, 2020, stockholders approved our new 2020 Equity Incentive Plan (the “2020 Plan”) and reserved 11,000,000 shares of our common stock for issuance pursuant to equity awards granted under the 2020 Plan.</w:t>
      </w:r>
    </w:p>
    <w:p>
      <w:pPr>
        <w:spacing w:after="0" w:line="35" w:lineRule="exact"/>
        <w:rPr>
          <w:sz w:val="20"/>
          <w:szCs w:val="20"/>
          <w:color w:val="auto"/>
        </w:rPr>
      </w:pPr>
    </w:p>
    <w:p>
      <w:pPr>
        <w:ind w:right="200" w:firstLine="440"/>
        <w:spacing w:after="0" w:line="231" w:lineRule="auto"/>
        <w:rPr>
          <w:sz w:val="20"/>
          <w:szCs w:val="20"/>
          <w:color w:val="auto"/>
        </w:rPr>
      </w:pPr>
      <w:r>
        <w:rPr>
          <w:rFonts w:ascii="Arial" w:cs="Arial" w:eastAsia="Arial" w:hAnsi="Arial"/>
          <w:sz w:val="18"/>
          <w:szCs w:val="18"/>
          <w:color w:val="auto"/>
        </w:rPr>
        <w:t>On December 2, 2020, the Board of Directors (the “Board”) adopted the 2020 Inducement Equity Incentive Plan (the “Inducement Plan”) and reserved 2,500,000 shares of our common stock for issuance pursuant to equity awards granted under the Inducement Plan. On April 18, 2021, the Board amended the Inducement Plan to reserve an additional 750,000 shares of our common stock for issuance pursuant to equity awards granted under the Inducement Plan.</w:t>
      </w:r>
    </w:p>
    <w:p>
      <w:pPr>
        <w:spacing w:after="0" w:line="40" w:lineRule="exact"/>
        <w:rPr>
          <w:sz w:val="20"/>
          <w:szCs w:val="20"/>
          <w:color w:val="auto"/>
        </w:rPr>
      </w:pPr>
    </w:p>
    <w:p>
      <w:pPr>
        <w:ind w:firstLine="440"/>
        <w:spacing w:after="0" w:line="253" w:lineRule="auto"/>
        <w:rPr>
          <w:sz w:val="20"/>
          <w:szCs w:val="20"/>
          <w:color w:val="auto"/>
        </w:rPr>
      </w:pPr>
      <w:r>
        <w:rPr>
          <w:rFonts w:ascii="Arial" w:cs="Arial" w:eastAsia="Arial" w:hAnsi="Arial"/>
          <w:sz w:val="16"/>
          <w:szCs w:val="16"/>
          <w:color w:val="auto"/>
        </w:rPr>
        <w:t>On September 20, 2021, in connection with the acquisition of Omniome, we adopted the Omniome Equity Incentive Plan of Pacific Biosciences of California, Inc. (the “Omniome Plan”). Under the Omniome Merger Agreement, each unvested option to purchase Omniome common stock, granted under the Omniome Plan held by employees continuing with us, were assumed by PacBio and converted into an option to purchase shares of our common stock. The terms and conditions of the converted options are substantially the same (including vesting and exercisability), except that (A) the assumed options cover shares of PacBio’s common stock; (B) the number of shares of our common stock subject to the assumed option is equal to the product of (i) the number of shares of Omniome common stock subject to the corresponding unvested option, multiplied by (ii) the exchange ratio (as defined below), with any resulting fractional share rounded down to the nearest whole share; and (C) the exercise price per share of the assumed options is equal to the quotient of (i) the exercise price per share of the corresponding unvested option to purchase shares of Omniome common stock, divided by (ii) the exchange ratio (as defined below), with any resulting fractional cent rounded up to the nearest whole cent. The exchange ratio was equal to 0.259204639. We reserved 2,494,128 shares of our common stock for issuance pursuant to equity awards under the Omniome Plan.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Time-based stock options</w:t>
      </w:r>
    </w:p>
    <w:p>
      <w:pPr>
        <w:spacing w:after="0" w:line="63" w:lineRule="exact"/>
        <w:rPr>
          <w:sz w:val="20"/>
          <w:szCs w:val="20"/>
          <w:color w:val="auto"/>
        </w:rPr>
      </w:pPr>
    </w:p>
    <w:p>
      <w:pPr>
        <w:ind w:right="260" w:firstLine="440"/>
        <w:spacing w:after="0" w:line="246" w:lineRule="auto"/>
        <w:rPr>
          <w:sz w:val="20"/>
          <w:szCs w:val="20"/>
          <w:color w:val="auto"/>
        </w:rPr>
      </w:pPr>
      <w:r>
        <w:rPr>
          <w:rFonts w:ascii="Arial" w:cs="Arial" w:eastAsia="Arial" w:hAnsi="Arial"/>
          <w:sz w:val="18"/>
          <w:szCs w:val="18"/>
          <w:color w:val="auto"/>
        </w:rPr>
        <w:t>The following table summarizes stock option activity for time-based awards under all our stock option plans for the nine months ended September 30, 2021 (in thousands, except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4"/>
                <w:szCs w:val="14"/>
                <w:b w:val="1"/>
                <w:bCs w:val="1"/>
                <w:color w:val="auto"/>
              </w:rPr>
              <w:t>Stock Options Outstanding</w:t>
            </w:r>
          </w:p>
        </w:tc>
        <w:tc>
          <w:tcPr>
            <w:tcW w:w="2140" w:type="dxa"/>
            <w:vAlign w:val="bottom"/>
            <w:tcBorders>
              <w:bottom w:val="single" w:sz="8" w:color="auto"/>
            </w:tcBorders>
          </w:tcPr>
          <w:p>
            <w:pPr>
              <w:spacing w:after="0"/>
              <w:rPr>
                <w:sz w:val="16"/>
                <w:szCs w:val="16"/>
                <w:color w:val="auto"/>
              </w:rPr>
            </w:pPr>
          </w:p>
        </w:tc>
      </w:tr>
      <w:tr>
        <w:trPr>
          <w:trHeight w:val="152"/>
        </w:trPr>
        <w:tc>
          <w:tcPr>
            <w:tcW w:w="4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40" w:type="dxa"/>
            <w:vAlign w:val="bottom"/>
          </w:tcPr>
          <w:p>
            <w:pPr>
              <w:jc w:val="center"/>
              <w:ind w:right="396"/>
              <w:spacing w:after="0" w:line="153" w:lineRule="exact"/>
              <w:rPr>
                <w:sz w:val="20"/>
                <w:szCs w:val="20"/>
                <w:color w:val="auto"/>
              </w:rPr>
            </w:pPr>
            <w:r>
              <w:rPr>
                <w:rFonts w:ascii="Arial" w:cs="Arial" w:eastAsia="Arial" w:hAnsi="Arial"/>
                <w:sz w:val="14"/>
                <w:szCs w:val="14"/>
                <w:b w:val="1"/>
                <w:bCs w:val="1"/>
                <w:color w:val="auto"/>
                <w:w w:val="91"/>
              </w:rPr>
              <w:t>Weighted</w:t>
            </w:r>
          </w:p>
        </w:tc>
      </w:tr>
      <w:tr>
        <w:trPr>
          <w:trHeight w:val="186"/>
        </w:trPr>
        <w:tc>
          <w:tcPr>
            <w:tcW w:w="4320" w:type="dxa"/>
            <w:vAlign w:val="bottom"/>
          </w:tcPr>
          <w:p>
            <w:pPr>
              <w:spacing w:after="0"/>
              <w:rPr>
                <w:sz w:val="16"/>
                <w:szCs w:val="16"/>
                <w:color w:val="auto"/>
              </w:rPr>
            </w:pPr>
          </w:p>
        </w:tc>
        <w:tc>
          <w:tcPr>
            <w:tcW w:w="1740" w:type="dxa"/>
            <w:vAlign w:val="bottom"/>
          </w:tcPr>
          <w:p>
            <w:pPr>
              <w:jc w:val="right"/>
              <w:ind w:right="534"/>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tcPr>
          <w:p>
            <w:pPr>
              <w:jc w:val="center"/>
              <w:ind w:right="416"/>
              <w:spacing w:after="0"/>
              <w:rPr>
                <w:sz w:val="20"/>
                <w:szCs w:val="20"/>
                <w:color w:val="auto"/>
              </w:rPr>
            </w:pPr>
            <w:r>
              <w:rPr>
                <w:rFonts w:ascii="Arial" w:cs="Arial" w:eastAsia="Arial" w:hAnsi="Arial"/>
                <w:sz w:val="14"/>
                <w:szCs w:val="14"/>
                <w:b w:val="1"/>
                <w:bCs w:val="1"/>
                <w:color w:val="auto"/>
                <w:w w:val="90"/>
              </w:rPr>
              <w:t>average</w:t>
            </w:r>
          </w:p>
        </w:tc>
      </w:tr>
      <w:tr>
        <w:trPr>
          <w:trHeight w:val="174"/>
        </w:trPr>
        <w:tc>
          <w:tcPr>
            <w:tcW w:w="432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Exercise price</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center"/>
              <w:ind w:right="416"/>
              <w:spacing w:after="0"/>
              <w:rPr>
                <w:sz w:val="20"/>
                <w:szCs w:val="20"/>
                <w:color w:val="auto"/>
              </w:rPr>
            </w:pPr>
            <w:r>
              <w:rPr>
                <w:rFonts w:ascii="Arial" w:cs="Arial" w:eastAsia="Arial" w:hAnsi="Arial"/>
                <w:sz w:val="14"/>
                <w:szCs w:val="14"/>
                <w:b w:val="1"/>
                <w:bCs w:val="1"/>
                <w:color w:val="auto"/>
                <w:w w:val="89"/>
              </w:rPr>
              <w:t>exercise price</w:t>
            </w:r>
          </w:p>
        </w:tc>
      </w:tr>
      <w:tr>
        <w:trPr>
          <w:trHeight w:val="25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14,638</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20.90</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5.53</w:t>
            </w: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94"/>
              <w:spacing w:after="0"/>
              <w:rPr>
                <w:sz w:val="20"/>
                <w:szCs w:val="20"/>
                <w:color w:val="auto"/>
              </w:rPr>
            </w:pPr>
            <w:r>
              <w:rPr>
                <w:rFonts w:ascii="Arial" w:cs="Arial" w:eastAsia="Arial" w:hAnsi="Arial"/>
                <w:sz w:val="18"/>
                <w:szCs w:val="18"/>
                <w:color w:val="auto"/>
              </w:rPr>
              <w:t>2,329</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46.37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40" w:type="dxa"/>
            <w:vAlign w:val="bottom"/>
          </w:tcPr>
          <w:p>
            <w:pPr>
              <w:jc w:val="right"/>
              <w:ind w:right="516"/>
              <w:spacing w:after="0"/>
              <w:rPr>
                <w:sz w:val="20"/>
                <w:szCs w:val="20"/>
                <w:color w:val="auto"/>
              </w:rPr>
            </w:pPr>
            <w:r>
              <w:rPr>
                <w:rFonts w:ascii="Arial" w:cs="Arial" w:eastAsia="Arial" w:hAnsi="Arial"/>
                <w:sz w:val="18"/>
                <w:szCs w:val="18"/>
                <w:color w:val="auto"/>
              </w:rPr>
              <w:t>34.40</w:t>
            </w:r>
          </w:p>
        </w:tc>
      </w:tr>
      <w:tr>
        <w:trPr>
          <w:trHeight w:val="27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Assumed Omniome options</w:t>
            </w:r>
          </w:p>
        </w:tc>
        <w:tc>
          <w:tcPr>
            <w:tcW w:w="1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2.05 – 4.90</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14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4.43</w:t>
            </w: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Exercised</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(4,406)</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15.98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40" w:type="dxa"/>
            <w:vAlign w:val="bottom"/>
          </w:tcPr>
          <w:p>
            <w:pPr>
              <w:jc w:val="right"/>
              <w:ind w:right="516"/>
              <w:spacing w:after="0"/>
              <w:rPr>
                <w:sz w:val="20"/>
                <w:szCs w:val="20"/>
                <w:color w:val="auto"/>
              </w:rPr>
            </w:pPr>
            <w:r>
              <w:rPr>
                <w:rFonts w:ascii="Arial" w:cs="Arial" w:eastAsia="Arial" w:hAnsi="Arial"/>
                <w:sz w:val="18"/>
                <w:szCs w:val="18"/>
                <w:color w:val="auto"/>
              </w:rPr>
              <w:t>5.37</w:t>
            </w:r>
          </w:p>
        </w:tc>
      </w:tr>
      <w:tr>
        <w:trPr>
          <w:trHeight w:val="27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1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46.37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14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5.28</w:t>
            </w:r>
          </w:p>
        </w:tc>
      </w:tr>
      <w:tr>
        <w:trPr>
          <w:trHeight w:val="250"/>
        </w:trPr>
        <w:tc>
          <w:tcPr>
            <w:tcW w:w="4320" w:type="dxa"/>
            <w:vAlign w:val="bottom"/>
          </w:tcPr>
          <w:p>
            <w:pPr>
              <w:spacing w:after="0"/>
              <w:rPr>
                <w:sz w:val="20"/>
                <w:szCs w:val="20"/>
                <w:color w:val="auto"/>
              </w:rPr>
            </w:pPr>
            <w:r>
              <w:rPr>
                <w:rFonts w:ascii="Arial" w:cs="Arial" w:eastAsia="Arial" w:hAnsi="Arial"/>
                <w:sz w:val="18"/>
                <w:szCs w:val="18"/>
                <w:color w:val="auto"/>
              </w:rPr>
              <w:t>Outstanding at September 30, 2021</w:t>
            </w:r>
          </w:p>
        </w:tc>
        <w:tc>
          <w:tcPr>
            <w:tcW w:w="1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12,399</w:t>
            </w:r>
          </w:p>
        </w:tc>
        <w:tc>
          <w:tcPr>
            <w:tcW w:w="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46.37</w:t>
            </w: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516"/>
              <w:spacing w:after="0"/>
              <w:rPr>
                <w:sz w:val="20"/>
                <w:szCs w:val="20"/>
                <w:color w:val="auto"/>
              </w:rPr>
            </w:pPr>
            <w:r>
              <w:rPr>
                <w:rFonts w:ascii="Arial" w:cs="Arial" w:eastAsia="Arial" w:hAnsi="Arial"/>
                <w:sz w:val="18"/>
                <w:szCs w:val="18"/>
                <w:color w:val="auto"/>
              </w:rPr>
              <w:t>10.99</w:t>
            </w:r>
          </w:p>
        </w:tc>
      </w:tr>
      <w:tr>
        <w:trPr>
          <w:trHeight w:val="20"/>
        </w:trPr>
        <w:tc>
          <w:tcPr>
            <w:tcW w:w="4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86"/>
        </w:trPr>
        <w:tc>
          <w:tcPr>
            <w:tcW w:w="4320" w:type="dxa"/>
            <w:vAlign w:val="bottom"/>
          </w:tcPr>
          <w:p>
            <w:pPr>
              <w:spacing w:after="0"/>
              <w:rPr>
                <w:sz w:val="24"/>
                <w:szCs w:val="24"/>
                <w:color w:val="auto"/>
              </w:rPr>
            </w:pPr>
          </w:p>
        </w:tc>
        <w:tc>
          <w:tcPr>
            <w:tcW w:w="1740" w:type="dxa"/>
            <w:vAlign w:val="bottom"/>
          </w:tcPr>
          <w:p>
            <w:pPr>
              <w:jc w:val="right"/>
              <w:ind w:right="254"/>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547"/>
        </w:trPr>
        <w:tc>
          <w:tcPr>
            <w:tcW w:w="4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options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stock option activity for performance-based awards under all our stock option plans for the nine months ended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(in thousands,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Stock Options Outstanding</w:t>
            </w:r>
          </w:p>
        </w:tc>
        <w:tc>
          <w:tcPr>
            <w:tcW w:w="2140" w:type="dxa"/>
            <w:vAlign w:val="bottom"/>
            <w:tcBorders>
              <w:bottom w:val="single" w:sz="8" w:color="auto"/>
            </w:tcBorders>
          </w:tcPr>
          <w:p>
            <w:pPr>
              <w:spacing w:after="0"/>
              <w:rPr>
                <w:sz w:val="16"/>
                <w:szCs w:val="16"/>
                <w:color w:val="auto"/>
              </w:rPr>
            </w:pPr>
          </w:p>
        </w:tc>
      </w:tr>
      <w:tr>
        <w:trPr>
          <w:trHeight w:val="152"/>
        </w:trPr>
        <w:tc>
          <w:tcPr>
            <w:tcW w:w="4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40" w:type="dxa"/>
            <w:vAlign w:val="bottom"/>
          </w:tcPr>
          <w:p>
            <w:pPr>
              <w:jc w:val="center"/>
              <w:ind w:right="396"/>
              <w:spacing w:after="0" w:line="153" w:lineRule="exact"/>
              <w:rPr>
                <w:sz w:val="20"/>
                <w:szCs w:val="20"/>
                <w:color w:val="auto"/>
              </w:rPr>
            </w:pPr>
            <w:r>
              <w:rPr>
                <w:rFonts w:ascii="Arial" w:cs="Arial" w:eastAsia="Arial" w:hAnsi="Arial"/>
                <w:sz w:val="14"/>
                <w:szCs w:val="14"/>
                <w:b w:val="1"/>
                <w:bCs w:val="1"/>
                <w:color w:val="auto"/>
                <w:w w:val="91"/>
              </w:rPr>
              <w:t>Weighted</w:t>
            </w:r>
          </w:p>
        </w:tc>
      </w:tr>
      <w:tr>
        <w:trPr>
          <w:trHeight w:val="186"/>
        </w:trPr>
        <w:tc>
          <w:tcPr>
            <w:tcW w:w="4320" w:type="dxa"/>
            <w:vAlign w:val="bottom"/>
          </w:tcPr>
          <w:p>
            <w:pPr>
              <w:spacing w:after="0"/>
              <w:rPr>
                <w:sz w:val="16"/>
                <w:szCs w:val="16"/>
                <w:color w:val="auto"/>
              </w:rPr>
            </w:pPr>
          </w:p>
        </w:tc>
        <w:tc>
          <w:tcPr>
            <w:tcW w:w="1220" w:type="dxa"/>
            <w:vAlign w:val="bottom"/>
          </w:tcPr>
          <w:p>
            <w:pPr>
              <w:ind w:left="60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tcPr>
          <w:p>
            <w:pPr>
              <w:jc w:val="center"/>
              <w:ind w:right="416"/>
              <w:spacing w:after="0"/>
              <w:rPr>
                <w:sz w:val="20"/>
                <w:szCs w:val="20"/>
                <w:color w:val="auto"/>
              </w:rPr>
            </w:pPr>
            <w:r>
              <w:rPr>
                <w:rFonts w:ascii="Arial" w:cs="Arial" w:eastAsia="Arial" w:hAnsi="Arial"/>
                <w:sz w:val="14"/>
                <w:szCs w:val="14"/>
                <w:b w:val="1"/>
                <w:bCs w:val="1"/>
                <w:color w:val="auto"/>
                <w:w w:val="90"/>
              </w:rPr>
              <w:t>average</w:t>
            </w:r>
          </w:p>
        </w:tc>
      </w:tr>
      <w:tr>
        <w:trPr>
          <w:trHeight w:val="174"/>
        </w:trPr>
        <w:tc>
          <w:tcPr>
            <w:tcW w:w="43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96"/>
              </w:rPr>
              <w:t>of shares</w:t>
            </w: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center"/>
              <w:ind w:right="416"/>
              <w:spacing w:after="0"/>
              <w:rPr>
                <w:sz w:val="20"/>
                <w:szCs w:val="20"/>
                <w:color w:val="auto"/>
              </w:rPr>
            </w:pPr>
            <w:r>
              <w:rPr>
                <w:rFonts w:ascii="Arial" w:cs="Arial" w:eastAsia="Arial" w:hAnsi="Arial"/>
                <w:sz w:val="14"/>
                <w:szCs w:val="14"/>
                <w:b w:val="1"/>
                <w:bCs w:val="1"/>
                <w:color w:val="auto"/>
                <w:w w:val="89"/>
              </w:rPr>
              <w:t>exercise price</w:t>
            </w:r>
          </w:p>
        </w:tc>
      </w:tr>
      <w:tr>
        <w:trPr>
          <w:trHeight w:val="25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2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40" w:type="dxa"/>
            <w:vAlign w:val="bottom"/>
          </w:tcPr>
          <w:p>
            <w:pPr>
              <w:jc w:val="right"/>
              <w:ind w:right="516"/>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Omniome options</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4.71 - 4.90</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14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4.71</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40" w:type="dxa"/>
            <w:vAlign w:val="bottom"/>
          </w:tcPr>
          <w:p>
            <w:pPr>
              <w:jc w:val="right"/>
              <w:ind w:right="516"/>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14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w:t>
            </w: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Outstanding at September 30, 2021</w:t>
            </w:r>
          </w:p>
        </w:tc>
        <w:tc>
          <w:tcPr>
            <w:tcW w:w="1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304</w:t>
            </w:r>
          </w:p>
        </w:tc>
        <w:tc>
          <w:tcPr>
            <w:tcW w:w="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940"/>
              <w:spacing w:after="0"/>
              <w:rPr>
                <w:sz w:val="20"/>
                <w:szCs w:val="20"/>
                <w:color w:val="auto"/>
              </w:rPr>
            </w:pPr>
            <w:r>
              <w:rPr>
                <w:rFonts w:ascii="Arial" w:cs="Arial" w:eastAsia="Arial" w:hAnsi="Arial"/>
                <w:sz w:val="18"/>
                <w:szCs w:val="18"/>
                <w:color w:val="auto"/>
              </w:rPr>
              <w:t>4.71 - 4.90</w:t>
            </w: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516"/>
              <w:spacing w:after="0"/>
              <w:rPr>
                <w:sz w:val="20"/>
                <w:szCs w:val="20"/>
                <w:color w:val="auto"/>
              </w:rPr>
            </w:pPr>
            <w:r>
              <w:rPr>
                <w:rFonts w:ascii="Arial" w:cs="Arial" w:eastAsia="Arial" w:hAnsi="Arial"/>
                <w:sz w:val="18"/>
                <w:szCs w:val="18"/>
                <w:color w:val="auto"/>
              </w:rPr>
              <w:t>4.71</w:t>
            </w:r>
          </w:p>
        </w:tc>
      </w:tr>
      <w:tr>
        <w:trPr>
          <w:trHeight w:val="20"/>
        </w:trPr>
        <w:tc>
          <w:tcPr>
            <w:tcW w:w="4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0" w:firstLine="440"/>
        <w:spacing w:after="0" w:line="246" w:lineRule="auto"/>
        <w:rPr>
          <w:sz w:val="20"/>
          <w:szCs w:val="20"/>
          <w:color w:val="auto"/>
        </w:rPr>
      </w:pPr>
      <w:r>
        <w:rPr>
          <w:rFonts w:ascii="Arial" w:cs="Arial" w:eastAsia="Arial" w:hAnsi="Arial"/>
          <w:sz w:val="18"/>
          <w:szCs w:val="18"/>
          <w:color w:val="auto"/>
        </w:rPr>
        <w:t>For the three and nine months ended September 30, 2021, we recognized stock-based compensation expense of $23.0 million and $29.0 million, respectively, related to options.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Time-based RSUs</w:t>
      </w:r>
    </w:p>
    <w:p>
      <w:pPr>
        <w:spacing w:after="0" w:line="63" w:lineRule="exact"/>
        <w:rPr>
          <w:sz w:val="20"/>
          <w:szCs w:val="20"/>
          <w:color w:val="auto"/>
        </w:rPr>
      </w:pPr>
    </w:p>
    <w:p>
      <w:pPr>
        <w:ind w:right="640" w:firstLine="440"/>
        <w:spacing w:after="0" w:line="246" w:lineRule="auto"/>
        <w:rPr>
          <w:sz w:val="20"/>
          <w:szCs w:val="20"/>
          <w:color w:val="auto"/>
        </w:rPr>
      </w:pPr>
      <w:r>
        <w:rPr>
          <w:rFonts w:ascii="Arial" w:cs="Arial" w:eastAsia="Arial" w:hAnsi="Arial"/>
          <w:sz w:val="18"/>
          <w:szCs w:val="18"/>
          <w:color w:val="auto"/>
        </w:rPr>
        <w:t>The following table summarizes the time-based RSUs activity for the nine months ended September 30, 2021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4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80" w:type="dxa"/>
            <w:vAlign w:val="bottom"/>
          </w:tcPr>
          <w:p>
            <w:pPr>
              <w:jc w:val="center"/>
              <w:ind w:right="4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80" w:type="dxa"/>
            <w:vAlign w:val="bottom"/>
          </w:tcPr>
          <w:p>
            <w:pPr>
              <w:jc w:val="center"/>
              <w:ind w:right="437"/>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of shares</w:t>
            </w:r>
          </w:p>
        </w:tc>
        <w:tc>
          <w:tcPr>
            <w:tcW w:w="3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center"/>
              <w:ind w:right="457"/>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5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5,919</w:t>
            </w: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4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3,030</w:t>
            </w: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80" w:type="dxa"/>
            <w:vAlign w:val="bottom"/>
          </w:tcPr>
          <w:p>
            <w:pPr>
              <w:jc w:val="right"/>
              <w:ind w:right="517"/>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7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(1,759)</w:t>
            </w:r>
          </w:p>
        </w:tc>
        <w:tc>
          <w:tcPr>
            <w:tcW w:w="3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vMerge w:val="restart"/>
          </w:tcPr>
          <w:p>
            <w:pPr>
              <w:jc w:val="right"/>
              <w:ind w:right="35"/>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80" w:type="dxa"/>
            <w:vAlign w:val="bottom"/>
          </w:tcPr>
          <w:p>
            <w:pPr>
              <w:jc w:val="right"/>
              <w:ind w:right="517"/>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54"/>
        </w:trPr>
        <w:tc>
          <w:tcPr>
            <w:tcW w:w="644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vMerge w:val="continue"/>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4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2021</w:t>
            </w:r>
          </w:p>
        </w:tc>
        <w:tc>
          <w:tcPr>
            <w:tcW w:w="14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6,835</w:t>
            </w:r>
          </w:p>
        </w:tc>
        <w:tc>
          <w:tcPr>
            <w:tcW w:w="90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500" w:firstLine="440"/>
        <w:spacing w:after="0" w:line="246" w:lineRule="auto"/>
        <w:rPr>
          <w:sz w:val="20"/>
          <w:szCs w:val="20"/>
          <w:color w:val="auto"/>
        </w:rPr>
      </w:pPr>
      <w:r>
        <w:rPr>
          <w:rFonts w:ascii="Arial" w:cs="Arial" w:eastAsia="Arial" w:hAnsi="Arial"/>
          <w:sz w:val="18"/>
          <w:szCs w:val="18"/>
          <w:color w:val="auto"/>
        </w:rPr>
        <w:t>For the three and nine months ended September 30, 2021, we recognized stock-based compensation expense of $7.7 million and $19.6 million, respectively, for time-based RSUs.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Performance-based RSUs</w:t>
      </w:r>
    </w:p>
    <w:p>
      <w:pPr>
        <w:spacing w:after="0" w:line="63" w:lineRule="exact"/>
        <w:rPr>
          <w:sz w:val="20"/>
          <w:szCs w:val="20"/>
          <w:color w:val="auto"/>
        </w:rPr>
      </w:pPr>
    </w:p>
    <w:p>
      <w:pPr>
        <w:ind w:right="20" w:firstLine="440"/>
        <w:spacing w:after="0" w:line="243" w:lineRule="auto"/>
        <w:rPr>
          <w:sz w:val="20"/>
          <w:szCs w:val="20"/>
          <w:color w:val="auto"/>
        </w:rPr>
      </w:pPr>
      <w:r>
        <w:rPr>
          <w:rFonts w:ascii="Arial" w:cs="Arial" w:eastAsia="Arial" w:hAnsi="Arial"/>
          <w:sz w:val="18"/>
          <w:szCs w:val="18"/>
          <w:color w:val="auto"/>
        </w:rPr>
        <w:t>The following table summarizes the performance-based RSUs (“PSUs”) activity for the nine months ended September 30, 2021 (in thousands, except per share amounts):</w:t>
      </w:r>
    </w:p>
    <w:tbl>
      <w:tblPr>
        <w:tblLayout w:type="fixed"/>
        <w:tblInd w:w="0" w:type="dxa"/>
        <w:tblCellMar>
          <w:top w:w="0" w:type="dxa"/>
          <w:left w:w="0" w:type="dxa"/>
          <w:bottom w:w="0" w:type="dxa"/>
          <w:right w:w="0" w:type="dxa"/>
        </w:tblCellMar>
      </w:tblPr>
      <w:tr>
        <w:trPr>
          <w:trHeight w:val="139"/>
        </w:trPr>
        <w:tc>
          <w:tcPr>
            <w:tcW w:w="694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jc w:val="center"/>
              <w:ind w:right="297"/>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69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86"/>
              </w:rPr>
              <w:t>of shares</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5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94</w:t>
            </w:r>
          </w:p>
        </w:tc>
        <w:tc>
          <w:tcPr>
            <w:tcW w:w="36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8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440" w:type="dxa"/>
            <w:vAlign w:val="bottom"/>
          </w:tcPr>
          <w:p>
            <w:pPr>
              <w:jc w:val="center"/>
              <w:ind w:right="10"/>
              <w:spacing w:after="0"/>
              <w:rPr>
                <w:sz w:val="20"/>
                <w:szCs w:val="20"/>
                <w:color w:val="auto"/>
              </w:rPr>
            </w:pPr>
            <w:r>
              <w:rPr>
                <w:rFonts w:ascii="Arial" w:cs="Arial" w:eastAsia="Arial" w:hAnsi="Arial"/>
                <w:sz w:val="18"/>
                <w:szCs w:val="18"/>
                <w:color w:val="auto"/>
                <w:w w:val="93"/>
              </w:rPr>
              <w:t>(94)</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80" w:type="dxa"/>
            <w:vAlign w:val="bottom"/>
          </w:tcPr>
          <w:p>
            <w:pPr>
              <w:jc w:val="right"/>
              <w:ind w:right="517"/>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7"/>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2021</w:t>
            </w: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CCEEFF"/>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CCEEFF"/>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three and nine months ended September 30, 2021, we recognized stock-based compensation expense of $0 for the performance-based RSUs.</w:t>
      </w:r>
    </w:p>
    <w:p>
      <w:pPr>
        <w:spacing w:after="0" w:line="86" w:lineRule="exact"/>
        <w:rPr>
          <w:sz w:val="20"/>
          <w:szCs w:val="20"/>
          <w:color w:val="auto"/>
        </w:rPr>
      </w:pPr>
    </w:p>
    <w:p>
      <w:pPr>
        <w:ind w:right="220" w:firstLine="440"/>
        <w:spacing w:after="0" w:line="228" w:lineRule="auto"/>
        <w:rPr>
          <w:sz w:val="20"/>
          <w:szCs w:val="20"/>
          <w:color w:val="auto"/>
        </w:rPr>
      </w:pPr>
      <w:r>
        <w:rPr>
          <w:rFonts w:ascii="Arial" w:cs="Arial" w:eastAsia="Arial" w:hAnsi="Arial"/>
          <w:sz w:val="18"/>
          <w:szCs w:val="18"/>
          <w:color w:val="auto"/>
        </w:rPr>
        <w:t>As of September 30, 2021, we had a total of 7.1 million shares of common stock available for future issuance under the 2020 Plan, the Inducement Plan and the Omniome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 (“ESPP”)</w:t>
      </w:r>
    </w:p>
    <w:p>
      <w:pPr>
        <w:spacing w:after="0" w:line="63" w:lineRule="exact"/>
        <w:rPr>
          <w:sz w:val="20"/>
          <w:szCs w:val="20"/>
          <w:color w:val="auto"/>
        </w:rPr>
      </w:pPr>
    </w:p>
    <w:p>
      <w:pPr>
        <w:ind w:right="220" w:firstLine="440"/>
        <w:spacing w:after="0" w:line="235" w:lineRule="auto"/>
        <w:rPr>
          <w:sz w:val="20"/>
          <w:szCs w:val="20"/>
          <w:color w:val="auto"/>
        </w:rPr>
      </w:pPr>
      <w:r>
        <w:rPr>
          <w:rFonts w:ascii="Arial" w:cs="Arial" w:eastAsia="Arial" w:hAnsi="Arial"/>
          <w:sz w:val="18"/>
          <w:szCs w:val="18"/>
          <w:color w:val="auto"/>
        </w:rPr>
        <w:t>Shares issued under our ESPP were 1,913,968 and 834,677 during the nine months ended September 30, 2021 and 2020, respectively. In January 2021, an additional 3.8 million shares were reserved under the ESPP. As of September 30, 2021, 7,810,673 shares of our common stock remain available for issuance under our ESPP.</w:t>
      </w:r>
    </w:p>
    <w:p>
      <w:pPr>
        <w:spacing w:after="0" w:line="40" w:lineRule="exact"/>
        <w:rPr>
          <w:sz w:val="20"/>
          <w:szCs w:val="20"/>
          <w:color w:val="auto"/>
        </w:rPr>
      </w:pPr>
    </w:p>
    <w:p>
      <w:pPr>
        <w:ind w:right="500" w:firstLine="440"/>
        <w:spacing w:after="0" w:line="246" w:lineRule="auto"/>
        <w:rPr>
          <w:sz w:val="20"/>
          <w:szCs w:val="20"/>
          <w:color w:val="auto"/>
        </w:rPr>
      </w:pPr>
      <w:r>
        <w:rPr>
          <w:rFonts w:ascii="Arial" w:cs="Arial" w:eastAsia="Arial" w:hAnsi="Arial"/>
          <w:sz w:val="18"/>
          <w:szCs w:val="18"/>
          <w:color w:val="auto"/>
        </w:rPr>
        <w:t>For the three and nine months ended September 30, 2021, we recognized stock-based compensation expense of $5.1 million and $13.1 million, respectively, for the ESPP.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stock-based compensation expense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Nine Months Ended September 30,</w:t>
            </w:r>
          </w:p>
        </w:tc>
      </w:tr>
      <w:tr>
        <w:trPr>
          <w:trHeight w:val="190"/>
        </w:trPr>
        <w:tc>
          <w:tcPr>
            <w:tcW w:w="384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6"/>
        </w:trPr>
        <w:tc>
          <w:tcPr>
            <w:tcW w:w="38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r>
      <w:tr>
        <w:trPr>
          <w:trHeight w:val="283"/>
        </w:trPr>
        <w:tc>
          <w:tcPr>
            <w:tcW w:w="3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5,162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2,105</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12,519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5,297</w:t>
            </w:r>
          </w:p>
        </w:tc>
      </w:tr>
      <w:tr>
        <w:trPr>
          <w:trHeight w:val="284"/>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8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2,152</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25,613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w:t>
            </w:r>
          </w:p>
        </w:tc>
      </w:tr>
      <w:tr>
        <w:trPr>
          <w:trHeight w:val="283"/>
        </w:trPr>
        <w:tc>
          <w:tcPr>
            <w:tcW w:w="3840" w:type="dxa"/>
            <w:vAlign w:val="bottom"/>
          </w:tcPr>
          <w:p>
            <w:pPr>
              <w:ind w:left="180"/>
              <w:spacing w:after="0"/>
              <w:rPr>
                <w:sz w:val="20"/>
                <w:szCs w:val="20"/>
                <w:color w:val="auto"/>
              </w:rPr>
            </w:pPr>
            <w:r>
              <w:rPr>
                <w:rFonts w:ascii="Arial" w:cs="Arial" w:eastAsia="Arial" w:hAnsi="Arial"/>
                <w:sz w:val="18"/>
                <w:szCs w:val="18"/>
                <w:color w:val="auto"/>
              </w:rPr>
              <w:t>Merger-related expenses - stock-settled</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6,349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Merger-related expenses - milestone</w:t>
            </w:r>
          </w:p>
        </w:tc>
        <w:tc>
          <w:tcPr>
            <w:tcW w:w="8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8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28,447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4,992</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54,417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12,258</w:t>
            </w:r>
          </w:p>
        </w:tc>
      </w:tr>
      <w:tr>
        <w:trPr>
          <w:trHeight w:val="27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Merger-related expenses - cash-settled</w:t>
            </w:r>
          </w:p>
        </w:tc>
        <w:tc>
          <w:tcPr>
            <w:tcW w:w="8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820" w:type="dxa"/>
            <w:vAlign w:val="bottom"/>
          </w:tcPr>
          <w:p>
            <w:pPr>
              <w:spacing w:after="0"/>
              <w:rPr>
                <w:sz w:val="20"/>
                <w:szCs w:val="20"/>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35,820</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4,992</w:t>
            </w:r>
          </w:p>
        </w:tc>
        <w:tc>
          <w:tcPr>
            <w:tcW w:w="260" w:type="dxa"/>
            <w:vAlign w:val="bottom"/>
          </w:tcPr>
          <w:p>
            <w:pPr>
              <w:spacing w:after="0"/>
              <w:rPr>
                <w:sz w:val="20"/>
                <w:szCs w:val="20"/>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61,790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w:t>
            </w:r>
          </w:p>
        </w:tc>
      </w:tr>
      <w:tr>
        <w:trPr>
          <w:trHeight w:val="20"/>
        </w:trPr>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340" w:firstLine="440"/>
        <w:spacing w:after="0" w:line="246" w:lineRule="auto"/>
        <w:rPr>
          <w:sz w:val="20"/>
          <w:szCs w:val="20"/>
          <w:color w:val="auto"/>
        </w:rPr>
      </w:pPr>
      <w:r>
        <w:rPr>
          <w:rFonts w:ascii="Arial" w:cs="Arial" w:eastAsia="Arial" w:hAnsi="Arial"/>
          <w:sz w:val="18"/>
          <w:szCs w:val="18"/>
          <w:color w:val="auto"/>
        </w:rPr>
        <w:t>We estimate the fair value of employee stock options on the grant date using the Black-Scholes option pricing model. The estimated fair value of employee stock options is amortized on a straight-line basis over the requisite service period of the awards.</w:t>
      </w:r>
    </w:p>
    <w:p>
      <w:pPr>
        <w:spacing w:after="0" w:line="35" w:lineRule="exact"/>
        <w:rPr>
          <w:sz w:val="20"/>
          <w:szCs w:val="20"/>
          <w:color w:val="auto"/>
        </w:rPr>
      </w:pPr>
    </w:p>
    <w:p>
      <w:pPr>
        <w:ind w:right="460" w:firstLine="440"/>
        <w:spacing w:after="0" w:line="246" w:lineRule="auto"/>
        <w:rPr>
          <w:sz w:val="20"/>
          <w:szCs w:val="20"/>
          <w:color w:val="auto"/>
        </w:rPr>
      </w:pPr>
      <w:r>
        <w:rPr>
          <w:rFonts w:ascii="Arial" w:cs="Arial" w:eastAsia="Arial" w:hAnsi="Arial"/>
          <w:sz w:val="18"/>
          <w:szCs w:val="18"/>
          <w:color w:val="auto"/>
        </w:rPr>
        <w:t>The assumptions used for the specified periods and the resulting estimates of weighted-average fair value per share for shares to be issued upon exercise of our stock options were as follows: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Expected term in years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Expected volatility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Risk-free interest rate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 yield</w:t>
      </w:r>
    </w:p>
    <w:p>
      <w:pPr>
        <w:spacing w:after="0" w:line="2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Weighted average grant date fair value per share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10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Three Months Ended September 30,</w:t>
            </w:r>
          </w:p>
        </w:tc>
        <w:tc>
          <w:tcPr>
            <w:tcW w:w="2940" w:type="dxa"/>
            <w:vAlign w:val="bottom"/>
            <w:gridSpan w:val="6"/>
          </w:tcPr>
          <w:p>
            <w:pPr>
              <w:ind w:left="780"/>
              <w:spacing w:after="0"/>
              <w:rPr>
                <w:sz w:val="20"/>
                <w:szCs w:val="20"/>
                <w:color w:val="auto"/>
              </w:rPr>
            </w:pPr>
            <w:r>
              <w:rPr>
                <w:rFonts w:ascii="Arial" w:cs="Arial" w:eastAsia="Arial" w:hAnsi="Arial"/>
                <w:sz w:val="14"/>
                <w:szCs w:val="14"/>
                <w:b w:val="1"/>
                <w:bCs w:val="1"/>
                <w:color w:val="auto"/>
                <w:w w:val="92"/>
              </w:rPr>
              <w:t>Nine Months Ended September 30,</w:t>
            </w:r>
          </w:p>
        </w:tc>
        <w:tc>
          <w:tcPr>
            <w:tcW w:w="800" w:type="dxa"/>
            <w:vAlign w:val="bottom"/>
          </w:tcPr>
          <w:p>
            <w:pPr>
              <w:spacing w:after="0"/>
              <w:rPr>
                <w:sz w:val="16"/>
                <w:szCs w:val="16"/>
                <w:color w:val="auto"/>
              </w:rPr>
            </w:pPr>
          </w:p>
        </w:tc>
      </w:tr>
      <w:tr>
        <w:trPr>
          <w:trHeight w:val="53"/>
        </w:trPr>
        <w:tc>
          <w:tcPr>
            <w:tcW w:w="176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3"/>
          </w:tcPr>
          <w:p>
            <w:pPr>
              <w:spacing w:after="0"/>
              <w:rPr>
                <w:sz w:val="4"/>
                <w:szCs w:val="4"/>
                <w:color w:val="auto"/>
              </w:rPr>
            </w:pPr>
          </w:p>
        </w:tc>
      </w:tr>
      <w:tr>
        <w:trPr>
          <w:trHeight w:val="190"/>
        </w:trPr>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188"/>
        </w:trPr>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12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tcPr>
          <w:p>
            <w:pPr>
              <w:spacing w:after="0" w:line="189" w:lineRule="exact"/>
              <w:rPr>
                <w:sz w:val="20"/>
                <w:szCs w:val="20"/>
                <w:color w:val="auto"/>
              </w:rPr>
            </w:pPr>
            <w:r>
              <w:rPr>
                <w:rFonts w:ascii="Arial" w:cs="Arial" w:eastAsia="Arial" w:hAnsi="Arial"/>
                <w:sz w:val="18"/>
                <w:szCs w:val="18"/>
                <w:color w:val="auto"/>
              </w:rPr>
              <w:t>4.6</w:t>
            </w:r>
          </w:p>
        </w:tc>
        <w:tc>
          <w:tcPr>
            <w:tcW w:w="300" w:type="dxa"/>
            <w:vAlign w:val="bottom"/>
          </w:tcPr>
          <w:p>
            <w:pPr>
              <w:spacing w:after="0"/>
              <w:rPr>
                <w:sz w:val="16"/>
                <w:szCs w:val="16"/>
                <w:color w:val="auto"/>
              </w:rPr>
            </w:pPr>
          </w:p>
        </w:tc>
        <w:tc>
          <w:tcPr>
            <w:tcW w:w="1760" w:type="dxa"/>
            <w:vAlign w:val="bottom"/>
          </w:tcPr>
          <w:p>
            <w:pPr>
              <w:jc w:val="center"/>
              <w:spacing w:after="0" w:line="189" w:lineRule="exact"/>
              <w:rPr>
                <w:sz w:val="20"/>
                <w:szCs w:val="20"/>
                <w:color w:val="auto"/>
              </w:rPr>
            </w:pPr>
            <w:r>
              <w:rPr>
                <w:rFonts w:ascii="Arial" w:cs="Arial" w:eastAsia="Arial" w:hAnsi="Arial"/>
                <w:sz w:val="18"/>
                <w:szCs w:val="18"/>
                <w:color w:val="auto"/>
                <w:w w:val="95"/>
              </w:rPr>
              <w:t>5.1</w:t>
            </w:r>
          </w:p>
        </w:tc>
        <w:tc>
          <w:tcPr>
            <w:tcW w:w="2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12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800" w:type="dxa"/>
            <w:vAlign w:val="bottom"/>
          </w:tcPr>
          <w:p>
            <w:pPr>
              <w:spacing w:after="0" w:line="189" w:lineRule="exact"/>
              <w:rPr>
                <w:sz w:val="20"/>
                <w:szCs w:val="20"/>
                <w:color w:val="auto"/>
              </w:rPr>
            </w:pPr>
            <w:r>
              <w:rPr>
                <w:rFonts w:ascii="Arial" w:cs="Arial" w:eastAsia="Arial" w:hAnsi="Arial"/>
                <w:sz w:val="18"/>
                <w:szCs w:val="18"/>
                <w:color w:val="auto"/>
              </w:rPr>
              <w:t>4.6</w:t>
            </w:r>
          </w:p>
        </w:tc>
        <w:tc>
          <w:tcPr>
            <w:tcW w:w="260" w:type="dxa"/>
            <w:vAlign w:val="bottom"/>
          </w:tcPr>
          <w:p>
            <w:pPr>
              <w:spacing w:after="0"/>
              <w:rPr>
                <w:sz w:val="16"/>
                <w:szCs w:val="16"/>
                <w:color w:val="auto"/>
              </w:rPr>
            </w:pPr>
          </w:p>
        </w:tc>
        <w:tc>
          <w:tcPr>
            <w:tcW w:w="174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7"/>
              </w:rPr>
              <w:t>5.1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71%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20"/>
                <w:szCs w:val="20"/>
                <w:color w:val="auto"/>
              </w:rPr>
            </w:pPr>
            <w:r>
              <w:rPr>
                <w:rFonts w:ascii="Arial" w:cs="Arial" w:eastAsia="Arial" w:hAnsi="Arial"/>
                <w:sz w:val="18"/>
                <w:szCs w:val="18"/>
                <w:color w:val="auto"/>
              </w:rPr>
              <w:t>71%</w:t>
            </w:r>
          </w:p>
        </w:tc>
      </w:tr>
      <w:tr>
        <w:trPr>
          <w:trHeight w:val="216"/>
        </w:trPr>
        <w:tc>
          <w:tcPr>
            <w:tcW w:w="206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0.05% – 0.71%</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0.30%</w:t>
            </w:r>
          </w:p>
        </w:tc>
        <w:tc>
          <w:tcPr>
            <w:tcW w:w="280" w:type="dxa"/>
            <w:vAlign w:val="bottom"/>
          </w:tcPr>
          <w:p>
            <w:pPr>
              <w:spacing w:after="0"/>
              <w:rPr>
                <w:sz w:val="18"/>
                <w:szCs w:val="18"/>
                <w:color w:val="auto"/>
              </w:rPr>
            </w:pPr>
          </w:p>
        </w:tc>
        <w:tc>
          <w:tcPr>
            <w:tcW w:w="200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0.05% – 0.74%</w:t>
            </w: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20"/>
                <w:szCs w:val="20"/>
                <w:color w:val="auto"/>
              </w:rPr>
            </w:pPr>
            <w:r>
              <w:rPr>
                <w:rFonts w:ascii="Arial" w:cs="Arial" w:eastAsia="Arial" w:hAnsi="Arial"/>
                <w:sz w:val="18"/>
                <w:szCs w:val="18"/>
                <w:color w:val="auto"/>
              </w:rPr>
              <w:t>1.2%</w:t>
            </w:r>
          </w:p>
        </w:tc>
      </w:tr>
      <w:tr>
        <w:trPr>
          <w:trHeight w:val="244"/>
        </w:trPr>
        <w:tc>
          <w:tcPr>
            <w:tcW w:w="94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4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21"/>
                <w:szCs w:val="21"/>
                <w:color w:val="auto"/>
              </w:rPr>
            </w:pPr>
          </w:p>
        </w:tc>
      </w:tr>
      <w:tr>
        <w:trPr>
          <w:trHeight w:val="459"/>
        </w:trPr>
        <w:tc>
          <w:tcPr>
            <w:tcW w:w="1760" w:type="dxa"/>
            <w:vAlign w:val="bottom"/>
            <w:gridSpan w:val="3"/>
          </w:tcPr>
          <w:p>
            <w:pPr>
              <w:jc w:val="center"/>
              <w:spacing w:after="0"/>
              <w:rPr>
                <w:sz w:val="20"/>
                <w:szCs w:val="20"/>
                <w:color w:val="auto"/>
              </w:rPr>
            </w:pPr>
            <w:r>
              <w:rPr>
                <w:rFonts w:ascii="Arial" w:cs="Arial" w:eastAsia="Arial" w:hAnsi="Arial"/>
                <w:sz w:val="18"/>
                <w:szCs w:val="18"/>
                <w:color w:val="auto"/>
                <w:w w:val="88"/>
              </w:rPr>
              <w:t>$5.97</w:t>
            </w:r>
          </w:p>
        </w:tc>
        <w:tc>
          <w:tcPr>
            <w:tcW w:w="3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$3.85</w:t>
            </w:r>
          </w:p>
        </w:tc>
        <w:tc>
          <w:tcPr>
            <w:tcW w:w="280" w:type="dxa"/>
            <w:vAlign w:val="bottom"/>
          </w:tcPr>
          <w:p>
            <w:pPr>
              <w:spacing w:after="0"/>
              <w:rPr>
                <w:sz w:val="24"/>
                <w:szCs w:val="24"/>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$15.63</w:t>
            </w:r>
          </w:p>
        </w:tc>
        <w:tc>
          <w:tcPr>
            <w:tcW w:w="260" w:type="dxa"/>
            <w:vAlign w:val="bottom"/>
          </w:tcPr>
          <w:p>
            <w:pPr>
              <w:spacing w:after="0"/>
              <w:rPr>
                <w:sz w:val="24"/>
                <w:szCs w:val="24"/>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3"/>
              </w:rPr>
              <w:t>$3.82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-848360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-574040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-299720</wp:posOffset>
            </wp:positionV>
            <wp:extent cx="7132320"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240"/>
            <w:col w:w="7840"/>
          </w:cols>
          <w:pgMar w:left="320" w:top="111" w:right="339" w:bottom="1440" w:gutter="0" w:footer="0" w:header="0"/>
          <w:type w:val="continuous"/>
        </w:sectPr>
      </w:pPr>
    </w:p>
    <w:p>
      <w:pPr>
        <w:spacing w:after="0" w:line="110" w:lineRule="exact"/>
        <w:rPr>
          <w:sz w:val="20"/>
          <w:szCs w:val="20"/>
          <w:color w:val="auto"/>
        </w:rPr>
      </w:pPr>
    </w:p>
    <w:p>
      <w:pPr>
        <w:jc w:val="both"/>
        <w:ind w:right="160" w:firstLine="440"/>
        <w:spacing w:after="0" w:line="307" w:lineRule="auto"/>
        <w:rPr>
          <w:sz w:val="20"/>
          <w:szCs w:val="20"/>
          <w:color w:val="auto"/>
        </w:rPr>
      </w:pPr>
      <w:r>
        <w:rPr>
          <w:rFonts w:ascii="Arial" w:cs="Arial" w:eastAsia="Arial" w:hAnsi="Arial"/>
          <w:sz w:val="16"/>
          <w:szCs w:val="16"/>
          <w:color w:val="auto"/>
        </w:rPr>
        <w:t>We estimate the value of employee stock purchase rights on the grant date using the Black-Scholes option pricing model. The assumptions used for the specified reporting periods and the resulting estimates of weighted-average fair value per share for stock to be issued under the ESPP were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86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 September 30,</w:t>
            </w:r>
          </w:p>
        </w:tc>
        <w:tc>
          <w:tcPr>
            <w:tcW w:w="3300" w:type="dxa"/>
            <w:vAlign w:val="bottom"/>
            <w:gridSpan w:val="5"/>
          </w:tcPr>
          <w:p>
            <w:pPr>
              <w:jc w:val="right"/>
              <w:ind w:right="51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0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ESPP</w:t>
            </w: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Expected term in years</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- 2.0</w:t>
            </w: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0.5 - 2.0</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- 2.0</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Expected volatility</w:t>
            </w:r>
          </w:p>
        </w:tc>
        <w:tc>
          <w:tcPr>
            <w:tcW w:w="1580" w:type="dxa"/>
            <w:vAlign w:val="bottom"/>
            <w:gridSpan w:val="2"/>
          </w:tcPr>
          <w:p>
            <w:pPr>
              <w:jc w:val="right"/>
              <w:ind w:right="53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71%</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860" w:type="dxa"/>
            <w:vAlign w:val="bottom"/>
          </w:tcPr>
          <w:p>
            <w:pPr>
              <w:ind w:left="20"/>
              <w:spacing w:after="0"/>
              <w:rPr>
                <w:sz w:val="20"/>
                <w:szCs w:val="20"/>
                <w:color w:val="auto"/>
              </w:rPr>
            </w:pPr>
            <w:r>
              <w:rPr>
                <w:rFonts w:ascii="Arial" w:cs="Arial" w:eastAsia="Arial" w:hAnsi="Arial"/>
                <w:sz w:val="18"/>
                <w:szCs w:val="18"/>
                <w:color w:val="auto"/>
              </w:rPr>
              <w:t>- 68%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800" w:type="dxa"/>
            <w:vAlign w:val="bottom"/>
          </w:tcPr>
          <w:p>
            <w:pPr>
              <w:ind w:left="20"/>
              <w:spacing w:after="0"/>
              <w:rPr>
                <w:sz w:val="20"/>
                <w:szCs w:val="20"/>
                <w:color w:val="auto"/>
              </w:rPr>
            </w:pPr>
            <w:r>
              <w:rPr>
                <w:rFonts w:ascii="Arial" w:cs="Arial" w:eastAsia="Arial" w:hAnsi="Arial"/>
                <w:sz w:val="18"/>
                <w:szCs w:val="18"/>
                <w:color w:val="auto"/>
              </w:rPr>
              <w:t>- 71%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- 0.20%</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- 0.20%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ind w:left="120"/>
              <w:spacing w:after="0"/>
              <w:rPr>
                <w:sz w:val="20"/>
                <w:szCs w:val="20"/>
                <w:color w:val="auto"/>
              </w:rPr>
            </w:pPr>
            <w:r>
              <w:rPr>
                <w:rFonts w:ascii="Arial" w:cs="Arial" w:eastAsia="Arial" w:hAnsi="Arial"/>
                <w:sz w:val="18"/>
                <w:szCs w:val="18"/>
                <w:color w:val="auto"/>
              </w:rPr>
              <w:t>Dividend yield</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4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fair value per share</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$16.73</w:t>
            </w:r>
          </w:p>
        </w:tc>
        <w:tc>
          <w:tcPr>
            <w:tcW w:w="24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$3.13</w:t>
            </w:r>
          </w:p>
        </w:tc>
        <w:tc>
          <w:tcPr>
            <w:tcW w:w="19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$25.07</w:t>
            </w:r>
          </w:p>
        </w:tc>
        <w:tc>
          <w:tcPr>
            <w:tcW w:w="16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$1.87</w:t>
            </w:r>
          </w:p>
        </w:tc>
      </w:tr>
      <w:tr>
        <w:trPr>
          <w:trHeight w:val="634"/>
        </w:trPr>
        <w:tc>
          <w:tcPr>
            <w:tcW w:w="3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20" w:type="dxa"/>
            <w:vAlign w:val="bottom"/>
          </w:tcPr>
          <w:p>
            <w:pPr>
              <w:jc w:val="right"/>
              <w:ind w:right="1930"/>
              <w:spacing w:after="0"/>
              <w:rPr>
                <w:sz w:val="20"/>
                <w:szCs w:val="20"/>
                <w:color w:val="auto"/>
              </w:rPr>
            </w:pPr>
            <w:r>
              <w:rPr>
                <w:rFonts w:ascii="Arial" w:cs="Arial" w:eastAsia="Arial" w:hAnsi="Arial"/>
                <w:sz w:val="18"/>
                <w:szCs w:val="18"/>
                <w:color w:val="auto"/>
              </w:rPr>
              <w:t>26</w:t>
            </w:r>
          </w:p>
        </w:tc>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547"/>
        </w:trPr>
        <w:tc>
          <w:tcPr>
            <w:tcW w:w="37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REVENUE</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our revenue by geographic location for the three and nine months ended September 30, 2021 and 2020 is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9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53"/>
        </w:trPr>
        <w:tc>
          <w:tcPr>
            <w:tcW w:w="44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4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19,368</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45,872</w:t>
            </w: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25,189</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Europe (including the Middle East and Africa)</w:t>
            </w:r>
          </w:p>
        </w:tc>
        <w:tc>
          <w:tcPr>
            <w:tcW w:w="300" w:type="dxa"/>
            <w:vAlign w:val="bottom"/>
          </w:tcPr>
          <w:p>
            <w:pPr>
              <w:spacing w:after="0"/>
              <w:rPr>
                <w:sz w:val="23"/>
                <w:szCs w:val="2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6,347</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4,339</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21,166</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11,925</w:t>
            </w: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27,456</w:t>
            </w: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91"/>
        </w:trPr>
        <w:tc>
          <w:tcPr>
            <w:tcW w:w="444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34,887</w:t>
            </w:r>
          </w:p>
        </w:tc>
        <w:tc>
          <w:tcPr>
            <w:tcW w:w="14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19,082</w:t>
            </w:r>
          </w:p>
        </w:tc>
        <w:tc>
          <w:tcPr>
            <w:tcW w:w="2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94,494</w:t>
            </w:r>
          </w:p>
        </w:tc>
        <w:tc>
          <w:tcPr>
            <w:tcW w:w="16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revenue by category for the three and nine months ended September 30, 2021 and 2020 is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53"/>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660" w:type="dxa"/>
            <w:vAlign w:val="bottom"/>
            <w:vMerge w:val="continue"/>
          </w:tcPr>
          <w:p>
            <w:pPr>
              <w:spacing w:after="0"/>
              <w:rPr>
                <w:sz w:val="18"/>
                <w:szCs w:val="18"/>
                <w:color w:val="auto"/>
              </w:rPr>
            </w:pPr>
          </w:p>
        </w:tc>
        <w:tc>
          <w:tcPr>
            <w:tcW w:w="19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266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Instrument revenue</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15,926</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4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45,147</w:t>
            </w: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20,685</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Consumable revenue</w:t>
            </w:r>
          </w:p>
        </w:tc>
        <w:tc>
          <w:tcPr>
            <w:tcW w:w="76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14,576</w:t>
            </w:r>
          </w:p>
        </w:tc>
        <w:tc>
          <w:tcPr>
            <w:tcW w:w="2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8,022</w:t>
            </w:r>
          </w:p>
        </w:tc>
        <w:tc>
          <w:tcPr>
            <w:tcW w:w="4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37,191</w:t>
            </w:r>
          </w:p>
        </w:tc>
        <w:tc>
          <w:tcPr>
            <w:tcW w:w="3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21,113</w:t>
            </w: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30,502</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82,338</w:t>
            </w: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and other revenue</w:t>
            </w:r>
          </w:p>
        </w:tc>
        <w:tc>
          <w:tcPr>
            <w:tcW w:w="76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2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4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12,156</w:t>
            </w:r>
          </w:p>
        </w:tc>
        <w:tc>
          <w:tcPr>
            <w:tcW w:w="3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19,082</w:t>
            </w: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94,494</w:t>
            </w: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in this Quarterly Report on Form 10-Q and those in our Annual Report on Form 10-K for the year ended December 31, 2020. Some of the information contained in this discussion and analysis or set forth elsewhere in this report, including statements related to our expectations regarding the potential impacts of the COVID-19 pandemic on our business, financial condition, and results of operations, expectations regarding sales of products in future periods that reflect increased commercial presence and customer demand, expectations regarding the impact of our recently completed Circulomics and Omniome acquisitions, and information with respect to our products, plans and strategy for our business and related financing, includes forward-looking statements that involve risks and uncertainties, including statements regarding our expected financial results in future periods.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jc w:val="both"/>
        <w:ind w:right="520" w:firstLine="440"/>
        <w:spacing w:after="0" w:line="276" w:lineRule="auto"/>
        <w:rPr>
          <w:sz w:val="20"/>
          <w:szCs w:val="20"/>
          <w:color w:val="auto"/>
        </w:rPr>
      </w:pPr>
      <w:r>
        <w:rPr>
          <w:rFonts w:ascii="Arial" w:cs="Arial" w:eastAsia="Arial" w:hAnsi="Arial"/>
          <w:sz w:val="16"/>
          <w:szCs w:val="16"/>
          <w:color w:val="auto"/>
        </w:rPr>
        <w:t>We design, develop and manufacture sequencing systems to help scientists and clinical researchers resolve genetically complex problems. Our products address several applications based on our novel Single Molecule, Real-Time (SMRT®) sequencing technology, including human germline sequencing, plant and animal sciences, infectious disease and microbiology, oncology, and other emerging applications.</w:t>
      </w:r>
    </w:p>
    <w:p>
      <w:pPr>
        <w:spacing w:after="0" w:line="121" w:lineRule="exact"/>
        <w:rPr>
          <w:sz w:val="20"/>
          <w:szCs w:val="20"/>
          <w:color w:val="auto"/>
        </w:rPr>
      </w:pPr>
    </w:p>
    <w:p>
      <w:pPr>
        <w:ind w:right="140" w:firstLine="440"/>
        <w:spacing w:after="0" w:line="266" w:lineRule="auto"/>
        <w:rPr>
          <w:sz w:val="20"/>
          <w:szCs w:val="20"/>
          <w:color w:val="auto"/>
        </w:rPr>
      </w:pPr>
      <w:r>
        <w:rPr>
          <w:rFonts w:ascii="Arial" w:cs="Arial" w:eastAsia="Arial" w:hAnsi="Arial"/>
          <w:sz w:val="16"/>
          <w:szCs w:val="16"/>
          <w:color w:val="auto"/>
        </w:rPr>
        <w:t>Across these applications, customers use our technology in a wide range of sequencing methods, including whole genome sequencing and de novo genome assembly, long-range phasing, targeted sequencing, full-length RNA and single-cell sequencing, methylation and epigenetic characterization, and others. Our technology provides high accuracy, long reads, uniform coverage, and the ability to detect epigenetic changes simultaneously. PacBio® sequencing systems, including consumables and software, offer a simple and fast end-to-end workflow for SMRT sequencing.</w:t>
      </w:r>
    </w:p>
    <w:p>
      <w:pPr>
        <w:spacing w:after="0" w:line="129" w:lineRule="exact"/>
        <w:rPr>
          <w:sz w:val="20"/>
          <w:szCs w:val="20"/>
          <w:color w:val="auto"/>
        </w:rPr>
      </w:pPr>
    </w:p>
    <w:p>
      <w:pPr>
        <w:ind w:right="60" w:firstLine="440"/>
        <w:spacing w:after="0" w:line="235" w:lineRule="auto"/>
        <w:rPr>
          <w:sz w:val="20"/>
          <w:szCs w:val="20"/>
          <w:color w:val="auto"/>
        </w:rPr>
      </w:pPr>
      <w:r>
        <w:rPr>
          <w:rFonts w:ascii="Arial" w:cs="Arial" w:eastAsia="Arial" w:hAnsi="Arial"/>
          <w:sz w:val="18"/>
          <w:szCs w:val="18"/>
          <w:color w:val="auto"/>
        </w:rPr>
        <w:t>In addition to our SMRT sequencing technology, we are developing a highly accurate short-read sequencing platform based on the novel Sequencing by Binding (SBB®) technology. Upon launch, we expect SBB to address adjacent applications and complement our existing long-read sequencing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Objectives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outlined the following strategic objectives for 2021:</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Expand our commercial reach;</w:t>
      </w:r>
    </w:p>
    <w:p>
      <w:pPr>
        <w:spacing w:after="0" w:line="7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Accelerate our product development pipeline; and</w:t>
      </w:r>
    </w:p>
    <w:p>
      <w:pPr>
        <w:ind w:left="1060"/>
        <w:spacing w:after="0"/>
        <w:rPr>
          <w:sz w:val="20"/>
          <w:szCs w:val="20"/>
          <w:color w:val="auto"/>
        </w:rPr>
      </w:pPr>
      <w:r>
        <w:rPr>
          <w:rFonts w:ascii="Arial" w:cs="Arial" w:eastAsia="Arial" w:hAnsi="Arial"/>
          <w:sz w:val="18"/>
          <w:szCs w:val="18"/>
          <w:color w:val="auto"/>
        </w:rPr>
        <w:t>Drive market leadership in whole-genome clinical sequencing.</w:t>
      </w:r>
    </w:p>
    <w:p>
      <w:pPr>
        <w:spacing w:after="0" w:line="74" w:lineRule="exact"/>
        <w:rPr>
          <w:sz w:val="20"/>
          <w:szCs w:val="20"/>
          <w:color w:val="auto"/>
        </w:rPr>
      </w:pPr>
    </w:p>
    <w:p>
      <w:pPr>
        <w:ind w:right="20" w:firstLine="402"/>
        <w:spacing w:after="0" w:line="227" w:lineRule="auto"/>
        <w:rPr>
          <w:sz w:val="20"/>
          <w:szCs w:val="20"/>
          <w:color w:val="auto"/>
        </w:rPr>
      </w:pPr>
      <w:r>
        <w:rPr>
          <w:rFonts w:ascii="Arial" w:cs="Arial" w:eastAsia="Arial" w:hAnsi="Arial"/>
          <w:sz w:val="18"/>
          <w:szCs w:val="18"/>
          <w:color w:val="auto"/>
        </w:rPr>
        <w:t>Expanding our commercial reach includes hiring senior level team members with extensive commercial experience. We employed 44 quota-carrying field sales personnel as of September 30, 2021 and we expect to more than double our number of quota-carrying field sales personnel by the end of 2021 as compared to the 22 representatives that we employed at the end of 2020. In addition, we plan to expand our commercial support activities and invest in more sales tools. We also intend to invest more heavily in marketing programs to increase the awareness of our products to a broader number of potential customers. As a result of these commercial expansion activities, we expect our sales, general, and administrative expense to increase significantly in 2021 as compared to 2020.</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02"/>
        <w:spacing w:after="0" w:line="261" w:lineRule="auto"/>
        <w:rPr>
          <w:sz w:val="20"/>
          <w:szCs w:val="20"/>
          <w:color w:val="auto"/>
        </w:rPr>
      </w:pPr>
      <w:r>
        <w:rPr>
          <w:rFonts w:ascii="Arial" w:cs="Arial" w:eastAsia="Arial" w:hAnsi="Arial"/>
          <w:sz w:val="16"/>
          <w:szCs w:val="16"/>
          <w:color w:val="auto"/>
        </w:rPr>
        <w:t>Accelerating our product development pipeline includes significantly expanding our research and development team in an effort to accelerate the development of multiple new products. In association with the collaboration we entered into in January 2021 with Invitae Corporation (“Invitae”), a leader in medical genetic testing, we plan to develop a new platform with production-scale high-throughput capability to complement the other new products we already have in development. In addition, with our acquisition of Omniome, Inc. (“Omniome”), we expect to continue to invest in the development of a short-read sequencing platform. As a result, we expect our research and development expense to increase significantly in 2021 as compared to 2020.</w:t>
      </w:r>
    </w:p>
    <w:p>
      <w:pPr>
        <w:spacing w:after="0" w:line="53" w:lineRule="exact"/>
        <w:rPr>
          <w:sz w:val="20"/>
          <w:szCs w:val="20"/>
          <w:color w:val="auto"/>
        </w:rPr>
      </w:pPr>
    </w:p>
    <w:p>
      <w:pPr>
        <w:ind w:right="40" w:firstLine="402"/>
        <w:spacing w:after="0" w:line="242" w:lineRule="auto"/>
        <w:rPr>
          <w:sz w:val="20"/>
          <w:szCs w:val="20"/>
          <w:color w:val="auto"/>
        </w:rPr>
      </w:pPr>
      <w:r>
        <w:rPr>
          <w:rFonts w:ascii="Arial" w:cs="Arial" w:eastAsia="Arial" w:hAnsi="Arial"/>
          <w:sz w:val="17"/>
          <w:szCs w:val="17"/>
          <w:color w:val="auto"/>
        </w:rPr>
        <w:t>We believe that with the capabilities of our SMRT technology, we can be a market leader in whole-genome clinical sequencing. Leading institutions such as Children’s Mercy Kansas City, Invitae, the HudsonAlpha Institute for Biotechnology and Stanford University have adopted our products to study rare and inherited disease. We believe the market opportunity for clinical sequencing is significant, and could drive substantial revenue growth for the company. In addition to our collaboration with Invitae, who has the desire to sequence hundreds of thousands of genomes annually with our technology, we continue to pursue additional partnerships to further drive the adoption of whole-genome clinical sequencing.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202"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On January 12, 2021, we entered into a multi-year Development and Commercialization Agreement (the “Development Agreement”) with Invitae to develop a production-scale high-throughput sequencing platform that leverages the power of our highly accurate HiFi sequencing to expand Invitae’s whole genome testing capabilities.</w:t>
      </w:r>
    </w:p>
    <w:p>
      <w:pPr>
        <w:spacing w:after="0" w:line="67" w:lineRule="exact"/>
        <w:rPr>
          <w:sz w:val="20"/>
          <w:szCs w:val="20"/>
          <w:color w:val="auto"/>
        </w:rPr>
      </w:pPr>
    </w:p>
    <w:p>
      <w:pPr>
        <w:ind w:right="400" w:firstLine="492"/>
        <w:spacing w:after="0" w:line="246" w:lineRule="auto"/>
        <w:rPr>
          <w:sz w:val="20"/>
          <w:szCs w:val="20"/>
          <w:color w:val="auto"/>
        </w:rPr>
      </w:pPr>
      <w:r>
        <w:rPr>
          <w:rFonts w:ascii="Arial" w:cs="Arial" w:eastAsia="Arial" w:hAnsi="Arial"/>
          <w:sz w:val="18"/>
          <w:szCs w:val="18"/>
          <w:color w:val="auto"/>
        </w:rPr>
        <w:t>On February 16, 2021, we issued convertible senior notes to SB Northstar LP, a subsidiary of SoftBank Group Corp., pursuant to an investment agreement with SB Northstar LP, for $900 million at 1.50% interest rate, due February 15, 2028.</w:t>
      </w:r>
    </w:p>
    <w:p>
      <w:pPr>
        <w:spacing w:after="0" w:line="35" w:lineRule="exact"/>
        <w:rPr>
          <w:sz w:val="20"/>
          <w:szCs w:val="20"/>
          <w:color w:val="auto"/>
        </w:rPr>
      </w:pPr>
    </w:p>
    <w:p>
      <w:pPr>
        <w:ind w:right="160" w:firstLine="492"/>
        <w:spacing w:after="0" w:line="246" w:lineRule="auto"/>
        <w:rPr>
          <w:sz w:val="20"/>
          <w:szCs w:val="20"/>
          <w:color w:val="auto"/>
        </w:rPr>
      </w:pPr>
      <w:r>
        <w:rPr>
          <w:rFonts w:ascii="Arial" w:cs="Arial" w:eastAsia="Arial" w:hAnsi="Arial"/>
          <w:sz w:val="18"/>
          <w:szCs w:val="18"/>
          <w:color w:val="auto"/>
        </w:rPr>
        <w:t>On July 22, 2021, we acquired Circulomics Inc (“Circulomics”), a leader in high molecular weight DNA extraction to enable a path toward an end-to-end automated workflow.</w:t>
      </w:r>
    </w:p>
    <w:p>
      <w:pPr>
        <w:spacing w:after="0" w:line="35" w:lineRule="exact"/>
        <w:rPr>
          <w:sz w:val="20"/>
          <w:szCs w:val="20"/>
          <w:color w:val="auto"/>
        </w:rPr>
      </w:pPr>
    </w:p>
    <w:p>
      <w:pPr>
        <w:ind w:right="120" w:firstLine="492"/>
        <w:spacing w:after="0" w:line="227" w:lineRule="auto"/>
        <w:rPr>
          <w:sz w:val="20"/>
          <w:szCs w:val="20"/>
          <w:color w:val="auto"/>
        </w:rPr>
      </w:pPr>
      <w:r>
        <w:rPr>
          <w:rFonts w:ascii="Arial" w:cs="Arial" w:eastAsia="Arial" w:hAnsi="Arial"/>
          <w:sz w:val="18"/>
          <w:szCs w:val="18"/>
          <w:color w:val="auto"/>
        </w:rPr>
        <w:t>On September 20, 2021, we completed our acquisition of Omniome, a San Diego-based company developing a highly differentiated, proprietary short-read DNA sequencing platform capable of delivering high accuracy results, for total consideration transferred of $714.8 million. This amount consisted of approximately $315.7 million in cash, 8,911,580 shares of our common stock with a fair value of $249.4 million and contingent consideration with a fair value of $168.6 million. Out of the total payment, approximately $18.9 million, comprised of $7.4 million of cash, 226,811 shares of PacBio common stock with a fair value of $6.3 million and $5.2 million of contingent consideration, was accounted for as a one-time post acquisition stock-based compensation expense.</w:t>
      </w:r>
    </w:p>
    <w:p>
      <w:pPr>
        <w:spacing w:after="0" w:line="40" w:lineRule="exact"/>
        <w:rPr>
          <w:sz w:val="20"/>
          <w:szCs w:val="20"/>
          <w:color w:val="auto"/>
        </w:rPr>
      </w:pPr>
    </w:p>
    <w:p>
      <w:pPr>
        <w:ind w:right="200" w:firstLine="492"/>
        <w:spacing w:after="0" w:line="235" w:lineRule="auto"/>
        <w:rPr>
          <w:sz w:val="20"/>
          <w:szCs w:val="20"/>
          <w:color w:val="auto"/>
        </w:rPr>
      </w:pPr>
      <w:r>
        <w:rPr>
          <w:rFonts w:ascii="Arial" w:cs="Arial" w:eastAsia="Arial" w:hAnsi="Arial"/>
          <w:sz w:val="18"/>
          <w:szCs w:val="18"/>
          <w:color w:val="auto"/>
        </w:rPr>
        <w:t>On September 20, 2021, in connection with the acquisition of Omniome, we issued and sold 11,214,953 shares of common stock in a private placement transaction at a price of $26.75 per share, for aggregate proceeds of approximately $294.8 million, net of issuance costs of approximately $5.2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63" w:lineRule="exact"/>
        <w:rPr>
          <w:sz w:val="20"/>
          <w:szCs w:val="20"/>
          <w:color w:val="auto"/>
        </w:rPr>
      </w:pPr>
    </w:p>
    <w:p>
      <w:pPr>
        <w:ind w:right="100" w:firstLine="440"/>
        <w:spacing w:after="0" w:line="228" w:lineRule="auto"/>
        <w:rPr>
          <w:sz w:val="20"/>
          <w:szCs w:val="20"/>
          <w:color w:val="auto"/>
        </w:rPr>
      </w:pPr>
      <w:r>
        <w:rPr>
          <w:rFonts w:ascii="Arial" w:cs="Arial" w:eastAsia="Arial" w:hAnsi="Arial"/>
          <w:sz w:val="18"/>
          <w:szCs w:val="18"/>
          <w:color w:val="auto"/>
        </w:rPr>
        <w:t>The COVID-19 pandemic and efforts to control its spread have significantly curtailed the movement of people, goods, and services worldwide, including in the regions in which we sell our products and services and conduct our business operations. A significant number of our customer sites that shut down due to COVID-19 have now re-opened. However, a significant number of customers delayed purchases or had difficulties obtaining funding for capital expenditures due to the negative impact of the pandemic on their businesses. Due to the uncertain scope and duration of the pandemic, we cannot reasonably estimate the future impact to our operations and financial results.</w:t>
      </w:r>
    </w:p>
    <w:p>
      <w:pPr>
        <w:spacing w:after="0" w:line="43" w:lineRule="exact"/>
        <w:rPr>
          <w:sz w:val="20"/>
          <w:szCs w:val="20"/>
          <w:color w:val="auto"/>
        </w:rPr>
      </w:pPr>
    </w:p>
    <w:p>
      <w:pPr>
        <w:ind w:right="160" w:firstLine="440"/>
        <w:spacing w:after="0" w:line="228" w:lineRule="auto"/>
        <w:rPr>
          <w:sz w:val="20"/>
          <w:szCs w:val="20"/>
          <w:color w:val="auto"/>
        </w:rPr>
      </w:pPr>
      <w:r>
        <w:rPr>
          <w:rFonts w:ascii="Arial" w:cs="Arial" w:eastAsia="Arial" w:hAnsi="Arial"/>
          <w:sz w:val="18"/>
          <w:szCs w:val="18"/>
          <w:color w:val="auto"/>
        </w:rPr>
        <w:t>In response to local stay-at-home orders and in alignment with CDC recommendations, we have limited our manufacturing and commercial operations based in Menlo Park, California. We will, however, continue to provide consumables, instruments and support to scientists at government, academic, and commercial labs that remain open. To aid in containing the spread of COVID-19, we have implemented remote-work options and are limiting employee travel as much as possible. We are monitoring this rapidly evolving situation, including all developments surrounding the Delta variant of COVID-19.</w:t>
      </w:r>
    </w:p>
    <w:p>
      <w:pPr>
        <w:spacing w:after="0" w:line="43" w:lineRule="exact"/>
        <w:rPr>
          <w:sz w:val="20"/>
          <w:szCs w:val="20"/>
          <w:color w:val="auto"/>
        </w:rPr>
      </w:pPr>
    </w:p>
    <w:p>
      <w:pPr>
        <w:ind w:right="60" w:firstLine="440"/>
        <w:spacing w:after="0" w:line="221" w:lineRule="auto"/>
        <w:rPr>
          <w:sz w:val="20"/>
          <w:szCs w:val="20"/>
          <w:color w:val="auto"/>
        </w:rPr>
      </w:pPr>
      <w:r>
        <w:rPr>
          <w:rFonts w:ascii="Arial" w:cs="Arial" w:eastAsia="Arial" w:hAnsi="Arial"/>
          <w:sz w:val="18"/>
          <w:szCs w:val="18"/>
          <w:color w:val="auto"/>
        </w:rPr>
        <w:t>Even after the COVID-19 pandemic has subsided, we may continue to experience an adverse impact to our business as a result of the global economic impact of the pandemic, including any recession that has occurred or may occur in the future. Specifically, difficult macroeconomic conditions, decreases in discretionary capital spending, increased and prolonged unemployment or a decline in consumer confidence as a result of the COVID-19 pandemic could have a continuing adverse effect on the demand for some of our products. Such economic disruption could have a material adverse effect on our business, results of operations and liquidity.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 See the Risk Factors section for further discussion of the possible impact of the COVID-19 pandemic on our business.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44" w:lineRule="exact"/>
        <w:rPr>
          <w:sz w:val="20"/>
          <w:szCs w:val="20"/>
          <w:color w:val="auto"/>
        </w:rPr>
      </w:pPr>
    </w:p>
    <w:p>
      <w:pPr>
        <w:ind w:firstLine="440"/>
        <w:spacing w:after="0"/>
        <w:rPr>
          <w:sz w:val="20"/>
          <w:szCs w:val="20"/>
          <w:color w:val="auto"/>
        </w:rPr>
      </w:pPr>
      <w:r>
        <w:rPr>
          <w:rFonts w:ascii="Arial" w:cs="Arial" w:eastAsia="Arial" w:hAnsi="Arial"/>
          <w:sz w:val="17"/>
          <w:szCs w:val="17"/>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42" w:lineRule="exact"/>
        <w:rPr>
          <w:sz w:val="20"/>
          <w:szCs w:val="20"/>
          <w:color w:val="auto"/>
        </w:rPr>
      </w:pPr>
    </w:p>
    <w:p>
      <w:pPr>
        <w:ind w:right="520" w:firstLine="402"/>
        <w:spacing w:after="0" w:line="246" w:lineRule="auto"/>
        <w:rPr>
          <w:sz w:val="20"/>
          <w:szCs w:val="20"/>
          <w:color w:val="auto"/>
        </w:rPr>
      </w:pPr>
      <w:r>
        <w:rPr>
          <w:rFonts w:ascii="Arial" w:cs="Arial" w:eastAsia="Arial" w:hAnsi="Arial"/>
          <w:sz w:val="18"/>
          <w:szCs w:val="18"/>
          <w:color w:val="auto"/>
        </w:rPr>
        <w:t>All changes to critical accounting policies and estimates are discussed in Note 5, “Significant Accounting Policies” of the unaudited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September 30,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060" w:type="dxa"/>
            <w:vAlign w:val="bottom"/>
          </w:tcPr>
          <w:p>
            <w:pPr>
              <w:spacing w:after="0"/>
              <w:rPr>
                <w:sz w:val="19"/>
                <w:szCs w:val="19"/>
                <w:color w:val="auto"/>
              </w:rPr>
            </w:pPr>
          </w:p>
        </w:tc>
        <w:tc>
          <w:tcPr>
            <w:tcW w:w="29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Change</w:t>
            </w: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396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Revenue:</w:t>
            </w:r>
          </w:p>
        </w:tc>
        <w:tc>
          <w:tcPr>
            <w:tcW w:w="1860" w:type="dxa"/>
            <w:vAlign w:val="bottom"/>
            <w:vMerge w:val="restart"/>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(unaudited)</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Product revenue</w:t>
            </w:r>
          </w:p>
        </w:tc>
        <w:tc>
          <w:tcPr>
            <w:tcW w:w="206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Service and other revenue</w:t>
            </w:r>
          </w:p>
        </w:tc>
        <w:tc>
          <w:tcPr>
            <w:tcW w:w="10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gridSpan w:val="2"/>
            <w:shd w:val="clear" w:color="auto" w:fill="CCEEFF"/>
          </w:tcPr>
          <w:p>
            <w:pPr>
              <w:ind w:left="760"/>
              <w:spacing w:after="0" w:line="196" w:lineRule="exact"/>
              <w:rPr>
                <w:sz w:val="20"/>
                <w:szCs w:val="20"/>
                <w:color w:val="auto"/>
              </w:rPr>
            </w:pPr>
            <w:r>
              <w:rPr>
                <w:rFonts w:ascii="Arial" w:cs="Arial" w:eastAsia="Arial" w:hAnsi="Arial"/>
                <w:sz w:val="18"/>
                <w:szCs w:val="18"/>
                <w:color w:val="auto"/>
              </w:rPr>
              <w:t>Total revenue</w:t>
            </w:r>
          </w:p>
        </w:tc>
        <w:tc>
          <w:tcPr>
            <w:tcW w:w="10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34,887</w:t>
            </w:r>
          </w:p>
        </w:tc>
        <w:tc>
          <w:tcPr>
            <w:tcW w:w="2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19,082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15,805</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gridSpan w:val="2"/>
          </w:tcPr>
          <w:p>
            <w:pPr>
              <w:spacing w:after="0" w:line="196" w:lineRule="exact"/>
              <w:rPr>
                <w:sz w:val="20"/>
                <w:szCs w:val="20"/>
                <w:color w:val="auto"/>
              </w:rPr>
            </w:pPr>
            <w:r>
              <w:rPr>
                <w:rFonts w:ascii="Arial" w:cs="Arial" w:eastAsia="Arial" w:hAnsi="Arial"/>
                <w:sz w:val="18"/>
                <w:szCs w:val="18"/>
                <w:color w:val="auto"/>
              </w:rPr>
              <w:t>Cost of revenue:</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product revenue</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440"/>
              <w:spacing w:after="0"/>
              <w:rPr>
                <w:sz w:val="20"/>
                <w:szCs w:val="20"/>
                <w:color w:val="auto"/>
              </w:rPr>
            </w:pPr>
            <w:r>
              <w:rPr>
                <w:rFonts w:ascii="Arial" w:cs="Arial" w:eastAsia="Arial" w:hAnsi="Arial"/>
                <w:sz w:val="18"/>
                <w:szCs w:val="18"/>
                <w:color w:val="auto"/>
              </w:rPr>
              <w:t>Cost of service and other revenue</w:t>
            </w: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gridSpan w:val="2"/>
          </w:tcPr>
          <w:p>
            <w:pPr>
              <w:ind w:left="760"/>
              <w:spacing w:after="0" w:line="196" w:lineRule="exact"/>
              <w:rPr>
                <w:sz w:val="20"/>
                <w:szCs w:val="20"/>
                <w:color w:val="auto"/>
              </w:rPr>
            </w:pPr>
            <w:r>
              <w:rPr>
                <w:rFonts w:ascii="Arial" w:cs="Arial" w:eastAsia="Arial" w:hAnsi="Arial"/>
                <w:sz w:val="18"/>
                <w:szCs w:val="18"/>
                <w:color w:val="auto"/>
              </w:rPr>
              <w:t>Total cost of revenue</w:t>
            </w:r>
          </w:p>
        </w:tc>
        <w:tc>
          <w:tcPr>
            <w:tcW w:w="106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19,523</w:t>
            </w:r>
          </w:p>
        </w:tc>
        <w:tc>
          <w:tcPr>
            <w:tcW w:w="26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7,505</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gridSpan w:val="2"/>
            <w:shd w:val="clear" w:color="auto" w:fill="CCEEFF"/>
          </w:tcPr>
          <w:p>
            <w:pPr>
              <w:ind w:left="1200"/>
              <w:spacing w:after="0" w:line="196" w:lineRule="exact"/>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15,364</w:t>
            </w:r>
          </w:p>
        </w:tc>
        <w:tc>
          <w:tcPr>
            <w:tcW w:w="2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7,064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8,300</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gridSpan w:val="2"/>
          </w:tcPr>
          <w:p>
            <w:pPr>
              <w:spacing w:after="0" w:line="196" w:lineRule="exact"/>
              <w:rPr>
                <w:sz w:val="20"/>
                <w:szCs w:val="20"/>
                <w:color w:val="auto"/>
              </w:rPr>
            </w:pPr>
            <w:r>
              <w:rPr>
                <w:rFonts w:ascii="Arial" w:cs="Arial" w:eastAsia="Arial" w:hAnsi="Arial"/>
                <w:sz w:val="18"/>
                <w:szCs w:val="18"/>
                <w:color w:val="auto"/>
              </w:rPr>
              <w:t>Operating expense:</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27,508</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440"/>
              <w:spacing w:after="0"/>
              <w:rPr>
                <w:sz w:val="20"/>
                <w:szCs w:val="20"/>
                <w:color w:val="auto"/>
              </w:rPr>
            </w:pPr>
            <w:r>
              <w:rPr>
                <w:rFonts w:ascii="Arial" w:cs="Arial" w:eastAsia="Arial" w:hAnsi="Arial"/>
                <w:sz w:val="18"/>
                <w:szCs w:val="18"/>
                <w:color w:val="auto"/>
              </w:rPr>
              <w:t>Sales, general and administrative</w:t>
            </w: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31,606</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16,834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Merger-related expenses</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30,726</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gridSpan w:val="2"/>
          </w:tcPr>
          <w:p>
            <w:pPr>
              <w:ind w:left="760"/>
              <w:spacing w:after="0" w:line="196" w:lineRule="exact"/>
              <w:rPr>
                <w:sz w:val="20"/>
                <w:szCs w:val="20"/>
                <w:color w:val="auto"/>
              </w:rPr>
            </w:pPr>
            <w:r>
              <w:rPr>
                <w:rFonts w:ascii="Arial" w:cs="Arial" w:eastAsia="Arial" w:hAnsi="Arial"/>
                <w:sz w:val="18"/>
                <w:szCs w:val="18"/>
                <w:color w:val="auto"/>
              </w:rPr>
              <w:t>Total operating expense</w:t>
            </w:r>
          </w:p>
        </w:tc>
        <w:tc>
          <w:tcPr>
            <w:tcW w:w="106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89,840</w:t>
            </w:r>
          </w:p>
        </w:tc>
        <w:tc>
          <w:tcPr>
            <w:tcW w:w="26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58,601</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(74,476)</w:t>
            </w:r>
          </w:p>
        </w:tc>
        <w:tc>
          <w:tcPr>
            <w:tcW w:w="10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(24,175)</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(50,301)</w:t>
            </w:r>
          </w:p>
        </w:tc>
        <w:tc>
          <w:tcPr>
            <w:tcW w:w="126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(3,673)</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440"/>
              <w:spacing w:after="0"/>
              <w:rPr>
                <w:sz w:val="20"/>
                <w:szCs w:val="20"/>
                <w:color w:val="auto"/>
              </w:rPr>
            </w:pPr>
            <w:r>
              <w:rPr>
                <w:rFonts w:ascii="Arial" w:cs="Arial" w:eastAsia="Arial" w:hAnsi="Arial"/>
                <w:sz w:val="18"/>
                <w:szCs w:val="18"/>
                <w:color w:val="auto"/>
              </w:rPr>
              <w:t>Other income (expense), net</w:t>
            </w: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benefit from income taxes</w:t>
            </w:r>
          </w:p>
        </w:tc>
        <w:tc>
          <w:tcPr>
            <w:tcW w:w="10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(78,282)</w:t>
            </w: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(23,708)</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(54,574)</w:t>
            </w:r>
          </w:p>
        </w:tc>
        <w:tc>
          <w:tcPr>
            <w:tcW w:w="12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Benefit from income taxes</w:t>
            </w:r>
          </w:p>
        </w:tc>
        <w:tc>
          <w:tcPr>
            <w:tcW w:w="10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(94,824)</w:t>
            </w: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(94,824)</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0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16,542</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(23,708)</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63"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Revenue increased $15.8 million, or 83%, to $34.9 million for the three months ended September 30, 2021 as compared to $19.1 million for the three months ended September 30, 2020, driven primarily by an increase in instrument and consumable revenue.</w:t>
      </w:r>
    </w:p>
    <w:p>
      <w:pPr>
        <w:spacing w:after="0" w:line="35" w:lineRule="exact"/>
        <w:rPr>
          <w:sz w:val="20"/>
          <w:szCs w:val="20"/>
          <w:color w:val="auto"/>
        </w:rPr>
      </w:pPr>
    </w:p>
    <w:p>
      <w:pPr>
        <w:ind w:right="20" w:firstLine="440"/>
        <w:spacing w:after="0" w:line="234" w:lineRule="auto"/>
        <w:rPr>
          <w:sz w:val="20"/>
          <w:szCs w:val="20"/>
          <w:color w:val="auto"/>
        </w:rPr>
      </w:pPr>
      <w:r>
        <w:rPr>
          <w:rFonts w:ascii="Arial" w:cs="Arial" w:eastAsia="Arial" w:hAnsi="Arial"/>
          <w:sz w:val="17"/>
          <w:szCs w:val="17"/>
          <w:color w:val="auto"/>
        </w:rPr>
        <w:t>Instrument revenue increased $8.2 million, or 106%, to $15.9 million for the three months ended September 30, 2021, as compared to the three months ended September 30, 2020, primarily due to an increase in the instruments sold. During the three months ended September 30, 2021, we placed 44 Sequel II and Sequel IIe systems compared to the 20 systems placed in the three months ended September 30, 2020. Consumables revenue increased $6.6 million, or 82%, to $14.6 million for the three months ended September 30, 2021, as compared to the three months ended September 30, 2020. The increase in our consumables revenue is primarily attributable to the growth in the instrument installed base. Instrument and consumables revenues were adversely impacted by customer site closures and lower utilization of the installed base of instruments due to the impact of the COVID-19 pandemic during the three months ended September 30,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60" w:firstLine="440"/>
        <w:spacing w:after="0" w:line="246" w:lineRule="auto"/>
        <w:rPr>
          <w:sz w:val="20"/>
          <w:szCs w:val="20"/>
          <w:color w:val="auto"/>
        </w:rPr>
      </w:pPr>
      <w:r>
        <w:rPr>
          <w:rFonts w:ascii="Arial" w:cs="Arial" w:eastAsia="Arial" w:hAnsi="Arial"/>
          <w:sz w:val="18"/>
          <w:szCs w:val="18"/>
          <w:color w:val="auto"/>
        </w:rPr>
        <w:t>Service and other revenue increased $1.1 million, or 32%, to $4.4 million for the three months ended September 30, 2021, primarily due to higher product maintenance agreements sold on the growing installed base.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gross profit and gross margin</w:t>
      </w:r>
    </w:p>
    <w:p>
      <w:pPr>
        <w:spacing w:after="0" w:line="63" w:lineRule="exact"/>
        <w:rPr>
          <w:sz w:val="20"/>
          <w:szCs w:val="20"/>
          <w:color w:val="auto"/>
        </w:rPr>
      </w:pPr>
    </w:p>
    <w:p>
      <w:pPr>
        <w:ind w:right="500" w:firstLine="440"/>
        <w:spacing w:after="0" w:line="274" w:lineRule="auto"/>
        <w:rPr>
          <w:sz w:val="20"/>
          <w:szCs w:val="20"/>
          <w:color w:val="auto"/>
        </w:rPr>
      </w:pPr>
      <w:r>
        <w:rPr>
          <w:rFonts w:ascii="Arial" w:cs="Arial" w:eastAsia="Arial" w:hAnsi="Arial"/>
          <w:sz w:val="17"/>
          <w:szCs w:val="17"/>
          <w:color w:val="auto"/>
        </w:rPr>
        <w:t>Cost of product revenue increased by $6.3 million, or 68%, to $15.5 million for the three months ended September 30, 2021, compared to $9.2 million for the three months ended September 30, 2020. The increase in cost of product revenue was primarily due to higher sales.</w:t>
      </w:r>
    </w:p>
    <w:p>
      <w:pPr>
        <w:spacing w:after="0" w:line="1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Cost of service and other revenue increased by $1.1 million, or 39%, to $3.9 million compared to $2.8 million for the three months ended September 30, 2020, primarily due to higher service volumes from our growing installed base and increased stock-based compensation expense.</w:t>
      </w:r>
    </w:p>
    <w:p>
      <w:pPr>
        <w:spacing w:after="0" w:line="13" w:lineRule="exact"/>
        <w:rPr>
          <w:sz w:val="20"/>
          <w:szCs w:val="20"/>
          <w:color w:val="auto"/>
        </w:rPr>
      </w:pPr>
    </w:p>
    <w:p>
      <w:pPr>
        <w:ind w:right="100" w:firstLine="440"/>
        <w:spacing w:after="0" w:line="266" w:lineRule="auto"/>
        <w:rPr>
          <w:sz w:val="20"/>
          <w:szCs w:val="20"/>
          <w:color w:val="auto"/>
        </w:rPr>
      </w:pPr>
      <w:r>
        <w:rPr>
          <w:rFonts w:ascii="Arial" w:cs="Arial" w:eastAsia="Arial" w:hAnsi="Arial"/>
          <w:sz w:val="16"/>
          <w:szCs w:val="16"/>
          <w:color w:val="auto"/>
        </w:rPr>
        <w:t>Gross profit increased $8.3 million, or 117%, to $15.4 million for the three months ended September 30, 2021, compared to the three months ended September 30, 2020. Gross margin was 44.0% for the three months ended September 30, 2021 compared to gross margin of 37.0% for the same period during 2020. The improved gross margin percentage was primarily due to higher volumes and increased factory utilization during the three months ended September 30, 2021, compared to the same period of 2020, which was adversely impacted by the impact of the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63" w:lineRule="exact"/>
        <w:rPr>
          <w:sz w:val="20"/>
          <w:szCs w:val="20"/>
          <w:color w:val="auto"/>
        </w:rPr>
      </w:pPr>
    </w:p>
    <w:p>
      <w:pPr>
        <w:ind w:right="140" w:firstLine="440"/>
        <w:spacing w:after="0" w:line="228" w:lineRule="auto"/>
        <w:rPr>
          <w:sz w:val="20"/>
          <w:szCs w:val="20"/>
          <w:color w:val="auto"/>
        </w:rPr>
      </w:pPr>
      <w:r>
        <w:rPr>
          <w:rFonts w:ascii="Arial" w:cs="Arial" w:eastAsia="Arial" w:hAnsi="Arial"/>
          <w:sz w:val="18"/>
          <w:szCs w:val="18"/>
          <w:color w:val="auto"/>
        </w:rPr>
        <w:t>Research and development expense increased by $11.0 million, or 67%, to $27.5 million for the three months ended September 30, 2021, compared to the three months ended September 30, 2020. The increase was primarily driven by an increase of $7.5 million in personnel expenses, including $3.1 million in stock-based compensation expense due to increase in headcount, and an increase of $2.2 million in product development costs compared to the same period of 2020. Research and development expense included stock-based compensation expense of $5.2 million and $2.1 million during the three months ended September 30, 2021, and 2020, respectively.</w:t>
      </w:r>
    </w:p>
    <w:p>
      <w:pPr>
        <w:spacing w:after="0" w:line="43"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We expect research and development expenses to increase significantly in 2021, due to the acquisition of Omniome and our intent to continue to hire a significant number of additional personnel in research and development. We estimate costs associated with the Invitae collaboration to total approximately $20 million for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General and Administrative Expense</w:t>
      </w:r>
    </w:p>
    <w:p>
      <w:pPr>
        <w:spacing w:after="0" w:line="63" w:lineRule="exact"/>
        <w:rPr>
          <w:sz w:val="20"/>
          <w:szCs w:val="20"/>
          <w:color w:val="auto"/>
        </w:rPr>
      </w:pPr>
    </w:p>
    <w:p>
      <w:pPr>
        <w:ind w:right="80" w:firstLine="440"/>
        <w:spacing w:after="0" w:line="256" w:lineRule="auto"/>
        <w:rPr>
          <w:sz w:val="20"/>
          <w:szCs w:val="20"/>
          <w:color w:val="auto"/>
        </w:rPr>
      </w:pPr>
      <w:r>
        <w:rPr>
          <w:rFonts w:ascii="Arial" w:cs="Arial" w:eastAsia="Arial" w:hAnsi="Arial"/>
          <w:sz w:val="16"/>
          <w:szCs w:val="16"/>
          <w:color w:val="auto"/>
        </w:rPr>
        <w:t>Sales, general and administrative expense increased by $16.8 million, or 114%, to $31.6 million for the three months ended September 30, 2021, compared to the three months ended September 30, 2020. The increase in sales, general and administrative expense was primarily attributable to a $14.8 million increase in compensation expense, including $7.7 million in stock-based compensation expense, and a $0.7 million increase in legal and other professional expenses during the three months ended September 30, 2021 compared to the three months ended September 30, 2020. The increase in compensation expense is primarily due to increase in headcount, as well as planned personnel additions as we execute on our plan to more than double our quota-carrying sales representatives during 2021. Sales, general and administrative expense included stock-based compensation expense of $9.9 million and $2.2 million during the three months ended September 30, 2021 and 2020, respectively.</w:t>
      </w:r>
    </w:p>
    <w:p>
      <w:pPr>
        <w:spacing w:after="0" w:line="57" w:lineRule="exact"/>
        <w:rPr>
          <w:sz w:val="20"/>
          <w:szCs w:val="20"/>
          <w:color w:val="auto"/>
        </w:rPr>
      </w:pPr>
    </w:p>
    <w:p>
      <w:pPr>
        <w:ind w:right="220" w:firstLine="440"/>
        <w:spacing w:after="0" w:line="253" w:lineRule="auto"/>
        <w:rPr>
          <w:sz w:val="20"/>
          <w:szCs w:val="20"/>
          <w:color w:val="auto"/>
        </w:rPr>
      </w:pPr>
      <w:r>
        <w:rPr>
          <w:rFonts w:ascii="Arial" w:cs="Arial" w:eastAsia="Arial" w:hAnsi="Arial"/>
          <w:sz w:val="17"/>
          <w:szCs w:val="17"/>
          <w:color w:val="auto"/>
        </w:rPr>
        <w:t>Sales, general and administrative expense is planned to increase significantly in 2021, as we expect to more than double our quota-carrying sales representatives, increase headcount as part of our business expansion and incur incremental costs in connection with the acquisition of Omniome. Stock-based compensation included in sales, general, and administrative expense is expected to increase significantly in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Merger-related expenses</w:t>
      </w:r>
    </w:p>
    <w:p>
      <w:pPr>
        <w:spacing w:after="0" w:line="90" w:lineRule="exact"/>
        <w:rPr>
          <w:sz w:val="20"/>
          <w:szCs w:val="20"/>
          <w:color w:val="auto"/>
        </w:rPr>
      </w:pPr>
    </w:p>
    <w:p>
      <w:pPr>
        <w:ind w:right="40" w:firstLine="492"/>
        <w:spacing w:after="0" w:line="228" w:lineRule="auto"/>
        <w:rPr>
          <w:sz w:val="20"/>
          <w:szCs w:val="20"/>
          <w:color w:val="auto"/>
        </w:rPr>
      </w:pPr>
      <w:r>
        <w:rPr>
          <w:rFonts w:ascii="Arial" w:cs="Arial" w:eastAsia="Arial" w:hAnsi="Arial"/>
          <w:sz w:val="18"/>
          <w:szCs w:val="18"/>
          <w:color w:val="auto"/>
        </w:rPr>
        <w:t>Merger-related expenses of $30.7 million during the three months ended September 30, 2021 consist of $11.8 million of transaction costs arising from the acquisitions of Omniome and Circulomics and $18.9 million of stock-based compensation expense resulting from the acceleration of certain equity awards in connection with the Omniome merger. We recognized $18.9 million of stock-based compensation expense for the acceleration that was not attributable to pre-combination services, consisting of $6.3 million that was settled in shares of our common stock, $7.4 million that was settled in cash and $5.2 million related to contingent consideration.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63" w:lineRule="exact"/>
        <w:rPr>
          <w:sz w:val="20"/>
          <w:szCs w:val="20"/>
          <w:color w:val="auto"/>
        </w:rPr>
      </w:pPr>
    </w:p>
    <w:p>
      <w:pPr>
        <w:ind w:firstLine="440"/>
        <w:spacing w:after="0" w:line="256" w:lineRule="auto"/>
        <w:rPr>
          <w:sz w:val="20"/>
          <w:szCs w:val="20"/>
          <w:color w:val="auto"/>
        </w:rPr>
      </w:pPr>
      <w:r>
        <w:rPr>
          <w:rFonts w:ascii="Arial" w:cs="Arial" w:eastAsia="Arial" w:hAnsi="Arial"/>
          <w:sz w:val="16"/>
          <w:szCs w:val="16"/>
          <w:color w:val="auto"/>
        </w:rPr>
        <w:t>Interest expense for the three months ended September 30, 2021 was $3.7 million compared to none in the same period in 2020, primarily due to $3.5 million of interest incurred on the $900 million of 1.50% Convertible Senior Notes due February 15, 2028 that we issued on February 16,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from Income Taxes</w:t>
      </w:r>
    </w:p>
    <w:p>
      <w:pPr>
        <w:spacing w:after="0" w:line="63" w:lineRule="exact"/>
        <w:rPr>
          <w:sz w:val="20"/>
          <w:szCs w:val="20"/>
          <w:color w:val="auto"/>
        </w:rPr>
      </w:pPr>
    </w:p>
    <w:p>
      <w:pPr>
        <w:ind w:firstLine="492"/>
        <w:spacing w:after="0" w:line="222" w:lineRule="auto"/>
        <w:rPr>
          <w:sz w:val="20"/>
          <w:szCs w:val="20"/>
          <w:color w:val="auto"/>
        </w:rPr>
      </w:pPr>
      <w:r>
        <w:rPr>
          <w:rFonts w:ascii="Arial" w:cs="Arial" w:eastAsia="Arial" w:hAnsi="Arial"/>
          <w:sz w:val="18"/>
          <w:szCs w:val="18"/>
          <w:color w:val="auto"/>
        </w:rPr>
        <w:t>A deferred income tax benefit of $94.8 million for the three and nine months ended September 30, 2021, is related to the release of the valuation allowance for deferred tax assets due to the recognition of deferred tax liabilities in connection with the Omniome and Circulomics acquisitions. We maintain a full valuation allowance on the net deferred tax assets of our U.S. entities as we have concluded that it is more likely than not that we will not realize our deferred tax assets. Accordingly, this benefit from income taxes is reflected on our Condensed Consolidated Statements of Operations and Comprehensive Income (Loss) for the three months ended September 30, 2021.</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1" w:right="5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months ended September 30,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4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8"/>
                <w:szCs w:val="18"/>
                <w:color w:val="auto"/>
              </w:rPr>
            </w:pP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 Change</w:t>
            </w:r>
          </w:p>
        </w:tc>
      </w:tr>
      <w:tr>
        <w:trPr>
          <w:trHeight w:val="189"/>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3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34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191"/>
        </w:trPr>
        <w:tc>
          <w:tcPr>
            <w:tcW w:w="2100" w:type="dxa"/>
            <w:vAlign w:val="bottom"/>
            <w:tcBorders>
              <w:top w:val="single" w:sz="8" w:color="auto"/>
            </w:tcBorders>
          </w:tcPr>
          <w:p>
            <w:pPr>
              <w:spacing w:after="0"/>
              <w:rPr>
                <w:sz w:val="16"/>
                <w:szCs w:val="16"/>
                <w:color w:val="auto"/>
              </w:rPr>
            </w:pPr>
          </w:p>
        </w:tc>
        <w:tc>
          <w:tcPr>
            <w:tcW w:w="246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jc w:val="right"/>
              <w:ind w:right="1268"/>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rPr>
          <w:sz w:val="20"/>
          <w:szCs w:val="20"/>
          <w:color w:val="auto"/>
        </w:rPr>
      </w:pPr>
      <w:r>
        <w:rPr>
          <w:rFonts w:ascii="Arial" w:cs="Arial" w:eastAsia="Arial" w:hAnsi="Arial"/>
          <w:sz w:val="18"/>
          <w:szCs w:val="18"/>
          <w:color w:val="auto"/>
        </w:rPr>
        <w:t>Revenue:</w:t>
      </w:r>
    </w:p>
    <w:p>
      <w:pPr>
        <w:spacing w:after="0" w:line="21" w:lineRule="exact"/>
        <w:rPr>
          <w:sz w:val="20"/>
          <w:szCs w:val="20"/>
          <w:color w:val="auto"/>
        </w:rPr>
      </w:pPr>
    </w:p>
    <w:p>
      <w:pPr>
        <w:ind w:left="440" w:right="220"/>
        <w:spacing w:after="0" w:line="250" w:lineRule="auto"/>
        <w:rPr>
          <w:sz w:val="20"/>
          <w:szCs w:val="20"/>
          <w:color w:val="auto"/>
        </w:rPr>
      </w:pPr>
      <w:r>
        <w:rPr>
          <w:rFonts w:ascii="Arial" w:cs="Arial" w:eastAsia="Arial" w:hAnsi="Arial"/>
          <w:sz w:val="18"/>
          <w:szCs w:val="18"/>
          <w:color w:val="auto"/>
        </w:rPr>
        <w:t>Product revenue $ Service and other revenue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Cost of product revenue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Cost of service and other revenue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of intangible assets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cost of revenue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Gross profit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Sales, general and administrative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Merger-related expenses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operating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Operating loss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Gain (loss) from Continuation Advances from Illumina</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net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82,338</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41,798</w:t>
            </w:r>
          </w:p>
        </w:tc>
        <w:tc>
          <w:tcPr>
            <w:tcW w:w="180" w:type="dxa"/>
            <w:vAlign w:val="bottom"/>
          </w:tcPr>
          <w:p>
            <w:pPr>
              <w:spacing w:after="0"/>
              <w:rPr>
                <w:sz w:val="19"/>
                <w:szCs w:val="19"/>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40,540</w:t>
            </w: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7"/>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12,156</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9,959</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2,197</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8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94,494</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51,757</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370"/>
              <w:spacing w:after="0" w:line="196" w:lineRule="exact"/>
              <w:rPr>
                <w:sz w:val="20"/>
                <w:szCs w:val="20"/>
                <w:color w:val="auto"/>
              </w:rPr>
            </w:pPr>
            <w:r>
              <w:rPr>
                <w:rFonts w:ascii="Arial" w:cs="Arial" w:eastAsia="Arial" w:hAnsi="Arial"/>
                <w:sz w:val="18"/>
                <w:szCs w:val="18"/>
                <w:color w:val="auto"/>
              </w:rPr>
              <w:t>42,737</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411"/>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41,449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22,874</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18,575</w:t>
            </w: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7,718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3,110</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7"/>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123</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96"/>
        </w:trPr>
        <w:tc>
          <w:tcPr>
            <w:tcW w:w="8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52,400</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30,592</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370"/>
              <w:spacing w:after="0" w:line="196" w:lineRule="exact"/>
              <w:rPr>
                <w:sz w:val="20"/>
                <w:szCs w:val="20"/>
                <w:color w:val="auto"/>
              </w:rPr>
            </w:pPr>
            <w:r>
              <w:rPr>
                <w:rFonts w:ascii="Arial" w:cs="Arial" w:eastAsia="Arial" w:hAnsi="Arial"/>
                <w:sz w:val="18"/>
                <w:szCs w:val="18"/>
                <w:color w:val="auto"/>
              </w:rPr>
              <w:t>21,808</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8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42,094</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21,165</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370"/>
              <w:spacing w:after="0" w:line="196" w:lineRule="exact"/>
              <w:rPr>
                <w:sz w:val="20"/>
                <w:szCs w:val="20"/>
                <w:color w:val="auto"/>
              </w:rPr>
            </w:pPr>
            <w:r>
              <w:rPr>
                <w:rFonts w:ascii="Arial" w:cs="Arial" w:eastAsia="Arial" w:hAnsi="Arial"/>
                <w:sz w:val="18"/>
                <w:szCs w:val="18"/>
                <w:color w:val="auto"/>
              </w:rPr>
              <w:t>20,929</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411"/>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70,323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46,727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23,596</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86,804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54,846</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31,958</w:t>
            </w: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7"/>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30,726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30,726</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96"/>
        </w:trPr>
        <w:tc>
          <w:tcPr>
            <w:tcW w:w="80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5"/>
              </w:rPr>
              <w:t>187,853</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101,573</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370"/>
              <w:spacing w:after="0" w:line="196" w:lineRule="exact"/>
              <w:rPr>
                <w:sz w:val="20"/>
                <w:szCs w:val="20"/>
                <w:color w:val="auto"/>
              </w:rPr>
            </w:pPr>
            <w:r>
              <w:rPr>
                <w:rFonts w:ascii="Arial" w:cs="Arial" w:eastAsia="Arial" w:hAnsi="Arial"/>
                <w:sz w:val="18"/>
                <w:szCs w:val="18"/>
                <w:color w:val="auto"/>
              </w:rPr>
              <w:t>86,280</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411"/>
        </w:trPr>
        <w:tc>
          <w:tcPr>
            <w:tcW w:w="800" w:type="dxa"/>
            <w:vAlign w:val="bottom"/>
          </w:tcPr>
          <w:p>
            <w:pPr>
              <w:jc w:val="right"/>
              <w:ind w:right="10"/>
              <w:spacing w:after="0"/>
              <w:rPr>
                <w:sz w:val="20"/>
                <w:szCs w:val="20"/>
                <w:color w:val="auto"/>
              </w:rPr>
            </w:pPr>
            <w:r>
              <w:rPr>
                <w:rFonts w:ascii="Arial" w:cs="Arial" w:eastAsia="Arial" w:hAnsi="Arial"/>
                <w:sz w:val="18"/>
                <w:szCs w:val="18"/>
                <w:color w:val="auto"/>
                <w:w w:val="88"/>
              </w:rPr>
              <w:t>(145,759)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(80,408)</w:t>
            </w:r>
          </w:p>
        </w:tc>
        <w:tc>
          <w:tcPr>
            <w:tcW w:w="540" w:type="dxa"/>
            <w:vAlign w:val="bottom"/>
          </w:tcPr>
          <w:p>
            <w:pPr>
              <w:spacing w:after="0"/>
              <w:rPr>
                <w:sz w:val="24"/>
                <w:szCs w:val="24"/>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(65,351)</w:t>
            </w: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00" w:type="dxa"/>
            <w:vAlign w:val="bottom"/>
          </w:tcPr>
          <w:p>
            <w:pPr>
              <w:jc w:val="right"/>
              <w:ind w:right="10"/>
              <w:spacing w:after="0"/>
              <w:rPr>
                <w:sz w:val="20"/>
                <w:szCs w:val="20"/>
                <w:color w:val="auto"/>
              </w:rPr>
            </w:pPr>
            <w:r>
              <w:rPr>
                <w:rFonts w:ascii="Arial" w:cs="Arial" w:eastAsia="Arial" w:hAnsi="Arial"/>
                <w:sz w:val="18"/>
                <w:szCs w:val="18"/>
                <w:color w:val="auto"/>
              </w:rPr>
              <w:t>(52,000)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(86,000)</w:t>
            </w:r>
          </w:p>
        </w:tc>
        <w:tc>
          <w:tcPr>
            <w:tcW w:w="10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800" w:type="dxa"/>
            <w:vAlign w:val="bottom"/>
          </w:tcPr>
          <w:p>
            <w:pPr>
              <w:jc w:val="right"/>
              <w:ind w:right="10"/>
              <w:spacing w:after="0"/>
              <w:rPr>
                <w:sz w:val="20"/>
                <w:szCs w:val="20"/>
                <w:color w:val="auto"/>
              </w:rPr>
            </w:pPr>
            <w:r>
              <w:rPr>
                <w:rFonts w:ascii="Arial" w:cs="Arial" w:eastAsia="Arial" w:hAnsi="Arial"/>
                <w:sz w:val="18"/>
                <w:szCs w:val="18"/>
                <w:color w:val="auto"/>
              </w:rPr>
              <w:t>(9,051)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54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(8,784)</w:t>
            </w:r>
          </w:p>
        </w:tc>
        <w:tc>
          <w:tcPr>
            <w:tcW w:w="1040" w:type="dxa"/>
            <w:vAlign w:val="bottom"/>
          </w:tcPr>
          <w:p>
            <w:pPr>
              <w:jc w:val="right"/>
              <w:spacing w:after="0"/>
              <w:rPr>
                <w:sz w:val="20"/>
                <w:szCs w:val="20"/>
                <w:color w:val="auto"/>
              </w:rPr>
            </w:pPr>
            <w:r>
              <w:rPr>
                <w:rFonts w:ascii="Arial" w:cs="Arial" w:eastAsia="Arial" w:hAnsi="Arial"/>
                <w:sz w:val="18"/>
                <w:szCs w:val="18"/>
                <w:color w:val="auto"/>
              </w:rPr>
              <w:t>(3290%)</w:t>
            </w:r>
          </w:p>
        </w:tc>
      </w:tr>
      <w:tr>
        <w:trPr>
          <w:trHeight w:val="217"/>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1,143</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(1,051)</w:t>
            </w: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-2605405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-2056765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-1782445</wp:posOffset>
            </wp:positionV>
            <wp:extent cx="7132320" cy="1783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-2331085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60" w:space="720"/>
            <w:col w:w="566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720" w:type="dxa"/>
            <w:vAlign w:val="bottom"/>
            <w:vMerge w:val="restart"/>
          </w:tcPr>
          <w:p>
            <w:pPr>
              <w:ind w:left="120"/>
              <w:spacing w:after="0"/>
              <w:rPr>
                <w:sz w:val="20"/>
                <w:szCs w:val="20"/>
                <w:color w:val="auto"/>
              </w:rPr>
            </w:pPr>
            <w:r>
              <w:rPr>
                <w:rFonts w:ascii="Arial" w:cs="Arial" w:eastAsia="Arial" w:hAnsi="Arial"/>
                <w:sz w:val="18"/>
                <w:szCs w:val="18"/>
                <w:color w:val="auto"/>
              </w:rPr>
              <w:t>Loss before benefit from income taxes</w:t>
            </w:r>
          </w:p>
        </w:tc>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(206,718)</w:t>
            </w: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(45,532)</w:t>
            </w:r>
          </w:p>
        </w:tc>
        <w:tc>
          <w:tcPr>
            <w:tcW w:w="680" w:type="dxa"/>
            <w:vAlign w:val="bottom"/>
            <w:vMerge w:val="continue"/>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(161,186)</w:t>
            </w:r>
          </w:p>
        </w:tc>
        <w:tc>
          <w:tcPr>
            <w:tcW w:w="98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Benefit from income taxes</w:t>
            </w:r>
          </w:p>
        </w:tc>
        <w:tc>
          <w:tcPr>
            <w:tcW w:w="8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720" w:type="dxa"/>
            <w:vAlign w:val="bottom"/>
            <w:vMerge w:val="continue"/>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(94,824)</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(94,824)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120"/>
              <w:spacing w:after="0"/>
              <w:rPr>
                <w:sz w:val="20"/>
                <w:szCs w:val="20"/>
                <w:color w:val="auto"/>
              </w:rPr>
            </w:pPr>
            <w:r>
              <w:rPr>
                <w:rFonts w:ascii="Arial" w:cs="Arial" w:eastAsia="Arial" w:hAnsi="Arial"/>
                <w:sz w:val="18"/>
                <w:szCs w:val="18"/>
                <w:color w:val="auto"/>
              </w:rPr>
              <w:t>Net loss</w:t>
            </w:r>
          </w:p>
        </w:tc>
        <w:tc>
          <w:tcPr>
            <w:tcW w:w="8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(111,894)</w:t>
            </w:r>
          </w:p>
        </w:tc>
        <w:tc>
          <w:tcPr>
            <w:tcW w:w="580" w:type="dxa"/>
            <w:vAlign w:val="bottom"/>
          </w:tcPr>
          <w:p>
            <w:pPr>
              <w:jc w:val="right"/>
              <w:ind w:right="46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(45,532)</w:t>
            </w:r>
          </w:p>
        </w:tc>
        <w:tc>
          <w:tcPr>
            <w:tcW w:w="680" w:type="dxa"/>
            <w:vAlign w:val="bottom"/>
            <w:vMerge w:val="continue"/>
          </w:tcPr>
          <w:p>
            <w:pPr>
              <w:spacing w:after="0"/>
              <w:rPr>
                <w:sz w:val="21"/>
                <w:szCs w:val="21"/>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(66,362)</w:t>
            </w: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63" w:lineRule="exact"/>
        <w:rPr>
          <w:sz w:val="20"/>
          <w:szCs w:val="20"/>
          <w:color w:val="auto"/>
        </w:rPr>
      </w:pPr>
    </w:p>
    <w:p>
      <w:pPr>
        <w:ind w:right="80" w:firstLine="440"/>
        <w:spacing w:after="0" w:line="246" w:lineRule="auto"/>
        <w:rPr>
          <w:sz w:val="20"/>
          <w:szCs w:val="20"/>
          <w:color w:val="auto"/>
        </w:rPr>
      </w:pPr>
      <w:r>
        <w:rPr>
          <w:rFonts w:ascii="Arial" w:cs="Arial" w:eastAsia="Arial" w:hAnsi="Arial"/>
          <w:sz w:val="18"/>
          <w:szCs w:val="18"/>
          <w:color w:val="auto"/>
        </w:rPr>
        <w:t>Revenue increased $42.7 million, or 83%, to $94.5 million for the nine months ended September 30, 2021, as compared to $51.8 million for the nine months ended 2020, driven primarily by an increase in instrument and consumable revenue.</w:t>
      </w:r>
    </w:p>
    <w:p>
      <w:pPr>
        <w:spacing w:after="0" w:line="35" w:lineRule="exact"/>
        <w:rPr>
          <w:sz w:val="20"/>
          <w:szCs w:val="20"/>
          <w:color w:val="auto"/>
        </w:rPr>
      </w:pPr>
    </w:p>
    <w:p>
      <w:pPr>
        <w:ind w:right="80" w:firstLine="440"/>
        <w:spacing w:after="0" w:line="256" w:lineRule="auto"/>
        <w:rPr>
          <w:sz w:val="20"/>
          <w:szCs w:val="20"/>
          <w:color w:val="auto"/>
        </w:rPr>
      </w:pPr>
      <w:r>
        <w:rPr>
          <w:rFonts w:ascii="Arial" w:cs="Arial" w:eastAsia="Arial" w:hAnsi="Arial"/>
          <w:sz w:val="16"/>
          <w:szCs w:val="16"/>
          <w:color w:val="auto"/>
        </w:rPr>
        <w:t>Instrument revenue increased $24.5 million, or 118%, to $45.1 million for the nine months ended September 30, 2021 as compared to the nine months ended September 30, 2020, due primarily to an increase in the instruments sold. During the nine months ended September 30, 2021 we placed 123 Sequel II/IIe systems compared to 54 for the nine months ended September 30, 2020. We expect the number of Sequel II/IIe placements to continue to grow during the remainder of 2021, reflecting our increased commercial presence and customer demand. Consumables revenue increased $16.1 million, or 76%, to $37.2 million for the nine months ended September 30, 2021, as compared to the nine months ended September 30, 2020. The increase in consumable sales was primarily attributable to higher Sequel II/IIe consumables sales as the installed base of Sequel II/IIe systems has grown, as well as lower utilization of the installed base of instruments due to the impact of the COVID-19 pandemic during the nine months ended September 30, 2020.</w:t>
      </w:r>
    </w:p>
    <w:p>
      <w:pPr>
        <w:spacing w:after="0" w:line="30" w:lineRule="exact"/>
        <w:rPr>
          <w:sz w:val="20"/>
          <w:szCs w:val="20"/>
          <w:color w:val="auto"/>
        </w:rPr>
      </w:pPr>
    </w:p>
    <w:p>
      <w:pPr>
        <w:ind w:right="120" w:firstLine="440"/>
        <w:spacing w:after="0" w:line="246" w:lineRule="auto"/>
        <w:rPr>
          <w:sz w:val="20"/>
          <w:szCs w:val="20"/>
          <w:color w:val="auto"/>
        </w:rPr>
      </w:pPr>
      <w:r>
        <w:rPr>
          <w:rFonts w:ascii="Arial" w:cs="Arial" w:eastAsia="Arial" w:hAnsi="Arial"/>
          <w:sz w:val="18"/>
          <w:szCs w:val="18"/>
          <w:color w:val="auto"/>
        </w:rPr>
        <w:t>Service and other revenue increased $2.2 million, or 22%, to $12.2 million for the nine months ended September 30, 2021, due primarily to a higher number of product maintenance agreements sold on our growing installed base.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gross profit, and gross margin</w:t>
      </w:r>
    </w:p>
    <w:p>
      <w:pPr>
        <w:spacing w:after="0" w:line="63" w:lineRule="exact"/>
        <w:rPr>
          <w:sz w:val="20"/>
          <w:szCs w:val="20"/>
          <w:color w:val="auto"/>
        </w:rPr>
      </w:pPr>
    </w:p>
    <w:p>
      <w:pPr>
        <w:ind w:right="40" w:firstLine="440"/>
        <w:spacing w:after="0" w:line="246" w:lineRule="auto"/>
        <w:rPr>
          <w:sz w:val="20"/>
          <w:szCs w:val="20"/>
          <w:color w:val="auto"/>
        </w:rPr>
      </w:pPr>
      <w:r>
        <w:rPr>
          <w:rFonts w:ascii="Arial" w:cs="Arial" w:eastAsia="Arial" w:hAnsi="Arial"/>
          <w:sz w:val="18"/>
          <w:szCs w:val="18"/>
          <w:color w:val="auto"/>
        </w:rPr>
        <w:t>Cost of product revenue increased $18.6 million, or 81%, to $41.4 million for the nine months ended September 30, 2021, compared to $22.9 million for the nine months ended September 30, 2021. The increase in cost of product revenue was primarily due to higher sales.</w:t>
      </w:r>
    </w:p>
    <w:p>
      <w:pPr>
        <w:spacing w:after="0" w:line="35" w:lineRule="exact"/>
        <w:rPr>
          <w:sz w:val="20"/>
          <w:szCs w:val="20"/>
          <w:color w:val="auto"/>
        </w:rPr>
      </w:pPr>
    </w:p>
    <w:p>
      <w:pPr>
        <w:ind w:right="100" w:firstLine="440"/>
        <w:spacing w:after="0" w:line="225" w:lineRule="auto"/>
        <w:rPr>
          <w:sz w:val="20"/>
          <w:szCs w:val="20"/>
          <w:color w:val="auto"/>
        </w:rPr>
      </w:pPr>
      <w:r>
        <w:rPr>
          <w:rFonts w:ascii="Arial" w:cs="Arial" w:eastAsia="Arial" w:hAnsi="Arial"/>
          <w:sz w:val="18"/>
          <w:szCs w:val="18"/>
          <w:color w:val="auto"/>
        </w:rPr>
        <w:t>Cost of service and other revenue increased $3.1 million, or 40%, to $10.8 million for the nine-months ended September 30, 2021, compared to $7.7 million for the nine months ended September 30, 2020, due primarily to higher service volumes due to the growing installed base and increased stock-based compensation expense.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00" w:firstLine="440"/>
        <w:spacing w:after="0" w:line="228" w:lineRule="auto"/>
        <w:rPr>
          <w:sz w:val="20"/>
          <w:szCs w:val="20"/>
          <w:color w:val="auto"/>
        </w:rPr>
      </w:pPr>
      <w:r>
        <w:rPr>
          <w:rFonts w:ascii="Arial" w:cs="Arial" w:eastAsia="Arial" w:hAnsi="Arial"/>
          <w:sz w:val="18"/>
          <w:szCs w:val="18"/>
          <w:color w:val="auto"/>
        </w:rPr>
        <w:t>Gross profit increased $20.9 million, or 99%, to $42.1 million for the nine-month period ended September 30, 2021 compared to the nine months ended September 30, 2020. Gross margin was 44.5%, for the nine months ended September 30, 2021, compared to gross margin of 40.9% for the nine months ended September 30, 2020. The improved gross margin percentage was primarily due to higher sales volumes and increased factory utilization during the nine months ended September 30, 2021, compared to the same period of 2020, which was adversely impacted by the impact of the COVID-19 pandemic.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63"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Research and development expense increased by $23.6 million, or 50%, to $70.3 million for the nine months ended September 30, 2021, compared to the nine months ended September 30, 2020. The increase in research and development expense was primarily driven by an increase of $14.8 million in personnel expenses, including $7.2 million in stock-based compensation expense, and an increase of $6.1 million in product development costs compared to the same period of 2020. Research and development expense included stock-based compensation expense of $12.5 million and $5.3 million during the nine months ended September 30, 2021 and 2020, respectively.</w:t>
      </w:r>
    </w:p>
    <w:p>
      <w:pPr>
        <w:spacing w:after="0" w:line="43" w:lineRule="exact"/>
        <w:rPr>
          <w:sz w:val="20"/>
          <w:szCs w:val="20"/>
          <w:color w:val="auto"/>
        </w:rPr>
      </w:pPr>
    </w:p>
    <w:p>
      <w:pPr>
        <w:ind w:right="20" w:firstLine="440"/>
        <w:spacing w:after="0" w:line="235" w:lineRule="auto"/>
        <w:rPr>
          <w:sz w:val="20"/>
          <w:szCs w:val="20"/>
          <w:color w:val="auto"/>
        </w:rPr>
      </w:pPr>
      <w:r>
        <w:rPr>
          <w:rFonts w:ascii="Arial" w:cs="Arial" w:eastAsia="Arial" w:hAnsi="Arial"/>
          <w:sz w:val="18"/>
          <w:szCs w:val="18"/>
          <w:color w:val="auto"/>
        </w:rPr>
        <w:t>We expect research and development expenses to continue to grow in 2021, due to the acquisition of Omniome and our intent to hire a significant number of additional personnel in research and development. We estimate costs associated with the Invitae collaboration to total approximately $20 million for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General and Administrative Expense</w:t>
      </w:r>
    </w:p>
    <w:p>
      <w:pPr>
        <w:spacing w:after="0" w:line="77" w:lineRule="exact"/>
        <w:rPr>
          <w:sz w:val="20"/>
          <w:szCs w:val="20"/>
          <w:color w:val="auto"/>
        </w:rPr>
      </w:pPr>
    </w:p>
    <w:p>
      <w:pPr>
        <w:ind w:right="40" w:firstLine="440"/>
        <w:spacing w:after="0" w:line="272" w:lineRule="auto"/>
        <w:rPr>
          <w:sz w:val="20"/>
          <w:szCs w:val="20"/>
          <w:color w:val="auto"/>
        </w:rPr>
      </w:pPr>
      <w:r>
        <w:rPr>
          <w:rFonts w:ascii="Arial" w:cs="Arial" w:eastAsia="Arial" w:hAnsi="Arial"/>
          <w:sz w:val="16"/>
          <w:szCs w:val="16"/>
          <w:color w:val="auto"/>
        </w:rPr>
        <w:t>Sales, general and administrative expense increased by $32.0 million, or 58%, to $86.8 million for the nine months ended September 30, 2021, compared to the nine months ended September 30, 2020. The increase in sales, general and administrative expense was primarily attributable to an increase of $38.4 million in compensation expense, including $20.3 million in stock-based compensation expense, partially offset by a $6.0 million financial advisory fee during the nine months ended September 30, 2020 related to the terminated merger with Illumina. The increase in compensation expense is primarily attributable to executive hiring related to senior management transitions during the second half of 2020 and first half of 2021, as well as planned personnel additions as we execute on our plan to more than double our quota-carrying sales representatives during 2021. During the nine months ended September 30, 2021, we added 22 quota-carrying sales representatives, bringing our total to 44. Sales, general and administrative expense included stock-based compensation expense of $25.6 million and $5.2 million during the nine-month periods ended September 30, 2021 and 2020, respectively.</w:t>
      </w:r>
    </w:p>
    <w:p>
      <w:pPr>
        <w:spacing w:after="0" w:line="19" w:lineRule="exact"/>
        <w:rPr>
          <w:sz w:val="20"/>
          <w:szCs w:val="20"/>
          <w:color w:val="auto"/>
        </w:rPr>
      </w:pPr>
    </w:p>
    <w:p>
      <w:pPr>
        <w:ind w:right="380" w:firstLine="440"/>
        <w:spacing w:after="0" w:line="307" w:lineRule="auto"/>
        <w:rPr>
          <w:sz w:val="20"/>
          <w:szCs w:val="20"/>
          <w:color w:val="auto"/>
        </w:rPr>
      </w:pPr>
      <w:r>
        <w:rPr>
          <w:rFonts w:ascii="Arial" w:cs="Arial" w:eastAsia="Arial" w:hAnsi="Arial"/>
          <w:sz w:val="16"/>
          <w:szCs w:val="16"/>
          <w:color w:val="auto"/>
        </w:rPr>
        <w:t>Sales, general and administrative expense is planned to increase significantly in 2021, as we expect to more than double our quota-carrying sales representatives, increase headcount as part of our business expansion and incur incremental costs in connection with the acquisition of Omniome.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Merger-related expenses</w:t>
      </w:r>
    </w:p>
    <w:p>
      <w:pPr>
        <w:spacing w:after="0" w:line="90" w:lineRule="exact"/>
        <w:rPr>
          <w:sz w:val="20"/>
          <w:szCs w:val="20"/>
          <w:color w:val="auto"/>
        </w:rPr>
      </w:pPr>
    </w:p>
    <w:p>
      <w:pPr>
        <w:ind w:right="120" w:firstLine="492"/>
        <w:spacing w:after="0" w:line="266" w:lineRule="auto"/>
        <w:rPr>
          <w:sz w:val="20"/>
          <w:szCs w:val="20"/>
          <w:color w:val="auto"/>
        </w:rPr>
      </w:pPr>
      <w:r>
        <w:rPr>
          <w:rFonts w:ascii="Arial" w:cs="Arial" w:eastAsia="Arial" w:hAnsi="Arial"/>
          <w:sz w:val="16"/>
          <w:szCs w:val="16"/>
          <w:color w:val="auto"/>
        </w:rPr>
        <w:t>Merger-related expenses of $30.7 million during the nine months ended September 30, 2021 consist of $11.8 million of transaction costs arising from the acquisitions of Omniome and Circulomics and $18.9 million of stock-based compensation expense resulting from the acquisition of Omniome. We recognized $18.9 million of stock-based compensation expense for the acceleration that was not attributable to pre-combination services, consisting of $6.3 million that was settled in shares of our common stock, $7.4 million that was settled in cash and $5.2 million related to contingent consideration.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from Continuation Advances from Illumina</w:t>
      </w:r>
    </w:p>
    <w:p>
      <w:pPr>
        <w:spacing w:after="0" w:line="63" w:lineRule="exact"/>
        <w:rPr>
          <w:sz w:val="20"/>
          <w:szCs w:val="20"/>
          <w:color w:val="auto"/>
        </w:rPr>
      </w:pPr>
    </w:p>
    <w:p>
      <w:pPr>
        <w:ind w:right="40" w:firstLine="492"/>
        <w:spacing w:after="0" w:line="235" w:lineRule="auto"/>
        <w:rPr>
          <w:sz w:val="20"/>
          <w:szCs w:val="20"/>
          <w:color w:val="auto"/>
        </w:rPr>
      </w:pPr>
      <w:r>
        <w:rPr>
          <w:rFonts w:ascii="Arial" w:cs="Arial" w:eastAsia="Arial" w:hAnsi="Arial"/>
          <w:sz w:val="18"/>
          <w:szCs w:val="18"/>
          <w:color w:val="auto"/>
        </w:rPr>
        <w:t>As part of the Termination Agreement, Illumina paid us Continuation Advances of $18.0 million during the fourth quarter of 2019 and $34.0 million during the first quarter of 2020. We recorded the $34.0 million as part of other income in the Condensed Consolidated Statements of Operations and Comprehensive Income (Loss) for the nine months ended September 30, 2020.</w:t>
      </w:r>
    </w:p>
    <w:p>
      <w:pPr>
        <w:spacing w:after="0" w:line="40" w:lineRule="exact"/>
        <w:rPr>
          <w:sz w:val="20"/>
          <w:szCs w:val="20"/>
          <w:color w:val="auto"/>
        </w:rPr>
      </w:pPr>
    </w:p>
    <w:p>
      <w:pPr>
        <w:ind w:right="60" w:firstLine="492"/>
        <w:spacing w:after="0" w:line="235" w:lineRule="auto"/>
        <w:rPr>
          <w:sz w:val="20"/>
          <w:szCs w:val="20"/>
          <w:color w:val="auto"/>
        </w:rPr>
      </w:pPr>
      <w:r>
        <w:rPr>
          <w:rFonts w:ascii="Arial" w:cs="Arial" w:eastAsia="Arial" w:hAnsi="Arial"/>
          <w:sz w:val="18"/>
          <w:szCs w:val="18"/>
          <w:color w:val="auto"/>
        </w:rPr>
        <w:t>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40" w:lineRule="exact"/>
        <w:rPr>
          <w:sz w:val="20"/>
          <w:szCs w:val="20"/>
          <w:color w:val="auto"/>
        </w:rPr>
      </w:pPr>
    </w:p>
    <w:p>
      <w:pPr>
        <w:ind w:right="120" w:firstLine="492"/>
        <w:spacing w:after="0" w:line="225" w:lineRule="auto"/>
        <w:rPr>
          <w:sz w:val="20"/>
          <w:szCs w:val="20"/>
          <w:color w:val="auto"/>
        </w:rPr>
      </w:pPr>
      <w:r>
        <w:rPr>
          <w:rFonts w:ascii="Arial" w:cs="Arial" w:eastAsia="Arial" w:hAnsi="Arial"/>
          <w:sz w:val="18"/>
          <w:szCs w:val="18"/>
          <w:color w:val="auto"/>
        </w:rPr>
        <w:t>Resulting from the issuance and sale of $900 million of 1.50% Convertible Senior Notes due February 15, 2028, $52.0 million of Continuation Advances were paid without interest to Illumina in February 2021 and recorded as other expense in the Condensed Consolidated Statements of Operations and Comprehensive Income (Loss) for the nine months ended September 30,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77" w:lineRule="exact"/>
        <w:rPr>
          <w:sz w:val="20"/>
          <w:szCs w:val="20"/>
          <w:color w:val="auto"/>
        </w:rPr>
      </w:pPr>
    </w:p>
    <w:p>
      <w:pPr>
        <w:ind w:right="340" w:firstLine="440"/>
        <w:spacing w:after="0" w:line="291" w:lineRule="auto"/>
        <w:rPr>
          <w:sz w:val="20"/>
          <w:szCs w:val="20"/>
          <w:color w:val="auto"/>
        </w:rPr>
      </w:pPr>
      <w:r>
        <w:rPr>
          <w:rFonts w:ascii="Arial" w:cs="Arial" w:eastAsia="Arial" w:hAnsi="Arial"/>
          <w:sz w:val="17"/>
          <w:szCs w:val="17"/>
          <w:color w:val="auto"/>
        </w:rPr>
        <w:t>Interest expense for the nine months ended September 30, 2021, increased by $8.8 million compared to the same period in 2020, primarily due to $8.8 million of interest incurred on the $900 million of 1.50% Convertible Senior Notes that were issued February 16,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from Income Taxes</w:t>
      </w:r>
    </w:p>
    <w:p>
      <w:pPr>
        <w:spacing w:after="0" w:line="225" w:lineRule="exact"/>
        <w:rPr>
          <w:sz w:val="20"/>
          <w:szCs w:val="20"/>
          <w:color w:val="auto"/>
        </w:rPr>
      </w:pPr>
    </w:p>
    <w:p>
      <w:pPr>
        <w:ind w:right="240" w:firstLine="492"/>
        <w:spacing w:after="0" w:line="228" w:lineRule="auto"/>
        <w:rPr>
          <w:sz w:val="20"/>
          <w:szCs w:val="20"/>
          <w:color w:val="auto"/>
        </w:rPr>
      </w:pPr>
      <w:r>
        <w:rPr>
          <w:rFonts w:ascii="Arial" w:cs="Arial" w:eastAsia="Arial" w:hAnsi="Arial"/>
          <w:sz w:val="18"/>
          <w:szCs w:val="18"/>
          <w:color w:val="auto"/>
        </w:rPr>
        <w:t>A deferred income tax benefit of $94.8 million for the three and nine months ended September 30, 2021, is related to the release of the valuation allowance for deferred tax assets due to the recognition of deferred tax liabilities in connection with the Omniome and Circulomics acquisitions. We maintain a full valuation allowance on the net deferred tax assets of our U.S. entities as we have concluded that it is more likely than not that we will not realize our deferred tax assets. Accordingly, this benefit from income taxes is reflected on our Condensed Consolidated Statements of Operations and Comprehensive Income (Loss)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63" w:lineRule="exact"/>
        <w:rPr>
          <w:sz w:val="20"/>
          <w:szCs w:val="20"/>
          <w:color w:val="auto"/>
        </w:rPr>
      </w:pPr>
    </w:p>
    <w:p>
      <w:pPr>
        <w:ind w:right="80" w:firstLine="570"/>
        <w:spacing w:after="0" w:line="237" w:lineRule="auto"/>
        <w:rPr>
          <w:sz w:val="20"/>
          <w:szCs w:val="20"/>
          <w:color w:val="auto"/>
        </w:rPr>
      </w:pPr>
      <w:r>
        <w:rPr>
          <w:rFonts w:ascii="Arial" w:cs="Arial" w:eastAsia="Arial" w:hAnsi="Arial"/>
          <w:sz w:val="17"/>
          <w:szCs w:val="17"/>
          <w:color w:val="auto"/>
        </w:rPr>
        <w:t>As of September 30, 2021, we had $1.08 billion in cash, cash equivalents and investments, compared to $318.8 million at December 31, 2020. The increase was attributable to the net proceeds from our issuance of $900 million of 1.50% Convertible Senior Notes on February 16, 2021 and $300 million of common stock in a private placement. This increase was partially offset by the payment of $319.8 million, net of cash acquired, in the acquisitions of Omniome and Circulomics in the third quarter of 2021 and repayment of $52 million of Continuation Advances to Illumina in the first quarter of 2021. We have historically incurred, and expect to continue to incur, operating losses and generate negative cash flows from operations on an annual basis due to the investments we intend to make as described in “—Results of Operations” above, and as a result, we may require additional capital resources to execute on our strategic initiatives to grow our business. We believe that our existing cash, cash equivalents and investments will be sufficient to fund our projected operating requirements for at least the next 12 months from the date of filing of this Quarterly Report on Form 10-Q for the quarter ended September 30, 2021.</w:t>
      </w:r>
    </w:p>
    <w:p>
      <w:pPr>
        <w:spacing w:after="0" w:line="58" w:lineRule="exact"/>
        <w:rPr>
          <w:sz w:val="20"/>
          <w:szCs w:val="20"/>
          <w:color w:val="auto"/>
        </w:rPr>
      </w:pPr>
    </w:p>
    <w:p>
      <w:pPr>
        <w:ind w:firstLine="570"/>
        <w:spacing w:after="0"/>
        <w:rPr>
          <w:sz w:val="20"/>
          <w:szCs w:val="20"/>
          <w:color w:val="auto"/>
        </w:rPr>
      </w:pPr>
      <w:r>
        <w:rPr>
          <w:rFonts w:ascii="Arial" w:cs="Arial" w:eastAsia="Arial" w:hAnsi="Arial"/>
          <w:sz w:val="18"/>
          <w:szCs w:val="18"/>
          <w:color w:val="auto"/>
        </w:rPr>
        <w:t>Factors that may affect our capital needs include, but are not limited to, the pace of adoption of our products, which affects the sales of our products and services; our ability to obtain new collaboration and customer arrangements; the progress of our research and development programs; initiation or expansion of research programs and collaborations; the purchase of patent licenses; future acquisitions; manufacturing costs; service costs; the impact of product quality; litigation costs, including the costs involved in preparing, filing, prosecuting, defending and enforcing intellectual property rights; costs of developing new and enhanced products; acquisitions of complementary businesses, technologies or assets; and other factors. There can be no assurance that funds will be available on favorable terms, or at all.</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63" w:lineRule="exact"/>
        <w:rPr>
          <w:sz w:val="20"/>
          <w:szCs w:val="20"/>
          <w:color w:val="auto"/>
        </w:rPr>
      </w:pPr>
    </w:p>
    <w:p>
      <w:pPr>
        <w:ind w:right="140" w:firstLine="492"/>
        <w:spacing w:after="0" w:line="246" w:lineRule="auto"/>
        <w:rPr>
          <w:sz w:val="20"/>
          <w:szCs w:val="20"/>
          <w:color w:val="auto"/>
        </w:rPr>
      </w:pPr>
      <w:r>
        <w:rPr>
          <w:rFonts w:ascii="Arial" w:cs="Arial" w:eastAsia="Arial" w:hAnsi="Arial"/>
          <w:sz w:val="18"/>
          <w:szCs w:val="18"/>
          <w:color w:val="auto"/>
        </w:rPr>
        <w:t>Our primary uses of cash in operating activities are for the development of ongoing product enhancements and future products, manufacturing, and support functions related to our sales, general and administrative activities.</w:t>
      </w:r>
    </w:p>
    <w:p>
      <w:pPr>
        <w:spacing w:after="0" w:line="116" w:lineRule="exact"/>
        <w:rPr>
          <w:sz w:val="20"/>
          <w:szCs w:val="20"/>
          <w:color w:val="auto"/>
        </w:rPr>
      </w:pPr>
    </w:p>
    <w:p>
      <w:pPr>
        <w:ind w:right="600" w:firstLine="440"/>
        <w:spacing w:after="0" w:line="246" w:lineRule="auto"/>
        <w:rPr>
          <w:sz w:val="20"/>
          <w:szCs w:val="20"/>
          <w:color w:val="auto"/>
        </w:rPr>
      </w:pPr>
      <w:r>
        <w:rPr>
          <w:rFonts w:ascii="Arial" w:cs="Arial" w:eastAsia="Arial" w:hAnsi="Arial"/>
          <w:sz w:val="18"/>
          <w:szCs w:val="18"/>
          <w:color w:val="auto"/>
        </w:rPr>
        <w:t>We used $79.5 million of cash in operating activities for the nine months ended September 30, 2021, compared to cash provided by operating activities of $33.8 million for the same period in 2020.</w:t>
      </w:r>
    </w:p>
    <w:p>
      <w:pPr>
        <w:spacing w:after="0" w:line="116" w:lineRule="exact"/>
        <w:rPr>
          <w:sz w:val="20"/>
          <w:szCs w:val="20"/>
          <w:color w:val="auto"/>
        </w:rPr>
      </w:pPr>
    </w:p>
    <w:p>
      <w:pPr>
        <w:ind w:right="180" w:firstLine="440"/>
        <w:spacing w:after="0" w:line="258" w:lineRule="auto"/>
        <w:rPr>
          <w:sz w:val="20"/>
          <w:szCs w:val="20"/>
          <w:color w:val="auto"/>
        </w:rPr>
      </w:pPr>
      <w:r>
        <w:rPr>
          <w:rFonts w:ascii="Arial" w:cs="Arial" w:eastAsia="Arial" w:hAnsi="Arial"/>
          <w:sz w:val="16"/>
          <w:szCs w:val="16"/>
          <w:color w:val="auto"/>
        </w:rPr>
        <w:t>Cash used in operating activities for the nine months ended September 30, 2021 was due primarily to a $111.9 million net loss, which includes a $94.8 million deferred income tax benefit, that was partially offset by a loss of $52.0 million from Continuation Advances repaid to Illumina that is considered a financing activity, non-cash items such as stock-based compensation of $54.4 million and depreciation of $4.9 million and a net cash inflow from changes in operating assets and liabilities of $9.8 million. The change in net operating assets and liabilities was primarily attributable to increases of $17.9 million in deferred revenue and $10.3 million in accrued expenses, partially offset by an increase of $5.5 million in inventory, an increase of $6.9 million in accounts receivable, a decrease of $3.2 million in operating lease liabilities and a decrease of $3.0 million in other liabilities.</w:t>
      </w:r>
    </w:p>
    <w:p>
      <w:pPr>
        <w:spacing w:after="0" w:line="109" w:lineRule="exact"/>
        <w:rPr>
          <w:sz w:val="20"/>
          <w:szCs w:val="20"/>
          <w:color w:val="auto"/>
        </w:rPr>
      </w:pPr>
    </w:p>
    <w:p>
      <w:pPr>
        <w:ind w:right="100" w:firstLine="440"/>
        <w:spacing w:after="0" w:line="238" w:lineRule="auto"/>
        <w:rPr>
          <w:sz w:val="20"/>
          <w:szCs w:val="20"/>
          <w:color w:val="auto"/>
        </w:rPr>
      </w:pPr>
      <w:r>
        <w:rPr>
          <w:rFonts w:ascii="Arial" w:cs="Arial" w:eastAsia="Arial" w:hAnsi="Arial"/>
          <w:sz w:val="17"/>
          <w:szCs w:val="17"/>
          <w:color w:val="auto"/>
        </w:rPr>
        <w:t>Cash provided by operating activities for the nine months ended September 30, 2020 was due to the $98.0 million Reverse Termination Fee received from Illumina, non-cash items such as stock-based compensation of $12.3 million and depreciation of $4.8 million, partially offset by a net loss of $45.5 million and a gain from Continuation Advances from Illumina of $34.0 million, which is considered to be a financing activity.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44" w:lineRule="exact"/>
        <w:rPr>
          <w:sz w:val="20"/>
          <w:szCs w:val="20"/>
          <w:color w:val="auto"/>
        </w:rPr>
      </w:pPr>
    </w:p>
    <w:p>
      <w:pPr>
        <w:ind w:right="360" w:firstLine="440"/>
        <w:spacing w:after="0" w:line="307" w:lineRule="auto"/>
        <w:rPr>
          <w:sz w:val="20"/>
          <w:szCs w:val="20"/>
          <w:color w:val="auto"/>
        </w:rPr>
      </w:pPr>
      <w:r>
        <w:rPr>
          <w:rFonts w:ascii="Arial" w:cs="Arial" w:eastAsia="Arial" w:hAnsi="Arial"/>
          <w:sz w:val="16"/>
          <w:szCs w:val="16"/>
          <w:color w:val="auto"/>
        </w:rPr>
        <w:t>Our investing activities consist primarily of business acquisitions, capital expenditures and investment purchases, sales and maturities. We used $744.3 million of cash for investing activities for the nine months ended September 30, 2021, compared to $120.8 million for the same period in 2020.</w:t>
      </w:r>
    </w:p>
    <w:p>
      <w:pPr>
        <w:spacing w:after="0" w:line="69" w:lineRule="exact"/>
        <w:rPr>
          <w:sz w:val="20"/>
          <w:szCs w:val="20"/>
          <w:color w:val="auto"/>
        </w:rPr>
      </w:pPr>
    </w:p>
    <w:p>
      <w:pPr>
        <w:ind w:right="40" w:firstLine="440"/>
        <w:spacing w:after="0" w:line="235" w:lineRule="auto"/>
        <w:rPr>
          <w:sz w:val="20"/>
          <w:szCs w:val="20"/>
          <w:color w:val="auto"/>
        </w:rPr>
      </w:pPr>
      <w:r>
        <w:rPr>
          <w:rFonts w:ascii="Arial" w:cs="Arial" w:eastAsia="Arial" w:hAnsi="Arial"/>
          <w:sz w:val="18"/>
          <w:szCs w:val="18"/>
          <w:color w:val="auto"/>
        </w:rPr>
        <w:t>Cash used in investing activities for the nine months ended September 30, 2021 was due primarily to net purchases of investments of $421.4 million, cash paid, net of cash acquired, of $319.8 million for the acquisitions of Omniome and Circulomics and purchases of property and equipment of $3.1 million.</w:t>
      </w:r>
    </w:p>
    <w:p>
      <w:pPr>
        <w:spacing w:after="0" w:line="121" w:lineRule="exact"/>
        <w:rPr>
          <w:sz w:val="20"/>
          <w:szCs w:val="20"/>
          <w:color w:val="auto"/>
        </w:rPr>
      </w:pPr>
    </w:p>
    <w:p>
      <w:pPr>
        <w:ind w:right="100" w:firstLine="440"/>
        <w:spacing w:after="0" w:line="246" w:lineRule="auto"/>
        <w:rPr>
          <w:sz w:val="20"/>
          <w:szCs w:val="20"/>
          <w:color w:val="auto"/>
        </w:rPr>
      </w:pPr>
      <w:r>
        <w:rPr>
          <w:rFonts w:ascii="Arial" w:cs="Arial" w:eastAsia="Arial" w:hAnsi="Arial"/>
          <w:sz w:val="18"/>
          <w:szCs w:val="18"/>
          <w:color w:val="auto"/>
        </w:rPr>
        <w:t>Cash used in investing activities for the nine months ended September 30, 2020 was due primarily to net purchases of investments of $119.9 million and purchases of property and equipment of $1.0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Cash provided by financing activities was $1.17 billion and $126.0 million for the nine months ended September 30, 2021 and 2020, respectively.</w:t>
      </w:r>
    </w:p>
    <w:p>
      <w:pPr>
        <w:spacing w:after="0" w:line="167" w:lineRule="exact"/>
        <w:rPr>
          <w:sz w:val="20"/>
          <w:szCs w:val="20"/>
          <w:color w:val="auto"/>
        </w:rPr>
      </w:pPr>
    </w:p>
    <w:p>
      <w:pPr>
        <w:ind w:right="200" w:firstLine="440"/>
        <w:spacing w:after="0" w:line="246" w:lineRule="auto"/>
        <w:rPr>
          <w:sz w:val="20"/>
          <w:szCs w:val="20"/>
          <w:color w:val="auto"/>
        </w:rPr>
      </w:pPr>
      <w:r>
        <w:rPr>
          <w:rFonts w:ascii="Arial" w:cs="Arial" w:eastAsia="Arial" w:hAnsi="Arial"/>
          <w:sz w:val="17"/>
          <w:szCs w:val="17"/>
          <w:color w:val="auto"/>
        </w:rPr>
        <w:t>Cash provided by financing activities during the nine months ended September 30, 2021 resulted from the net proceeds of $895.5 million from our February 2021 issuance of $900 million of 1.50% Convertible Senior Notes after deducting debt issuance costs, net proceeds of $294.8 million from our September 2021 private placement of common stock after deducting issuance costs and proceeds of $30.1 million from the issuance of common stock through our equity compensation plans, partially offset by $52.0 million of Continuation Advances repaid to Illumina.</w:t>
      </w:r>
    </w:p>
    <w:p>
      <w:pPr>
        <w:spacing w:after="0" w:line="117" w:lineRule="exact"/>
        <w:rPr>
          <w:sz w:val="20"/>
          <w:szCs w:val="20"/>
          <w:color w:val="auto"/>
        </w:rPr>
      </w:pPr>
    </w:p>
    <w:p>
      <w:pPr>
        <w:ind w:right="80" w:firstLine="440"/>
        <w:spacing w:after="0" w:line="246" w:lineRule="auto"/>
        <w:rPr>
          <w:sz w:val="20"/>
          <w:szCs w:val="20"/>
          <w:color w:val="auto"/>
        </w:rPr>
      </w:pPr>
      <w:r>
        <w:rPr>
          <w:rFonts w:ascii="Arial" w:cs="Arial" w:eastAsia="Arial" w:hAnsi="Arial"/>
          <w:sz w:val="17"/>
          <w:szCs w:val="17"/>
          <w:color w:val="auto"/>
        </w:rPr>
        <w:t>Cash provided by financing activities during the nine months ended September 30, 2020 consisted of net proceeds of $93.8 million from our August 2020 underwritten public equity offering after deducting underwriter commissions and paid offering expenses, $34.0 million of Continuation Advances received from Illumina and proceeds of $14.2 million from the issuance of common stock through our equity compensation plans, partially offset by $16.0 million we repaid for the remaining outstanding principal upon the maturity of a credit facility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of Common Stock</w:t>
      </w:r>
    </w:p>
    <w:p>
      <w:pPr>
        <w:spacing w:after="0" w:line="158" w:lineRule="exact"/>
        <w:rPr>
          <w:sz w:val="20"/>
          <w:szCs w:val="20"/>
          <w:color w:val="auto"/>
        </w:rPr>
      </w:pPr>
    </w:p>
    <w:p>
      <w:pPr>
        <w:ind w:right="100" w:firstLine="440"/>
        <w:spacing w:after="0" w:line="243" w:lineRule="auto"/>
        <w:rPr>
          <w:sz w:val="20"/>
          <w:szCs w:val="20"/>
          <w:color w:val="auto"/>
        </w:rPr>
      </w:pPr>
      <w:r>
        <w:rPr>
          <w:rFonts w:ascii="Arial" w:cs="Arial" w:eastAsia="Arial" w:hAnsi="Arial"/>
          <w:sz w:val="18"/>
          <w:szCs w:val="18"/>
          <w:color w:val="auto"/>
        </w:rPr>
        <w:t>On July 19, 2021, we entered into a purchase agreement with certain qualified institutional buyers and institutional accredited investors, pursuant to which we agreed to sell an aggregate of 11,214,953 shares of common stock, at a price of $26.75 per share, for aggregate gross proceeds of approximately $300 million. The transaction closed on September 20, 2021. We registered the private placement shares for resale with the SEC following the closing of the merger.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and Sale of 1.50% Convertible Senior Notes due February 15, 2028</w:t>
      </w:r>
    </w:p>
    <w:p>
      <w:pPr>
        <w:spacing w:after="0" w:line="63" w:lineRule="exact"/>
        <w:rPr>
          <w:sz w:val="20"/>
          <w:szCs w:val="20"/>
          <w:color w:val="auto"/>
        </w:rPr>
      </w:pPr>
    </w:p>
    <w:p>
      <w:pPr>
        <w:ind w:right="380" w:firstLine="492"/>
        <w:spacing w:after="0" w:line="246" w:lineRule="auto"/>
        <w:rPr>
          <w:sz w:val="20"/>
          <w:szCs w:val="20"/>
          <w:color w:val="auto"/>
        </w:rPr>
      </w:pPr>
      <w:r>
        <w:rPr>
          <w:rFonts w:ascii="Arial" w:cs="Arial" w:eastAsia="Arial" w:hAnsi="Arial"/>
          <w:sz w:val="18"/>
          <w:szCs w:val="18"/>
          <w:color w:val="auto"/>
        </w:rPr>
        <w:t>On February 16, 2021, we issued convertible senior notes to SB Northstar LP, a subsidiary of SoftBank Group Corp., pursuant to an investment agreement with SB Northstar LP, for $900 million at 1.50% interest rate, due February 15, 2028.</w:t>
      </w:r>
    </w:p>
    <w:p>
      <w:pPr>
        <w:spacing w:after="0" w:line="116" w:lineRule="exact"/>
        <w:rPr>
          <w:sz w:val="20"/>
          <w:szCs w:val="20"/>
          <w:color w:val="auto"/>
        </w:rPr>
      </w:pPr>
    </w:p>
    <w:p>
      <w:pPr>
        <w:ind w:right="340" w:firstLine="440"/>
        <w:spacing w:after="0" w:line="253" w:lineRule="auto"/>
        <w:rPr>
          <w:sz w:val="20"/>
          <w:szCs w:val="20"/>
          <w:color w:val="auto"/>
        </w:rPr>
      </w:pPr>
      <w:r>
        <w:rPr>
          <w:rFonts w:ascii="Arial" w:cs="Arial" w:eastAsia="Arial" w:hAnsi="Arial"/>
          <w:sz w:val="17"/>
          <w:szCs w:val="17"/>
          <w:color w:val="auto"/>
        </w:rPr>
        <w:t>The Notes are governed by an indenture (the “Indenture”) between the Company and U.S. Bank National Association, as trustee. The Notes bear interest at a rate of 1.50% per annum. Interest on the Notes is payable semi-annually in arrears on February 15 and August 15 and commenced on August 15, 2021. The Notes will mature on February 15, 2028, subject to earlier conversion, redemption or repurchase.</w:t>
      </w:r>
    </w:p>
    <w:p>
      <w:pPr>
        <w:spacing w:after="0" w:line="138" w:lineRule="exact"/>
        <w:rPr>
          <w:sz w:val="20"/>
          <w:szCs w:val="20"/>
          <w:color w:val="auto"/>
        </w:rPr>
      </w:pPr>
    </w:p>
    <w:p>
      <w:pPr>
        <w:ind w:right="20" w:firstLine="440"/>
        <w:spacing w:after="0" w:line="276" w:lineRule="auto"/>
        <w:rPr>
          <w:sz w:val="20"/>
          <w:szCs w:val="20"/>
          <w:color w:val="auto"/>
        </w:rPr>
      </w:pPr>
      <w:r>
        <w:rPr>
          <w:rFonts w:ascii="Arial" w:cs="Arial" w:eastAsia="Arial" w:hAnsi="Arial"/>
          <w:sz w:val="18"/>
          <w:szCs w:val="18"/>
          <w:color w:val="auto"/>
        </w:rPr>
        <w:t>The Notes are convertible at the option of the holder at any time until the second scheduled trading day prior to the maturity date, including in connection with a redemption by the Company. The Notes are convertible into shares of our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spacing w:after="0" w:line="137" w:lineRule="exact"/>
        <w:rPr>
          <w:sz w:val="20"/>
          <w:szCs w:val="20"/>
          <w:color w:val="auto"/>
        </w:rPr>
      </w:pPr>
    </w:p>
    <w:p>
      <w:pPr>
        <w:ind w:firstLine="440"/>
        <w:spacing w:after="0" w:line="216" w:lineRule="auto"/>
        <w:rPr>
          <w:sz w:val="20"/>
          <w:szCs w:val="20"/>
          <w:color w:val="auto"/>
        </w:rPr>
      </w:pPr>
      <w:r>
        <w:rPr>
          <w:rFonts w:ascii="Arial" w:cs="Arial" w:eastAsia="Arial" w:hAnsi="Arial"/>
          <w:sz w:val="17"/>
          <w:szCs w:val="17"/>
          <w:color w:val="auto"/>
        </w:rPr>
        <w:t>On or after February 20, 2026 and prior to the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scheduled trading day immediately preceding the maturity date of the Notes, the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Notes, plus accrued and unpaid interest up to, but excluding, the redemption date.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firstLine="440"/>
        <w:spacing w:after="0" w:line="235" w:lineRule="auto"/>
        <w:rPr>
          <w:sz w:val="20"/>
          <w:szCs w:val="20"/>
          <w:color w:val="auto"/>
        </w:rPr>
      </w:pPr>
      <w:r>
        <w:rPr>
          <w:rFonts w:ascii="Arial" w:cs="Arial" w:eastAsia="Arial" w:hAnsi="Arial"/>
          <w:sz w:val="18"/>
          <w:szCs w:val="18"/>
          <w:color w:val="auto"/>
        </w:rPr>
        <w:t>With certain exceptions, upon a change of control of the Company or the failure of our common stock to be listed on certain stock exchanges, the holders of the Notes may require that we repurchase all or part of the principal amount of the Notes at a purchase price of par plus unpaid interest up to, but excluding, the maturity date.</w:t>
      </w:r>
    </w:p>
    <w:p>
      <w:pPr>
        <w:spacing w:after="0" w:line="121" w:lineRule="exact"/>
        <w:rPr>
          <w:sz w:val="20"/>
          <w:szCs w:val="20"/>
          <w:color w:val="auto"/>
        </w:rPr>
      </w:pPr>
    </w:p>
    <w:p>
      <w:pPr>
        <w:ind w:right="360" w:firstLine="440"/>
        <w:spacing w:after="0" w:line="246" w:lineRule="auto"/>
        <w:rPr>
          <w:sz w:val="20"/>
          <w:szCs w:val="20"/>
          <w:color w:val="auto"/>
        </w:rPr>
      </w:pPr>
      <w:r>
        <w:rPr>
          <w:rFonts w:ascii="Arial" w:cs="Arial" w:eastAsia="Arial" w:hAnsi="Arial"/>
          <w:sz w:val="18"/>
          <w:szCs w:val="18"/>
          <w:color w:val="auto"/>
        </w:rPr>
        <w:t>The Indenture includes customary “events of default,” which may result in the acceleration of the maturity of the Notes under the Indenture. The Indenture also includes customary covenants for convertible notes of this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2021, we did not have any off-balance sheet arrangements.</w:t>
      </w:r>
    </w:p>
    <w:p>
      <w:pPr>
        <w:spacing w:after="0" w:line="63" w:lineRule="exact"/>
        <w:rPr>
          <w:sz w:val="20"/>
          <w:szCs w:val="20"/>
          <w:color w:val="auto"/>
        </w:rPr>
      </w:pPr>
    </w:p>
    <w:p>
      <w:pPr>
        <w:ind w:right="60" w:firstLine="440"/>
        <w:spacing w:after="0" w:line="238"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42" w:lineRule="exact"/>
        <w:rPr>
          <w:sz w:val="20"/>
          <w:szCs w:val="20"/>
          <w:color w:val="auto"/>
        </w:rPr>
      </w:pPr>
    </w:p>
    <w:p>
      <w:pPr>
        <w:ind w:right="80" w:firstLine="440"/>
        <w:spacing w:after="0" w:line="225" w:lineRule="auto"/>
        <w:rPr>
          <w:sz w:val="20"/>
          <w:szCs w:val="20"/>
          <w:color w:val="auto"/>
        </w:rPr>
      </w:pPr>
      <w:r>
        <w:rPr>
          <w:rFonts w:ascii="Arial" w:cs="Arial" w:eastAsia="Arial" w:hAnsi="Arial"/>
          <w:sz w:val="18"/>
          <w:szCs w:val="18"/>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Part I, Item 1 of this Form 10-Q, any associated expenses incurred are included within the related accrued litigation expense amounts. No additional liability associated with such indemnification agreements has been recorded as of September 30, 2021.</w:t>
      </w:r>
    </w:p>
    <w:p>
      <w:pPr>
        <w:spacing w:after="0" w:line="3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Market Risk</w:t>
      </w:r>
    </w:p>
    <w:p>
      <w:pPr>
        <w:spacing w:after="0" w:line="67"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 xml:space="preserve">We carry our convertible senior notes at the principal amount, less unamortized debt issuance costs, on our Condensed Consolidated Balance Sheets. Because the notes have a fixed annual interest rate of 1.50%, we do not have any economic interest rate exposure or financial statement risk associated with changes in interest rates. The fair value of the notes, however, may fluctuate when interest rates and the market price of our stock changes. See Note 8. </w:t>
      </w: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in Part I, Item 1 of this Form 10-Q for additional information.</w:t>
      </w:r>
    </w:p>
    <w:p>
      <w:pPr>
        <w:spacing w:after="0" w:line="40" w:lineRule="exact"/>
        <w:rPr>
          <w:sz w:val="20"/>
          <w:szCs w:val="20"/>
          <w:color w:val="auto"/>
        </w:rPr>
      </w:pPr>
    </w:p>
    <w:p>
      <w:pPr>
        <w:ind w:right="400" w:firstLine="440"/>
        <w:spacing w:after="0" w:line="246" w:lineRule="auto"/>
        <w:rPr>
          <w:sz w:val="20"/>
          <w:szCs w:val="20"/>
          <w:color w:val="auto"/>
        </w:rPr>
      </w:pPr>
      <w:r>
        <w:rPr>
          <w:rFonts w:ascii="Arial" w:cs="Arial" w:eastAsia="Arial" w:hAnsi="Arial"/>
          <w:sz w:val="18"/>
          <w:szCs w:val="18"/>
          <w:color w:val="auto"/>
        </w:rPr>
        <w:t>There have been no other material changes in market risk from the information provided in our Annual Report on Form 10-K for the year ended December 31, 2020.</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67" w:lineRule="exact"/>
        <w:rPr>
          <w:sz w:val="20"/>
          <w:szCs w:val="20"/>
          <w:color w:val="auto"/>
        </w:rPr>
      </w:pPr>
    </w:p>
    <w:p>
      <w:pPr>
        <w:ind w:firstLine="440"/>
        <w:spacing w:after="0" w:line="23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our chief financial officer, as appropriate, to allow timely decisions regarding required disclosure.</w:t>
      </w:r>
    </w:p>
    <w:p>
      <w:pPr>
        <w:spacing w:after="0" w:line="41" w:lineRule="exact"/>
        <w:rPr>
          <w:sz w:val="20"/>
          <w:szCs w:val="20"/>
          <w:color w:val="auto"/>
        </w:rPr>
      </w:pPr>
    </w:p>
    <w:p>
      <w:pPr>
        <w:ind w:right="60" w:firstLine="440"/>
        <w:spacing w:after="0" w:line="231"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67" w:lineRule="exact"/>
        <w:rPr>
          <w:sz w:val="20"/>
          <w:szCs w:val="20"/>
          <w:color w:val="auto"/>
        </w:rPr>
      </w:pPr>
    </w:p>
    <w:p>
      <w:pPr>
        <w:ind w:right="180" w:firstLine="440"/>
        <w:spacing w:after="0" w:line="231" w:lineRule="auto"/>
        <w:rPr>
          <w:sz w:val="20"/>
          <w:szCs w:val="20"/>
          <w:color w:val="auto"/>
        </w:rPr>
      </w:pPr>
      <w:r>
        <w:rPr>
          <w:rFonts w:ascii="Arial" w:cs="Arial" w:eastAsia="Arial" w:hAnsi="Arial"/>
          <w:sz w:val="18"/>
          <w:szCs w:val="18"/>
          <w:color w:val="auto"/>
        </w:rPr>
        <w:t>As a result of Omniome and Circulomics acquisitions, we implemented internal controls over accounting and financial reporting for business combinations during the quarter ended September 30, 2021. There were no other changes in our internal control over financial reporting that occurred during the quarter ended September 30, 2021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Please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Part I, Item 1 of this Form 10-Q.</w:t>
      </w: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ind w:right="140" w:firstLine="648"/>
        <w:spacing w:after="0" w:line="227" w:lineRule="auto"/>
        <w:rPr>
          <w:sz w:val="20"/>
          <w:szCs w:val="20"/>
          <w:color w:val="auto"/>
        </w:rPr>
      </w:pPr>
      <w:r>
        <w:rPr>
          <w:rFonts w:ascii="Arial" w:cs="Arial" w:eastAsia="Arial" w:hAnsi="Arial"/>
          <w:sz w:val="18"/>
          <w:szCs w:val="18"/>
          <w:i w:val="1"/>
          <w:iCs w:val="1"/>
          <w:color w:val="auto"/>
        </w:rPr>
        <w:t>You should consider carefully the risks and uncertainties described below, together with all of the other information in our public filings with the Securities and Exchange Commission,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 This situation is changing rapidly and additional impacts may arise that we are not aware of currently.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0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potential adverse impact of health epidemics, including the ongoing COVID-19 pandemic;</w:t>
      </w:r>
    </w:p>
    <w:p>
      <w:pPr>
        <w:spacing w:after="0" w:line="63" w:lineRule="exact"/>
        <w:rPr>
          <w:sz w:val="20"/>
          <w:szCs w:val="20"/>
          <w:color w:val="auto"/>
        </w:rPr>
      </w:pPr>
    </w:p>
    <w:p>
      <w:pPr>
        <w:ind w:left="660" w:right="1880"/>
        <w:spacing w:after="0" w:line="313" w:lineRule="auto"/>
        <w:rPr>
          <w:sz w:val="20"/>
          <w:szCs w:val="20"/>
          <w:color w:val="auto"/>
        </w:rPr>
      </w:pPr>
      <w:r>
        <w:rPr>
          <w:rFonts w:ascii="Arial" w:cs="Arial" w:eastAsia="Arial" w:hAnsi="Arial"/>
          <w:sz w:val="18"/>
          <w:szCs w:val="18"/>
          <w:color w:val="auto"/>
        </w:rPr>
        <w:t>Our ability to successfully market, commercialize, and sell current and future products and related maintenance services; Our ability to achieve profitability for our business;</w:t>
      </w:r>
    </w:p>
    <w:p>
      <w:pPr>
        <w:ind w:left="660"/>
        <w:spacing w:after="0"/>
        <w:rPr>
          <w:sz w:val="20"/>
          <w:szCs w:val="20"/>
          <w:color w:val="auto"/>
        </w:rPr>
      </w:pPr>
      <w:r>
        <w:rPr>
          <w:rFonts w:ascii="Arial" w:cs="Arial" w:eastAsia="Arial" w:hAnsi="Arial"/>
          <w:sz w:val="18"/>
          <w:szCs w:val="18"/>
          <w:color w:val="auto"/>
        </w:rPr>
        <w:t>Our ability to successfully leverage and integrate our acquisitions and future acquisitions;</w:t>
      </w:r>
    </w:p>
    <w:p>
      <w:pPr>
        <w:spacing w:after="0" w:line="63" w:lineRule="exact"/>
        <w:rPr>
          <w:sz w:val="20"/>
          <w:szCs w:val="20"/>
          <w:color w:val="auto"/>
        </w:rPr>
      </w:pPr>
    </w:p>
    <w:p>
      <w:pPr>
        <w:ind w:left="5540" w:right="3300" w:hanging="4877"/>
        <w:spacing w:after="0" w:line="293" w:lineRule="auto"/>
        <w:rPr>
          <w:sz w:val="20"/>
          <w:szCs w:val="20"/>
          <w:color w:val="auto"/>
        </w:rPr>
      </w:pPr>
      <w:r>
        <w:rPr>
          <w:rFonts w:ascii="Arial" w:cs="Arial" w:eastAsia="Arial" w:hAnsi="Arial"/>
          <w:sz w:val="18"/>
          <w:szCs w:val="18"/>
          <w:color w:val="auto"/>
        </w:rPr>
        <w:t>Our ability to successfully research, develop and timely manufacture our current and future products;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660" w:right="640"/>
        <w:spacing w:after="0" w:line="313" w:lineRule="auto"/>
        <w:rPr>
          <w:sz w:val="20"/>
          <w:szCs w:val="20"/>
          <w:color w:val="auto"/>
        </w:rPr>
      </w:pPr>
      <w:r>
        <w:rPr>
          <w:rFonts w:ascii="Arial" w:cs="Arial" w:eastAsia="Arial" w:hAnsi="Arial"/>
          <w:sz w:val="18"/>
          <w:szCs w:val="18"/>
          <w:color w:val="auto"/>
        </w:rPr>
        <w:t>Management of new product introductions and transitions, resultant costs, and ability of new products to generate promised performance; Recent significant changes to our leadership team and resultant disruptions to our business;</w:t>
      </w:r>
    </w:p>
    <w:p>
      <w:pPr>
        <w:ind w:left="660" w:right="3200"/>
        <w:spacing w:after="0" w:line="352" w:lineRule="auto"/>
        <w:rPr>
          <w:sz w:val="20"/>
          <w:szCs w:val="20"/>
          <w:color w:val="auto"/>
        </w:rPr>
      </w:pPr>
      <w:r>
        <w:rPr>
          <w:rFonts w:ascii="Arial" w:cs="Arial" w:eastAsia="Arial" w:hAnsi="Arial"/>
          <w:sz w:val="16"/>
          <w:szCs w:val="16"/>
          <w:color w:val="auto"/>
        </w:rPr>
        <w:t>Retention, recruitment, and training of senior management, key personnel, scientists and engineers; Our ability to further penetrate nucleic acid sequencing applications, as well as grow product demand;</w:t>
      </w:r>
    </w:p>
    <w:p>
      <w:pPr>
        <w:ind w:left="660" w:right="480"/>
        <w:spacing w:after="0" w:line="313" w:lineRule="auto"/>
        <w:rPr>
          <w:sz w:val="20"/>
          <w:szCs w:val="20"/>
          <w:color w:val="auto"/>
        </w:rPr>
      </w:pPr>
      <w:r>
        <w:rPr>
          <w:rFonts w:ascii="Arial" w:cs="Arial" w:eastAsia="Arial" w:hAnsi="Arial"/>
          <w:sz w:val="18"/>
          <w:szCs w:val="18"/>
          <w:color w:val="auto"/>
        </w:rPr>
        <w:t>Our reliance on outsourcing to other companies for manufacturing certain components and sub-assemblies, some of which are sole sourced; Our ability to consistently manufacture our instruments and consumables to meet customers’ specifications, quantity, cost, or performance requirements;</w:t>
      </w:r>
    </w:p>
    <w:p>
      <w:pPr>
        <w:ind w:left="660"/>
        <w:spacing w:after="0"/>
        <w:rPr>
          <w:sz w:val="20"/>
          <w:szCs w:val="20"/>
          <w:color w:val="auto"/>
        </w:rPr>
      </w:pPr>
      <w:r>
        <w:rPr>
          <w:rFonts w:ascii="Arial" w:cs="Arial" w:eastAsia="Arial" w:hAnsi="Arial"/>
          <w:sz w:val="18"/>
          <w:szCs w:val="18"/>
          <w:color w:val="auto"/>
        </w:rPr>
        <w:t>The high amount of competition we face in our industry;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attract customers and increase sales of current and future products;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Reliance on a limited number of customers for a significant portion of our revenues, including academic, research and government institutions;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complexity of our products giving rise to defects or errors;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unpredictable and lengthy sales cycle;</w:t>
      </w:r>
    </w:p>
    <w:p>
      <w:pPr>
        <w:spacing w:after="0" w:line="63" w:lineRule="exact"/>
        <w:rPr>
          <w:sz w:val="20"/>
          <w:szCs w:val="20"/>
          <w:color w:val="auto"/>
        </w:rPr>
      </w:pPr>
    </w:p>
    <w:p>
      <w:pPr>
        <w:ind w:left="660" w:right="2160"/>
        <w:spacing w:after="0" w:line="331" w:lineRule="auto"/>
        <w:rPr>
          <w:sz w:val="20"/>
          <w:szCs w:val="20"/>
          <w:color w:val="auto"/>
        </w:rPr>
      </w:pPr>
      <w:r>
        <w:rPr>
          <w:rFonts w:ascii="Arial" w:cs="Arial" w:eastAsia="Arial" w:hAnsi="Arial"/>
          <w:sz w:val="17"/>
          <w:szCs w:val="17"/>
          <w:color w:val="auto"/>
        </w:rPr>
        <w:t>Securing and maintaining patent or other intellectual property protection for our products and related improvements; Current and future legal proceedings filed against us claiming intellectual property infringement;</w:t>
      </w:r>
    </w:p>
    <w:p>
      <w:pPr>
        <w:spacing w:after="0" w:line="1" w:lineRule="exact"/>
        <w:rPr>
          <w:sz w:val="20"/>
          <w:szCs w:val="20"/>
          <w:color w:val="auto"/>
        </w:rPr>
      </w:pPr>
    </w:p>
    <w:p>
      <w:pPr>
        <w:ind w:left="660" w:right="4100"/>
        <w:spacing w:after="0" w:line="313" w:lineRule="auto"/>
        <w:rPr>
          <w:sz w:val="20"/>
          <w:szCs w:val="20"/>
          <w:color w:val="auto"/>
        </w:rPr>
      </w:pPr>
      <w:r>
        <w:rPr>
          <w:rFonts w:ascii="Arial" w:cs="Arial" w:eastAsia="Arial" w:hAnsi="Arial"/>
          <w:sz w:val="18"/>
          <w:szCs w:val="18"/>
          <w:color w:val="auto"/>
        </w:rPr>
        <w:t>Governmental regulations that burden operations or narrow the market for our products; Evolving ethical, legal, privacy, social, and regulatory concerns regarding genetic testing; Volatility of the price of our common stock; and</w:t>
      </w:r>
    </w:p>
    <w:p>
      <w:pPr>
        <w:ind w:left="660"/>
        <w:spacing w:after="0"/>
        <w:rPr>
          <w:sz w:val="20"/>
          <w:szCs w:val="20"/>
          <w:color w:val="auto"/>
        </w:rPr>
      </w:pPr>
      <w:r>
        <w:rPr>
          <w:rFonts w:ascii="Arial" w:cs="Arial" w:eastAsia="Arial" w:hAnsi="Arial"/>
          <w:sz w:val="18"/>
          <w:szCs w:val="18"/>
          <w:color w:val="auto"/>
        </w:rPr>
        <w:t>Our stock price falling as a result of future offerings or sales.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health epidemics, including the ongoing COVID-19 pandemic.</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Our business could be adversely impacted by the effects of COVID-19 or other epidemics or pandemics. As a result of COVID-19, our 2020 financial results were impacted negatively as our customers in multiple regions around the world suspended their normal operations in efforts to curb the spread of the COVID-19 pandemic. While a significant number of our customer sites that shut down due to COVID-19 have re-opened, a significant number of our customers had delayed purchases of capital assets due to the negative impact of the pandemic on their businesses. This dynamic continues to negatively impact the recognition of revenue related to the sale of our Sequel and Sequel II/IIe instruments and the associated consumables and software. The inability to receive or accept shipments of orders for our products on a timely basis, or at all, the delay or possible cancellation of orders for our products or related maintenance and support services, and the reduced utilization of our products has negatively affected and may negatively affect in the future our operations and revenues. In response to local stay-at-home orders and in alignment with CDC recommendations, we have limited our manufacturing and commercial operations based in Menlo Park, California. We will, however, continue to provide consumables and support to scientists at government, academic, and commercial labs that remain open. To aid in containing the spread of COVID-19, we have implemented remote-work options and are limiting employee travel. We are continuing to monitor this evolving situation.</w:t>
      </w:r>
    </w:p>
    <w:p>
      <w:pPr>
        <w:spacing w:after="0" w:line="181"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Our manufacturing partners and suppliers could also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 of COVID-19 on our business. Infections may resurge or become more widespread and the limitation on our ability to travel and timely sell and distribute our</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products, as well as any closures or supply disruptions, may be extended for longer periods of time, which could have a negative impact on our business, financial condition and operating results. For example, because our semiconductor manufacturers are located in a region that has low immunization rates, the more contagious Delta variant of COVID-19, as well as any future variants that evolve, could impact workforce availability at those locations and disrupt supply.</w:t>
      </w:r>
    </w:p>
    <w:p>
      <w:pPr>
        <w:spacing w:after="0" w:line="175" w:lineRule="exact"/>
        <w:rPr>
          <w:sz w:val="20"/>
          <w:szCs w:val="20"/>
          <w:color w:val="auto"/>
        </w:rPr>
      </w:pPr>
    </w:p>
    <w:p>
      <w:pPr>
        <w:ind w:right="40" w:firstLine="648"/>
        <w:spacing w:after="0" w:line="256" w:lineRule="auto"/>
        <w:rPr>
          <w:sz w:val="20"/>
          <w:szCs w:val="20"/>
          <w:color w:val="auto"/>
        </w:rPr>
      </w:pPr>
      <w:r>
        <w:rPr>
          <w:rFonts w:ascii="Arial" w:cs="Arial" w:eastAsia="Arial" w:hAnsi="Arial"/>
          <w:sz w:val="16"/>
          <w:szCs w:val="16"/>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such as decreases in discretionary capital expenditure spending, changes to the government funding environment, increased and prolonged unemployment or a decline in consumer confidence as a result of the COVID-19 pandemic, as well as limited or significantly reduced points of access of our products, could have a continuing adverse effect on the demand for some of our products and, consequently, related maintenance and support services.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w:t>
      </w:r>
    </w:p>
    <w:p>
      <w:pPr>
        <w:spacing w:after="0" w:line="16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have limited commercial sales to date and the commercialization and sales of our current or future products may be unsuccessful or less successful than anticipated.</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6"/>
          <w:szCs w:val="16"/>
          <w:color w:val="auto"/>
        </w:rPr>
        <w:t>Our first commercial product launched in 2011 and we have had limited sales to date, especially with respect to our current Sequel II/IIe systems. As such, we have limited historical financial data upon which to base our projected revenue and planned operating expenses or upon which to evaluate our</w:t>
      </w:r>
    </w:p>
    <w:p>
      <w:pPr>
        <w:spacing w:after="0" w:line="1" w:lineRule="exact"/>
        <w:rPr>
          <w:sz w:val="20"/>
          <w:szCs w:val="20"/>
          <w:color w:val="auto"/>
        </w:rPr>
      </w:pPr>
    </w:p>
    <w:p>
      <w:pPr>
        <w:ind w:right="100"/>
        <w:spacing w:after="0" w:line="207" w:lineRule="auto"/>
        <w:rPr>
          <w:sz w:val="20"/>
          <w:szCs w:val="20"/>
          <w:color w:val="auto"/>
        </w:rPr>
      </w:pPr>
      <w:r>
        <w:rPr>
          <w:rFonts w:ascii="Arial" w:cs="Arial" w:eastAsia="Arial" w:hAnsi="Arial"/>
          <w:sz w:val="18"/>
          <w:szCs w:val="18"/>
          <w:color w:val="auto"/>
        </w:rPr>
        <w:t>company and our commercial prospects. In September 2015, we launched the PacBio Sequel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 and concurrently began phasing out production of PacBio RS II instruments, and, in April 2019 we announced the commercial launch of the Sequel II System. In October 2020, we launched the Sequel IIe System, which has increased computational capacity, and is designed to enable customers to generate PacBio HiFi reads more efficiently. In April 2021, we released a new HiFi sequencing workflow allowing for more accurate HiFi reads with limited sample quantities. We placed 44 Sequel II/IIe systems during the three months ended September 30, 2021 and we expect the number of Sequel II/IIe placements to continue to grow during the remainder of 2021. However, based on our limited experience in developing and marketing our existing products and launching new products, we may not be able to effectively:</w:t>
      </w:r>
    </w:p>
    <w:p>
      <w:pPr>
        <w:spacing w:after="0" w:line="6" w:lineRule="exact"/>
        <w:rPr>
          <w:sz w:val="20"/>
          <w:szCs w:val="20"/>
          <w:color w:val="auto"/>
        </w:rPr>
      </w:pPr>
    </w:p>
    <w:p>
      <w:pPr>
        <w:ind w:left="1100" w:right="160"/>
        <w:spacing w:after="0" w:line="219" w:lineRule="auto"/>
        <w:rPr>
          <w:sz w:val="20"/>
          <w:szCs w:val="20"/>
          <w:color w:val="auto"/>
        </w:rPr>
      </w:pPr>
      <w:r>
        <w:rPr>
          <w:rFonts w:ascii="Arial" w:cs="Arial" w:eastAsia="Arial" w:hAnsi="Arial"/>
          <w:sz w:val="18"/>
          <w:szCs w:val="18"/>
          <w:color w:val="auto"/>
        </w:rPr>
        <w:t>manage the timeliness of our new product introductions and the rate at which sales of our new products may cannibalize sales of our older products;</w:t>
      </w:r>
    </w:p>
    <w:p>
      <w:pPr>
        <w:ind w:left="1100" w:right="3900"/>
        <w:spacing w:after="0" w:line="219" w:lineRule="auto"/>
        <w:rPr>
          <w:sz w:val="20"/>
          <w:szCs w:val="20"/>
          <w:color w:val="auto"/>
        </w:rPr>
      </w:pPr>
      <w:r>
        <w:rPr>
          <w:rFonts w:ascii="Arial" w:cs="Arial" w:eastAsia="Arial" w:hAnsi="Arial"/>
          <w:sz w:val="18"/>
          <w:szCs w:val="18"/>
          <w:color w:val="auto"/>
        </w:rPr>
        <w:t>drive adoption of our current and future products, including the Sequel II/IIe Systems; attract and retain customers for our products;</w:t>
      </w:r>
    </w:p>
    <w:p>
      <w:pPr>
        <w:ind w:left="1100" w:right="4260"/>
        <w:spacing w:after="0" w:line="246" w:lineRule="auto"/>
        <w:rPr>
          <w:sz w:val="20"/>
          <w:szCs w:val="20"/>
          <w:color w:val="auto"/>
        </w:rPr>
      </w:pPr>
      <w:r>
        <w:rPr>
          <w:rFonts w:ascii="Arial" w:cs="Arial" w:eastAsia="Arial" w:hAnsi="Arial"/>
          <w:sz w:val="16"/>
          <w:szCs w:val="16"/>
          <w:color w:val="auto"/>
        </w:rPr>
        <w:t>provide appropriate levels of customer training and support for our products; implement an effective marketing strategy to promote awareness of our products;</w:t>
      </w:r>
    </w:p>
    <w:p>
      <w:pPr>
        <w:ind w:left="1100"/>
        <w:spacing w:after="0" w:line="220" w:lineRule="auto"/>
        <w:rPr>
          <w:sz w:val="20"/>
          <w:szCs w:val="20"/>
          <w:color w:val="auto"/>
        </w:rPr>
      </w:pPr>
      <w:r>
        <w:rPr>
          <w:rFonts w:ascii="Arial" w:cs="Arial" w:eastAsia="Arial" w:hAnsi="Arial"/>
          <w:sz w:val="18"/>
          <w:szCs w:val="18"/>
          <w:color w:val="auto"/>
        </w:rPr>
        <w:t>develop and implement an effective sales and distribution strategy for our current and future products;</w:t>
      </w:r>
    </w:p>
    <w:p>
      <w:pPr>
        <w:ind w:left="1100" w:right="120"/>
        <w:spacing w:after="0" w:line="219" w:lineRule="auto"/>
        <w:rPr>
          <w:sz w:val="20"/>
          <w:szCs w:val="20"/>
          <w:color w:val="auto"/>
        </w:rPr>
      </w:pPr>
      <w:r>
        <w:rPr>
          <w:rFonts w:ascii="Arial" w:cs="Arial" w:eastAsia="Arial" w:hAnsi="Arial"/>
          <w:sz w:val="18"/>
          <w:szCs w:val="18"/>
          <w:color w:val="auto"/>
        </w:rPr>
        <w:t>develop, manufacture and commercialize new products or achieve an acceptable return on our manufacturing or research and development efforts and expenses;</w:t>
      </w:r>
    </w:p>
    <w:p>
      <w:pPr>
        <w:ind w:left="1100"/>
        <w:spacing w:after="0" w:line="219" w:lineRule="auto"/>
        <w:rPr>
          <w:sz w:val="20"/>
          <w:szCs w:val="20"/>
          <w:color w:val="auto"/>
        </w:rPr>
      </w:pPr>
      <w:r>
        <w:rPr>
          <w:rFonts w:ascii="Arial" w:cs="Arial" w:eastAsia="Arial" w:hAnsi="Arial"/>
          <w:sz w:val="18"/>
          <w:szCs w:val="18"/>
          <w:color w:val="auto"/>
        </w:rPr>
        <w:t>comply with regulatory requirements applicable to our products;</w:t>
      </w:r>
    </w:p>
    <w:p>
      <w:pPr>
        <w:ind w:left="1100"/>
        <w:spacing w:after="0" w:line="219" w:lineRule="auto"/>
        <w:rPr>
          <w:sz w:val="20"/>
          <w:szCs w:val="20"/>
          <w:color w:val="auto"/>
        </w:rPr>
      </w:pPr>
      <w:r>
        <w:rPr>
          <w:rFonts w:ascii="Arial" w:cs="Arial" w:eastAsia="Arial" w:hAnsi="Arial"/>
          <w:sz w:val="18"/>
          <w:szCs w:val="18"/>
          <w:color w:val="auto"/>
        </w:rPr>
        <w:t>anticipate and adapt to changes in our market;</w:t>
      </w:r>
    </w:p>
    <w:p>
      <w:pPr>
        <w:spacing w:after="0" w:line="1" w:lineRule="exact"/>
        <w:rPr>
          <w:sz w:val="20"/>
          <w:szCs w:val="20"/>
          <w:color w:val="auto"/>
        </w:rPr>
      </w:pPr>
    </w:p>
    <w:p>
      <w:pPr>
        <w:ind w:left="1100" w:right="380"/>
        <w:spacing w:after="0" w:line="219" w:lineRule="auto"/>
        <w:rPr>
          <w:sz w:val="20"/>
          <w:szCs w:val="20"/>
          <w:color w:val="auto"/>
        </w:rPr>
      </w:pPr>
      <w:r>
        <w:rPr>
          <w:rFonts w:ascii="Arial" w:cs="Arial" w:eastAsia="Arial" w:hAnsi="Arial"/>
          <w:sz w:val="18"/>
          <w:szCs w:val="18"/>
          <w:color w:val="auto"/>
        </w:rPr>
        <w:t>accommodate customer expectations and demands with respect to our products, increase product adoption by our existing customers or develop new customer relationships;</w:t>
      </w:r>
    </w:p>
    <w:p>
      <w:pPr>
        <w:ind w:left="1100"/>
        <w:spacing w:after="0" w:line="219" w:lineRule="auto"/>
        <w:rPr>
          <w:sz w:val="20"/>
          <w:szCs w:val="20"/>
          <w:color w:val="auto"/>
        </w:rPr>
      </w:pPr>
      <w:r>
        <w:rPr>
          <w:rFonts w:ascii="Arial" w:cs="Arial" w:eastAsia="Arial" w:hAnsi="Arial"/>
          <w:sz w:val="18"/>
          <w:szCs w:val="18"/>
          <w:color w:val="auto"/>
        </w:rPr>
        <w:t>grow our share by marketing and selling our products for new and additional applications;</w:t>
      </w:r>
    </w:p>
    <w:p>
      <w:pPr>
        <w:ind w:left="1100" w:right="140"/>
        <w:spacing w:after="0" w:line="219" w:lineRule="auto"/>
        <w:rPr>
          <w:sz w:val="20"/>
          <w:szCs w:val="20"/>
          <w:color w:val="auto"/>
        </w:rPr>
      </w:pPr>
      <w:r>
        <w:rPr>
          <w:rFonts w:ascii="Arial" w:cs="Arial" w:eastAsia="Arial" w:hAnsi="Arial"/>
          <w:sz w:val="18"/>
          <w:szCs w:val="18"/>
          <w:color w:val="auto"/>
        </w:rPr>
        <w:t>maintain and develop strategic relationships with vendors, manufacturers and other industry partners to acquire necessary materials for the production of, and to develop, manufacture and commercialize, our existing or future products;</w:t>
      </w:r>
    </w:p>
    <w:p>
      <w:pPr>
        <w:ind w:left="1100" w:right="1380"/>
        <w:spacing w:after="0" w:line="219" w:lineRule="auto"/>
        <w:rPr>
          <w:sz w:val="20"/>
          <w:szCs w:val="20"/>
          <w:color w:val="auto"/>
        </w:rPr>
      </w:pPr>
      <w:r>
        <w:rPr>
          <w:rFonts w:ascii="Arial" w:cs="Arial" w:eastAsia="Arial" w:hAnsi="Arial"/>
          <w:sz w:val="18"/>
          <w:szCs w:val="18"/>
          <w:color w:val="auto"/>
        </w:rPr>
        <w:t>adapt or scale our manufacturing activities to meet performance specifications and potential demand at a reasonable cost; avoid infringement and misappropriation of third-party intellectual property;</w:t>
      </w:r>
    </w:p>
    <w:p>
      <w:pPr>
        <w:ind w:left="1100" w:right="1940"/>
        <w:spacing w:after="0" w:line="219" w:lineRule="auto"/>
        <w:rPr>
          <w:sz w:val="20"/>
          <w:szCs w:val="20"/>
          <w:color w:val="auto"/>
        </w:rPr>
      </w:pPr>
      <w:r>
        <w:rPr>
          <w:rFonts w:ascii="Arial" w:cs="Arial" w:eastAsia="Arial" w:hAnsi="Arial"/>
          <w:sz w:val="18"/>
          <w:szCs w:val="18"/>
          <w:color w:val="auto"/>
        </w:rPr>
        <w:t>obtain and maintain any necessary licenses to third-party intellectual property on commercially reasonable terms; obtain valid and enforceable patents that give us a competitive advantage or enforce existing patents; protect our proprietary technology; and</w:t>
      </w:r>
    </w:p>
    <w:p>
      <w:pPr>
        <w:ind w:left="1100"/>
        <w:spacing w:after="0"/>
        <w:rPr>
          <w:sz w:val="20"/>
          <w:szCs w:val="20"/>
          <w:color w:val="auto"/>
        </w:rPr>
      </w:pPr>
      <w:r>
        <w:rPr>
          <w:rFonts w:ascii="Arial" w:cs="Arial" w:eastAsia="Arial" w:hAnsi="Arial"/>
          <w:sz w:val="18"/>
          <w:szCs w:val="18"/>
          <w:color w:val="auto"/>
        </w:rPr>
        <w:t>attract, retain and motivate qualified personnel.</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risks noted above, especially with respect to the marketing, sales, and commercialization of our products, may be heightened by the impact of the COVID-19 pandemic.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losses to date, and we expect to continue to incur significant losses as we develop our business and may never achieve profitability.</w:t>
      </w:r>
    </w:p>
    <w:p>
      <w:pPr>
        <w:spacing w:after="0" w:line="233"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Except for the quarters ended September 30, 2015 (as a result of a one-time gain on lease amendments), March 31, 2020 (as a result of the recognition of a gain relating to the Continuation Advances), December 31, 2020 (as a result of recognition of gain relating to the Reverse Termination Fee), September 30, 2021, (as a result of the recognition of a one-time income tax benefit from business acquisitions) and the year ended December 31, 2020 (as a result of recognition of gain relating to the Reverse Termination Fee and gain relating to the Continuation Advances), we have incurred net losses since inception and we cannot be certain if or when we will produce sufficient revenue from our operations to support our costs. Even if profitability is achieved in the future, we may not be able to sustain profitability on a consistent basis. Excluding the recognition in October 2020 of gain relating to the Reverse Termination Fee and the recognition in the first quarter of 2020 of gain relating to the Continuation Advances, we expect to continue to incur substantial losses and negative cash flow from operations for the foreseeable future.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make it more difficult for us to satisfy our obligations;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increase our vulnerability to general adverse economic and industry conditions;</w:t>
      </w:r>
    </w:p>
    <w:p>
      <w:pPr>
        <w:spacing w:after="0" w:line="63" w:lineRule="exact"/>
        <w:rPr>
          <w:sz w:val="20"/>
          <w:szCs w:val="20"/>
          <w:color w:val="auto"/>
        </w:rPr>
      </w:pPr>
    </w:p>
    <w:p>
      <w:pPr>
        <w:ind w:left="1100" w:right="880"/>
        <w:spacing w:after="0" w:line="313" w:lineRule="auto"/>
        <w:rPr>
          <w:sz w:val="20"/>
          <w:szCs w:val="20"/>
          <w:color w:val="auto"/>
        </w:rPr>
      </w:pPr>
      <w:r>
        <w:rPr>
          <w:rFonts w:ascii="Arial" w:cs="Arial" w:eastAsia="Arial" w:hAnsi="Arial"/>
          <w:sz w:val="18"/>
          <w:szCs w:val="18"/>
          <w:color w:val="auto"/>
        </w:rPr>
        <w:t>limit our ability to fund future working capital, capital expenditures, research and development and other business opportunities; increase the volatility of the price of our common stock;</w:t>
      </w:r>
    </w:p>
    <w:p>
      <w:pPr>
        <w:ind w:left="1100"/>
        <w:spacing w:after="0"/>
        <w:rPr>
          <w:sz w:val="20"/>
          <w:szCs w:val="20"/>
          <w:color w:val="auto"/>
        </w:rPr>
      </w:pPr>
      <w:r>
        <w:rPr>
          <w:rFonts w:ascii="Arial" w:cs="Arial" w:eastAsia="Arial" w:hAnsi="Arial"/>
          <w:sz w:val="18"/>
          <w:szCs w:val="18"/>
          <w:color w:val="auto"/>
        </w:rPr>
        <w:t>limit our flexibility to react to changes in our business and the industry in which we operate;</w:t>
      </w:r>
    </w:p>
    <w:p>
      <w:pPr>
        <w:spacing w:after="0" w:line="63" w:lineRule="exact"/>
        <w:rPr>
          <w:sz w:val="20"/>
          <w:szCs w:val="20"/>
          <w:color w:val="auto"/>
        </w:rPr>
      </w:pPr>
    </w:p>
    <w:p>
      <w:pPr>
        <w:ind w:left="1100" w:right="2060"/>
        <w:spacing w:after="0" w:line="313" w:lineRule="auto"/>
        <w:rPr>
          <w:sz w:val="20"/>
          <w:szCs w:val="20"/>
          <w:color w:val="auto"/>
        </w:rPr>
      </w:pPr>
      <w:r>
        <w:rPr>
          <w:rFonts w:ascii="Arial" w:cs="Arial" w:eastAsia="Arial" w:hAnsi="Arial"/>
          <w:sz w:val="18"/>
          <w:szCs w:val="18"/>
          <w:color w:val="auto"/>
        </w:rPr>
        <w:t>place us at a disadvantage to other companies that offer nucleic acid sequencing equipment or consumables; and limit our ability to borrow additional funds.</w:t>
      </w:r>
    </w:p>
    <w:p>
      <w:pPr>
        <w:spacing w:after="0"/>
        <w:rPr>
          <w:sz w:val="20"/>
          <w:szCs w:val="20"/>
          <w:color w:val="auto"/>
        </w:rPr>
      </w:pPr>
      <w:r>
        <w:rPr>
          <w:rFonts w:ascii="Arial" w:cs="Arial" w:eastAsia="Arial" w:hAnsi="Arial"/>
          <w:sz w:val="18"/>
          <w:szCs w:val="18"/>
          <w:color w:val="auto"/>
        </w:rPr>
        <w:t>Any or all of the foregoing may have a material adverse effect on our business, operations, financial condition, and prospects.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cash flow positive and may not have sufficient cash to fund our long-term planned operations.</w:t>
      </w:r>
    </w:p>
    <w:p>
      <w:pPr>
        <w:spacing w:after="0" w:line="198"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Our operations have consumed substantial amounts of cash since inception, and we expect to continue to incur substantial losses and negative cash flow from operations for the foreseeable future. We believe that our growth will depend, in part, on our ability to fund our commercialization efforts and our efforts to develop new products, including any improvements to the SMRT Cell 8M and Sequel II/IIe Systems. Our existing resources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and launching of new products, operations or to increase or maintain the level of our research and development activities.</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7"/>
          <w:szCs w:val="17"/>
          <w:color w:val="auto"/>
        </w:rPr>
        <w:t>Additional funds may not be available on terms acceptable to us or at all. We have incurred and may further incur additional debt, including the debt recently incurred through issuance of $900.0 million in aggregate principal amount of 1.50% Convertible Senior Notes due 2028.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153" w:lineRule="exact"/>
        <w:rPr>
          <w:sz w:val="20"/>
          <w:szCs w:val="20"/>
          <w:color w:val="auto"/>
        </w:rPr>
      </w:pPr>
    </w:p>
    <w:p>
      <w:pPr>
        <w:ind w:right="180" w:firstLine="609"/>
        <w:spacing w:after="0" w:line="223" w:lineRule="auto"/>
        <w:rPr>
          <w:sz w:val="20"/>
          <w:szCs w:val="20"/>
          <w:color w:val="auto"/>
        </w:rPr>
      </w:pPr>
      <w:r>
        <w:rPr>
          <w:rFonts w:ascii="Arial" w:cs="Arial" w:eastAsia="Arial" w:hAnsi="Arial"/>
          <w:sz w:val="18"/>
          <w:szCs w:val="18"/>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materially 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75" w:lineRule="exact"/>
        <w:rPr>
          <w:sz w:val="20"/>
          <w:szCs w:val="20"/>
          <w:color w:val="auto"/>
        </w:rPr>
      </w:pPr>
    </w:p>
    <w:p>
      <w:pPr>
        <w:ind w:right="20"/>
        <w:spacing w:after="0" w:line="343" w:lineRule="auto"/>
        <w:rPr>
          <w:sz w:val="20"/>
          <w:szCs w:val="20"/>
          <w:color w:val="auto"/>
        </w:rPr>
      </w:pPr>
      <w:r>
        <w:rPr>
          <w:rFonts w:ascii="Arial" w:cs="Arial" w:eastAsia="Arial" w:hAnsi="Arial"/>
          <w:sz w:val="15"/>
          <w:szCs w:val="15"/>
          <w:b w:val="1"/>
          <w:bCs w:val="1"/>
          <w:i w:val="1"/>
          <w:iCs w:val="1"/>
          <w:color w:val="auto"/>
        </w:rPr>
        <w:t>We have made acquisitions and, in the future, may continue to acquire businesses, technologies or assets, form joint ventures or make other strategic investments with companies that could harm our operating results, dilute our stockholders’ ownership, or cause us to incur debt or significant expense.</w:t>
      </w:r>
    </w:p>
    <w:p>
      <w:pPr>
        <w:spacing w:after="0" w:line="101" w:lineRule="exact"/>
        <w:rPr>
          <w:sz w:val="20"/>
          <w:szCs w:val="20"/>
          <w:color w:val="auto"/>
        </w:rPr>
      </w:pPr>
    </w:p>
    <w:p>
      <w:pPr>
        <w:ind w:firstLine="570"/>
        <w:spacing w:after="0" w:line="266" w:lineRule="auto"/>
        <w:rPr>
          <w:sz w:val="20"/>
          <w:szCs w:val="20"/>
          <w:color w:val="auto"/>
        </w:rPr>
      </w:pPr>
      <w:r>
        <w:rPr>
          <w:rFonts w:ascii="Arial" w:cs="Arial" w:eastAsia="Arial" w:hAnsi="Arial"/>
          <w:sz w:val="16"/>
          <w:szCs w:val="16"/>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 For example, we entered into a multi-year Development and Commercialization Agreement with Invitae, whereby Invitae provides us with funding to develop certain products relating to production-scale high-throughput sequencing. In July 2021 we acquired Circulomics and in September 2021, we acquired Omniome.</w:t>
      </w:r>
    </w:p>
    <w:p>
      <w:pPr>
        <w:spacing w:after="0" w:line="156" w:lineRule="exact"/>
        <w:rPr>
          <w:sz w:val="20"/>
          <w:szCs w:val="20"/>
          <w:color w:val="auto"/>
        </w:rPr>
      </w:pPr>
    </w:p>
    <w:p>
      <w:pPr>
        <w:ind w:right="100" w:firstLine="570"/>
        <w:spacing w:after="0" w:line="228" w:lineRule="auto"/>
        <w:rPr>
          <w:sz w:val="20"/>
          <w:szCs w:val="20"/>
          <w:color w:val="auto"/>
        </w:rPr>
      </w:pPr>
      <w:r>
        <w:rPr>
          <w:rFonts w:ascii="Arial" w:cs="Arial" w:eastAsia="Arial" w:hAnsi="Arial"/>
          <w:sz w:val="18"/>
          <w:szCs w:val="18"/>
          <w:color w:val="auto"/>
        </w:rPr>
        <w:t>Acquisitions involve numerous risks, any of which could harm our business and negatively affect our financial condition and results of operations, including:</w:t>
      </w:r>
    </w:p>
    <w:p>
      <w:pPr>
        <w:spacing w:after="0" w:line="1" w:lineRule="exact"/>
        <w:rPr>
          <w:sz w:val="20"/>
          <w:szCs w:val="20"/>
          <w:color w:val="auto"/>
        </w:rPr>
      </w:pPr>
    </w:p>
    <w:p>
      <w:pPr>
        <w:ind w:left="1300" w:right="140"/>
        <w:spacing w:after="0" w:line="219" w:lineRule="auto"/>
        <w:rPr>
          <w:sz w:val="20"/>
          <w:szCs w:val="20"/>
          <w:color w:val="auto"/>
        </w:rPr>
      </w:pPr>
      <w:r>
        <w:rPr>
          <w:rFonts w:ascii="Arial" w:cs="Arial" w:eastAsia="Arial" w:hAnsi="Arial"/>
          <w:sz w:val="18"/>
          <w:szCs w:val="18"/>
          <w:color w:val="auto"/>
        </w:rPr>
        <w:t>intense competition for suitable acquisition targets, which could increase prices and adversely affect our ability to consummate deals on favorable or acceptable terms;</w:t>
      </w:r>
    </w:p>
    <w:p>
      <w:pPr>
        <w:ind w:left="1300"/>
        <w:spacing w:after="0" w:line="219" w:lineRule="auto"/>
        <w:rPr>
          <w:sz w:val="20"/>
          <w:szCs w:val="20"/>
          <w:color w:val="auto"/>
        </w:rPr>
      </w:pPr>
      <w:r>
        <w:rPr>
          <w:rFonts w:ascii="Arial" w:cs="Arial" w:eastAsia="Arial" w:hAnsi="Arial"/>
          <w:sz w:val="18"/>
          <w:szCs w:val="18"/>
          <w:color w:val="auto"/>
        </w:rPr>
        <w:t>failure or material delay in closing a transaction;</w:t>
      </w:r>
    </w:p>
    <w:p>
      <w:pPr>
        <w:ind w:left="1300"/>
        <w:spacing w:after="0" w:line="219" w:lineRule="auto"/>
        <w:rPr>
          <w:sz w:val="20"/>
          <w:szCs w:val="20"/>
          <w:color w:val="auto"/>
        </w:rPr>
      </w:pPr>
      <w:r>
        <w:rPr>
          <w:rFonts w:ascii="Arial" w:cs="Arial" w:eastAsia="Arial" w:hAnsi="Arial"/>
          <w:sz w:val="18"/>
          <w:szCs w:val="18"/>
          <w:color w:val="auto"/>
        </w:rPr>
        <w:t>transaction-related lawsuits or claims;</w:t>
      </w:r>
    </w:p>
    <w:p>
      <w:pPr>
        <w:spacing w:after="0" w:line="1" w:lineRule="exact"/>
        <w:rPr>
          <w:sz w:val="20"/>
          <w:szCs w:val="20"/>
          <w:color w:val="auto"/>
        </w:rPr>
      </w:pPr>
    </w:p>
    <w:p>
      <w:pPr>
        <w:ind w:left="1300" w:right="1800"/>
        <w:spacing w:after="0" w:line="219" w:lineRule="auto"/>
        <w:rPr>
          <w:sz w:val="20"/>
          <w:szCs w:val="20"/>
          <w:color w:val="auto"/>
        </w:rPr>
      </w:pPr>
      <w:r>
        <w:rPr>
          <w:rFonts w:ascii="Arial" w:cs="Arial" w:eastAsia="Arial" w:hAnsi="Arial"/>
          <w:sz w:val="18"/>
          <w:szCs w:val="18"/>
          <w:color w:val="auto"/>
        </w:rPr>
        <w:t>difficulties in integrating the technologies, operations, existing contracts, and personnel of an acquired company; difficulties in retaining key employees or business partners of an acquired company;</w:t>
      </w:r>
    </w:p>
    <w:p>
      <w:pPr>
        <w:ind w:left="1300" w:right="3820"/>
        <w:spacing w:after="0" w:line="246" w:lineRule="auto"/>
        <w:rPr>
          <w:sz w:val="20"/>
          <w:szCs w:val="20"/>
          <w:color w:val="auto"/>
        </w:rPr>
      </w:pPr>
      <w:r>
        <w:rPr>
          <w:rFonts w:ascii="Arial" w:cs="Arial" w:eastAsia="Arial" w:hAnsi="Arial"/>
          <w:sz w:val="16"/>
          <w:szCs w:val="16"/>
          <w:color w:val="auto"/>
        </w:rPr>
        <w:t>difficulties in retaining suppliers, partners or customers of an acquired company; challenges with integrating the brand identity of an acquired company with our own;</w:t>
      </w:r>
    </w:p>
    <w:p>
      <w:pPr>
        <w:spacing w:after="0" w:line="1" w:lineRule="exact"/>
        <w:rPr>
          <w:sz w:val="20"/>
          <w:szCs w:val="20"/>
          <w:color w:val="auto"/>
        </w:rPr>
      </w:pPr>
    </w:p>
    <w:p>
      <w:pPr>
        <w:ind w:left="1300" w:right="1700"/>
        <w:spacing w:after="0" w:line="219" w:lineRule="auto"/>
        <w:rPr>
          <w:sz w:val="20"/>
          <w:szCs w:val="20"/>
          <w:color w:val="auto"/>
        </w:rPr>
      </w:pPr>
      <w:r>
        <w:rPr>
          <w:rFonts w:ascii="Arial" w:cs="Arial" w:eastAsia="Arial" w:hAnsi="Arial"/>
          <w:sz w:val="18"/>
          <w:szCs w:val="18"/>
          <w:color w:val="auto"/>
        </w:rPr>
        <w:t>diversion of financial and management resources from existing operations or alternative acquisition opportunities; failure to realize the anticipated benefits or synergies of a transaction;</w:t>
      </w:r>
    </w:p>
    <w:p>
      <w:pPr>
        <w:ind w:left="1300"/>
        <w:spacing w:after="0" w:line="219" w:lineRule="auto"/>
        <w:rPr>
          <w:sz w:val="20"/>
          <w:szCs w:val="20"/>
          <w:color w:val="auto"/>
        </w:rPr>
      </w:pPr>
      <w:r>
        <w:rPr>
          <w:rFonts w:ascii="Arial" w:cs="Arial" w:eastAsia="Arial" w:hAnsi="Arial"/>
          <w:sz w:val="18"/>
          <w:szCs w:val="18"/>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ind w:left="1300" w:right="380"/>
        <w:spacing w:after="0" w:line="219" w:lineRule="auto"/>
        <w:rPr>
          <w:sz w:val="20"/>
          <w:szCs w:val="20"/>
          <w:color w:val="auto"/>
        </w:rPr>
      </w:pPr>
      <w:r>
        <w:rPr>
          <w:rFonts w:ascii="Arial" w:cs="Arial" w:eastAsia="Arial" w:hAnsi="Arial"/>
          <w:sz w:val="18"/>
          <w:szCs w:val="18"/>
          <w:color w:val="auto"/>
        </w:rPr>
        <w:t>risks that regulatory bodies may enact new laws or promulgate new regulations that are adverse to an acquired company or business; risks that regulatory bodies do not approve our acquisitions or business combinations or delay such approvals; theft of our trade secrets or confidential information that we share with potential acquisition candidates;</w:t>
      </w:r>
    </w:p>
    <w:p>
      <w:pPr>
        <w:ind w:left="1300" w:right="1840"/>
        <w:spacing w:after="0" w:line="233" w:lineRule="auto"/>
        <w:rPr>
          <w:sz w:val="20"/>
          <w:szCs w:val="20"/>
          <w:color w:val="auto"/>
        </w:rPr>
      </w:pPr>
      <w:r>
        <w:rPr>
          <w:rFonts w:ascii="Arial" w:cs="Arial" w:eastAsia="Arial" w:hAnsi="Arial"/>
          <w:sz w:val="18"/>
          <w:szCs w:val="18"/>
          <w:color w:val="auto"/>
        </w:rPr>
        <w:t>risk that an acquired company or investment in new services cannibalizes a portion of our existing business; and adverse market reaction to an acquisition.</w:t>
      </w:r>
    </w:p>
    <w:p>
      <w:pPr>
        <w:spacing w:after="0" w:line="176" w:lineRule="exact"/>
        <w:rPr>
          <w:sz w:val="20"/>
          <w:szCs w:val="20"/>
          <w:color w:val="auto"/>
        </w:rPr>
      </w:pPr>
    </w:p>
    <w:p>
      <w:pPr>
        <w:ind w:firstLine="570"/>
        <w:spacing w:after="0" w:line="228" w:lineRule="auto"/>
        <w:rPr>
          <w:sz w:val="20"/>
          <w:szCs w:val="20"/>
          <w:color w:val="auto"/>
        </w:rPr>
      </w:pPr>
      <w:r>
        <w:rPr>
          <w:rFonts w:ascii="Arial" w:cs="Arial" w:eastAsia="Arial" w:hAnsi="Arial"/>
          <w:sz w:val="18"/>
          <w:szCs w:val="18"/>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178" w:lineRule="exact"/>
        <w:rPr>
          <w:sz w:val="20"/>
          <w:szCs w:val="20"/>
          <w:color w:val="auto"/>
        </w:rPr>
      </w:pPr>
    </w:p>
    <w:p>
      <w:pPr>
        <w:ind w:right="420" w:firstLine="570"/>
        <w:spacing w:after="0" w:line="235" w:lineRule="auto"/>
        <w:rPr>
          <w:sz w:val="20"/>
          <w:szCs w:val="20"/>
          <w:color w:val="auto"/>
        </w:rPr>
      </w:pPr>
      <w:r>
        <w:rPr>
          <w:rFonts w:ascii="Arial" w:cs="Arial" w:eastAsia="Arial" w:hAnsi="Arial"/>
          <w:sz w:val="18"/>
          <w:szCs w:val="18"/>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w:t>
      </w:r>
    </w:p>
    <w:p>
      <w:pPr>
        <w:spacing w:after="0" w:line="175"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b w:val="1"/>
          <w:bCs w:val="1"/>
          <w:i w:val="1"/>
          <w:iCs w:val="1"/>
          <w:color w:val="auto"/>
        </w:rPr>
        <w:t>If we are unable to successfully develop and timely manufacture our current and future products, including with respect to the Sequel System, the SMRT Cell 8M and Sequel II/IIe Systems and related products, our business may be adversely affected.</w:t>
      </w:r>
    </w:p>
    <w:p>
      <w:pPr>
        <w:spacing w:after="0" w:line="148" w:lineRule="exact"/>
        <w:rPr>
          <w:sz w:val="20"/>
          <w:szCs w:val="20"/>
          <w:color w:val="auto"/>
        </w:rPr>
      </w:pPr>
    </w:p>
    <w:p>
      <w:pPr>
        <w:ind w:right="60" w:firstLine="648"/>
        <w:spacing w:after="0" w:line="223" w:lineRule="auto"/>
        <w:rPr>
          <w:sz w:val="20"/>
          <w:szCs w:val="20"/>
          <w:color w:val="auto"/>
        </w:rPr>
      </w:pPr>
      <w:r>
        <w:rPr>
          <w:rFonts w:ascii="Arial" w:cs="Arial" w:eastAsia="Arial" w:hAnsi="Arial"/>
          <w:sz w:val="18"/>
          <w:szCs w:val="18"/>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II/IIe Systems, depends on a number of factors, including performance and reliability of the system, our anticipating and effectively addressing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the SMRT Cell 8M, reagents and Sequel II/IIe Systems,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including with respect to the SMRT Cell 8M. We have designed SMRT Cells and other consumables specifically for the Sequel and Sequel II/IIe Systems, and may need to develop in the future, other customized SMRT Cells and consumables for our future products, including the SMRT Cell 8M for the Sequel II/IIe Systems. Our production of the SMRT Cells for the Sequel and Sequel II/IIe Systems has been and may in the future be below desired levels and yields, and we have experienced and may experience in the future manufacturing delays, product or quality defects, SMRT Cell variability, and other issues. For example, the COVID–19 pandemic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materially negatively impact our ability to sell our products or result in other material adverse effects on our business, operations, financial condition, operations and prospects.</w:t>
      </w:r>
    </w:p>
    <w:p>
      <w:pPr>
        <w:spacing w:after="0" w:line="368"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we may be forced to delay product shipments or the scaling of manufacturing or supply. In particular, if the continued rollout of our current and future products, including with respect to the SMRT Cell 8M and Sequel II/IIe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8M and Sequel II/IIe Systems, could materially and adversely affect our business, operations, financial condition, and prospects.</w:t>
      </w:r>
    </w:p>
    <w:p>
      <w:pPr>
        <w:spacing w:after="0" w:line="170" w:lineRule="exact"/>
        <w:rPr>
          <w:sz w:val="20"/>
          <w:szCs w:val="20"/>
          <w:color w:val="auto"/>
        </w:rPr>
      </w:pPr>
    </w:p>
    <w:p>
      <w:pPr>
        <w:ind w:right="80"/>
        <w:spacing w:after="0" w:line="343" w:lineRule="auto"/>
        <w:rPr>
          <w:sz w:val="20"/>
          <w:szCs w:val="20"/>
          <w:color w:val="auto"/>
        </w:rPr>
      </w:pPr>
      <w:r>
        <w:rPr>
          <w:rFonts w:ascii="Arial" w:cs="Arial" w:eastAsia="Arial" w:hAnsi="Arial"/>
          <w:sz w:val="15"/>
          <w:szCs w:val="15"/>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101" w:lineRule="exact"/>
        <w:rPr>
          <w:sz w:val="20"/>
          <w:szCs w:val="20"/>
          <w:color w:val="auto"/>
        </w:rPr>
      </w:pPr>
    </w:p>
    <w:p>
      <w:pPr>
        <w:ind w:firstLine="648"/>
        <w:spacing w:after="0" w:line="233" w:lineRule="auto"/>
        <w:rPr>
          <w:sz w:val="20"/>
          <w:szCs w:val="20"/>
          <w:color w:val="auto"/>
        </w:rPr>
      </w:pPr>
      <w:r>
        <w:rPr>
          <w:rFonts w:ascii="Arial" w:cs="Arial" w:eastAsia="Arial" w:hAnsi="Arial"/>
          <w:sz w:val="17"/>
          <w:szCs w:val="17"/>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with respect to the SMRT Cell 8M and the Sequel II/IIe Systems.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or joint research and development efforts with partners. Our joint research and development efforts with partners require significant management attention and operational resources. If we are unable to successfully manage such joint research and development efforts, our future results may be adversely impacted. In January 2021, we entered into a multi-year collaboration with Invitae to begin development of a production-scale high-throughput sequencing platform; in certain termination circumstances of this collaboration, we may be obligated to refund all or a portion of the development funds advanced by Invitae and/or we may owe Invitae a share of the revenue generated from the sale of the program products. Furthermore, we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b w:val="1"/>
          <w:bCs w:val="1"/>
          <w:i w:val="1"/>
          <w:iCs w:val="1"/>
          <w:color w:val="auto"/>
        </w:rPr>
        <w:t>We must successfully manage new product introductions and transitions, including with respect to the SMRT Cell 8M and Sequel II/IIe Systems, we may incur significant costs during these transitions, and they may not result in the benefits we anticipate.</w:t>
      </w:r>
    </w:p>
    <w:p>
      <w:pPr>
        <w:spacing w:after="0" w:line="148"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8M and Sequel II/IIe Systems and also any future products that may be developed for medical and clinical uses, it could have a material adverse effect on our business, financial condition and results of operations. In addition, the introduction of future products, including with respect to the SMRT Cell 8M and Sequel II/IIe Systems,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Further,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SMRT Cell 8M and Sequel II/IIe System, our business, operations, financial condition, and prospects may be materially and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significant changes to our leadership team and the resulting management transitions might harm our future operating results.</w:t>
      </w:r>
    </w:p>
    <w:p>
      <w:pPr>
        <w:spacing w:after="0" w:line="75" w:lineRule="exact"/>
        <w:rPr>
          <w:sz w:val="20"/>
          <w:szCs w:val="20"/>
          <w:color w:val="auto"/>
        </w:rPr>
      </w:pPr>
    </w:p>
    <w:p>
      <w:pPr>
        <w:ind w:right="40" w:firstLine="440"/>
        <w:spacing w:after="0" w:line="227" w:lineRule="auto"/>
        <w:rPr>
          <w:sz w:val="20"/>
          <w:szCs w:val="20"/>
          <w:color w:val="auto"/>
        </w:rPr>
      </w:pPr>
      <w:r>
        <w:rPr>
          <w:rFonts w:ascii="Arial" w:cs="Arial" w:eastAsia="Arial" w:hAnsi="Arial"/>
          <w:sz w:val="18"/>
          <w:szCs w:val="18"/>
          <w:color w:val="auto"/>
        </w:rPr>
        <w:t>We have recently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 Oene, and our Chief Commercial Officer, Peter Fromen, were each appointed effective January 8, 2021. Also, our Vice President and Chief Accounting Officer Michele Farmer was appointed effective May 17, 2021, and our Chairman of the Board Dr. John F. Milligan was appointed effective September 14, 2020.</w:t>
      </w:r>
    </w:p>
    <w:p>
      <w:pPr>
        <w:spacing w:after="0" w:line="40" w:lineRule="exact"/>
        <w:rPr>
          <w:sz w:val="20"/>
          <w:szCs w:val="20"/>
          <w:color w:val="auto"/>
        </w:rPr>
      </w:pPr>
    </w:p>
    <w:p>
      <w:pPr>
        <w:ind w:firstLine="440"/>
        <w:spacing w:after="0" w:line="252" w:lineRule="auto"/>
        <w:rPr>
          <w:sz w:val="20"/>
          <w:szCs w:val="20"/>
          <w:color w:val="auto"/>
        </w:rPr>
      </w:pPr>
      <w:r>
        <w:rPr>
          <w:rFonts w:ascii="Arial" w:cs="Arial" w:eastAsia="Arial" w:hAnsi="Arial"/>
          <w:sz w:val="16"/>
          <w:szCs w:val="16"/>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148" w:lineRule="exact"/>
        <w:rPr>
          <w:sz w:val="20"/>
          <w:szCs w:val="20"/>
          <w:color w:val="auto"/>
        </w:rPr>
      </w:pPr>
    </w:p>
    <w:p>
      <w:pPr>
        <w:ind w:right="40" w:firstLine="648"/>
        <w:spacing w:after="0" w:line="235" w:lineRule="auto"/>
        <w:rPr>
          <w:sz w:val="20"/>
          <w:szCs w:val="20"/>
          <w:color w:val="auto"/>
        </w:rPr>
      </w:pPr>
      <w:r>
        <w:rPr>
          <w:rFonts w:ascii="Arial" w:cs="Arial" w:eastAsia="Arial" w:hAnsi="Arial"/>
          <w:sz w:val="17"/>
          <w:szCs w:val="17"/>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In addition, we will need to continue to recruit, hire and retain sales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personnel to support the commercialization of our products.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16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17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applications, including uses by academic, government and clinical laboratories, as well as pharmaceutical, diagnostic, biotechnology and agriculture companies, among others. However, we may be unsuccessful in these efforts and the sale and commercialization of the SMRT Cell 8M and Sequel II/IIe Systems, and related products may not grow sufficiently to cover our costs.</w:t>
      </w:r>
    </w:p>
    <w:p>
      <w:pPr>
        <w:spacing w:after="0" w:line="177" w:lineRule="exact"/>
        <w:rPr>
          <w:sz w:val="20"/>
          <w:szCs w:val="20"/>
          <w:color w:val="auto"/>
        </w:rPr>
      </w:pPr>
    </w:p>
    <w:p>
      <w:pPr>
        <w:ind w:right="80" w:firstLine="648"/>
        <w:spacing w:after="0" w:line="253" w:lineRule="auto"/>
        <w:rPr>
          <w:sz w:val="20"/>
          <w:szCs w:val="20"/>
          <w:color w:val="auto"/>
        </w:rPr>
      </w:pPr>
      <w:r>
        <w:rPr>
          <w:rFonts w:ascii="Arial" w:cs="Arial" w:eastAsia="Arial" w:hAnsi="Arial"/>
          <w:sz w:val="16"/>
          <w:szCs w:val="16"/>
          <w:color w:val="auto"/>
        </w:rPr>
        <w:t>There can be no assurance that we will be successful in adding new products or securing additional customers for our current and future products, including with respect to the SMRT Cell 8M and Sequel II/IIe Systems and products related to our recent Circulomics and Omniome acquisitions. If we are unable to sell Circulomics or Omniome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thus cannot guarantee success in acquiring additional customers. Furthermore, we cannot guarantee that our products will be satisfactory to potential customers or that our products will perform in accordance with customer expectations.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6"/>
          <w:szCs w:val="16"/>
          <w:color w:val="auto"/>
        </w:rPr>
        <w:t>These applications are new and dynamic, and there can be no assurance that they will develop as quickly as we anticipate, that they will reach their full potential or that they will be receptive to any of our products.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including with respect to the SMRT Cell 8M and Sequel II/IIe Systems.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164" w:lineRule="exact"/>
        <w:rPr>
          <w:sz w:val="20"/>
          <w:szCs w:val="20"/>
          <w:color w:val="auto"/>
        </w:rPr>
      </w:pPr>
    </w:p>
    <w:p>
      <w:pPr>
        <w:ind w:right="40" w:firstLine="648"/>
        <w:spacing w:after="0" w:line="222" w:lineRule="auto"/>
        <w:rPr>
          <w:sz w:val="20"/>
          <w:szCs w:val="20"/>
          <w:color w:val="auto"/>
        </w:rPr>
      </w:pPr>
      <w:r>
        <w:rPr>
          <w:rFonts w:ascii="Arial" w:cs="Arial" w:eastAsia="Arial" w:hAnsi="Arial"/>
          <w:sz w:val="18"/>
          <w:szCs w:val="18"/>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and our business may not succeed.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175"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182" w:lineRule="exact"/>
        <w:rPr>
          <w:sz w:val="20"/>
          <w:szCs w:val="20"/>
          <w:color w:val="auto"/>
        </w:rPr>
      </w:pPr>
    </w:p>
    <w:p>
      <w:pPr>
        <w:ind w:right="60" w:firstLine="648"/>
        <w:spacing w:after="0" w:line="252" w:lineRule="auto"/>
        <w:rPr>
          <w:sz w:val="20"/>
          <w:szCs w:val="20"/>
          <w:color w:val="auto"/>
        </w:rPr>
      </w:pPr>
      <w:r>
        <w:rPr>
          <w:rFonts w:ascii="Arial" w:cs="Arial" w:eastAsia="Arial" w:hAnsi="Arial"/>
          <w:sz w:val="16"/>
          <w:szCs w:val="16"/>
          <w:color w:val="auto"/>
        </w:rPr>
        <w:t>The operations of our third-party manufacturing partners and suppliers could be disrupted by conditions unrelated to our business or operations or that are beyond our control, including but not limited to international trade restrictions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a global shortage of semiconductors, which has been reported since early 2021, has caused challenges in our supply chain and resulted in some cost increases. In addition, because our semiconductor suppliers are in regions that have low vaccination rates, the more contagious Delta variant of COVID-19, or any variants that evolve in the future, could lead to increased infections among workers that could further disrupt the supply chain. Our current manufacturing process is characterized by long lead times between the placement of orders for and delivery of our products. If we have received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our business, operations, financial condition, and prospects could be materially and adversely harmed.</w:t>
      </w:r>
    </w:p>
    <w:p>
      <w:pPr>
        <w:spacing w:after="0" w:line="17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170" w:lineRule="exact"/>
        <w:rPr>
          <w:sz w:val="20"/>
          <w:szCs w:val="20"/>
          <w:color w:val="auto"/>
        </w:rPr>
      </w:pPr>
    </w:p>
    <w:p>
      <w:pPr>
        <w:ind w:right="80" w:firstLine="648"/>
        <w:spacing w:after="0"/>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and has been and may in the future be below desired yields and resulting output levels. We have experienced and may experience in the future manufacturing delays, product defects, variability in the performance of SMRT Cells and other products, inadequate reserves for inventory, or other issues.</w:t>
      </w:r>
    </w:p>
    <w:p>
      <w:pPr>
        <w:spacing w:after="0" w:line="177"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facilities, including, for example, if we experience increased cases of COVID-19 among our employees, or if our suppliers are unable to meet our increased demand at a time when the supply chain is under duress due to potential dislocations and disruptions in product and employee availability due to COVID-</w:t>
      </w:r>
    </w:p>
    <w:p>
      <w:pPr>
        <w:spacing w:after="0" w:line="1" w:lineRule="exact"/>
        <w:rPr>
          <w:sz w:val="20"/>
          <w:szCs w:val="20"/>
          <w:color w:val="auto"/>
        </w:rPr>
      </w:pPr>
    </w:p>
    <w:p>
      <w:pPr>
        <w:ind w:right="140" w:firstLine="8"/>
        <w:spacing w:after="0" w:line="228"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177"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b w:val="1"/>
          <w:bCs w:val="1"/>
          <w:i w:val="1"/>
          <w:iCs w:val="1"/>
          <w:color w:val="auto"/>
        </w:rPr>
        <w:t>Rapidly changing technology in life sciences and diagnostics could make our products obsolete unless we continue to develop, manufacture and commercialize new and improved products and pursue new opportunities.</w:t>
      </w:r>
    </w:p>
    <w:p>
      <w:pPr>
        <w:spacing w:after="0" w:line="170"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8M and Sequel II/IIe Systems, could diminish future demand for our products and may materially and adversely harm our future operating results.</w:t>
      </w:r>
    </w:p>
    <w:p>
      <w:pPr>
        <w:spacing w:after="0" w:line="17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70" w:lineRule="exact"/>
        <w:rPr>
          <w:sz w:val="20"/>
          <w:szCs w:val="20"/>
          <w:color w:val="auto"/>
        </w:rPr>
      </w:pPr>
    </w:p>
    <w:p>
      <w:pPr>
        <w:ind w:right="20" w:firstLine="648"/>
        <w:spacing w:after="0" w:line="261" w:lineRule="auto"/>
        <w:rPr>
          <w:sz w:val="20"/>
          <w:szCs w:val="20"/>
          <w:color w:val="auto"/>
        </w:rPr>
      </w:pPr>
      <w:r>
        <w:rPr>
          <w:rFonts w:ascii="Arial" w:cs="Arial" w:eastAsia="Arial" w:hAnsi="Arial"/>
          <w:sz w:val="16"/>
          <w:szCs w:val="16"/>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industry and if we are not able to compete effectively, our business and operating results will likely be harmed.</w:t>
      </w:r>
    </w:p>
    <w:p>
      <w:pPr>
        <w:spacing w:after="0" w:line="86" w:lineRule="exact"/>
        <w:rPr>
          <w:sz w:val="20"/>
          <w:szCs w:val="20"/>
          <w:color w:val="auto"/>
        </w:rPr>
      </w:pPr>
    </w:p>
    <w:p>
      <w:pPr>
        <w:ind w:right="80" w:firstLine="648"/>
        <w:spacing w:after="0"/>
        <w:rPr>
          <w:sz w:val="20"/>
          <w:szCs w:val="20"/>
          <w:color w:val="auto"/>
        </w:rPr>
      </w:pPr>
      <w:r>
        <w:rPr>
          <w:rFonts w:ascii="Arial" w:cs="Arial" w:eastAsia="Arial" w:hAnsi="Arial"/>
          <w:sz w:val="17"/>
          <w:szCs w:val="17"/>
          <w:color w:val="auto"/>
        </w:rPr>
        <w:t>There are a significant number of companies offering nucleic acid sequencing products and/or services, including Illumina, BGI Genomics, Thermo, Oxford Nanopore Technologies Ltd. (“ONT Ltd.”), Roche, and Qiagen.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42" w:lineRule="exact"/>
        <w:rPr>
          <w:sz w:val="20"/>
          <w:szCs w:val="20"/>
          <w:color w:val="auto"/>
        </w:rPr>
      </w:pPr>
    </w:p>
    <w:p>
      <w:pPr>
        <w:ind w:right="80" w:firstLine="648"/>
        <w:spacing w:after="0" w:line="234" w:lineRule="auto"/>
        <w:rPr>
          <w:sz w:val="20"/>
          <w:szCs w:val="20"/>
          <w:color w:val="auto"/>
        </w:rPr>
      </w:pPr>
      <w:r>
        <w:rPr>
          <w:rFonts w:ascii="Arial" w:cs="Arial" w:eastAsia="Arial" w:hAnsi="Arial"/>
          <w:sz w:val="17"/>
          <w:szCs w:val="17"/>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unable to successfully increase sales of our current products or market and sell our future products.</w:t>
      </w:r>
    </w:p>
    <w:p>
      <w:pPr>
        <w:spacing w:after="0" w:line="198"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40" w:lineRule="exact"/>
        <w:rPr>
          <w:sz w:val="20"/>
          <w:szCs w:val="20"/>
          <w:color w:val="auto"/>
        </w:rPr>
      </w:pPr>
    </w:p>
    <w:p>
      <w:pPr>
        <w:ind w:left="1100" w:right="380"/>
        <w:spacing w:after="0" w:line="246" w:lineRule="auto"/>
        <w:rPr>
          <w:sz w:val="20"/>
          <w:szCs w:val="20"/>
          <w:color w:val="auto"/>
        </w:rPr>
      </w:pPr>
      <w:r>
        <w:rPr>
          <w:rFonts w:ascii="Arial" w:cs="Arial" w:eastAsia="Arial" w:hAnsi="Arial"/>
          <w:sz w:val="18"/>
          <w:szCs w:val="18"/>
          <w:color w:val="auto"/>
        </w:rPr>
        <w:t>our ability to attract, retain and manage qualified sales, marketing and service personnel necessary to expand market acceptance for our technologies;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performance and commercial availability expectations of our existing and potential customers with respect to new and existing products;</w:t>
      </w:r>
    </w:p>
    <w:p>
      <w:pPr>
        <w:spacing w:after="0" w:line="86" w:lineRule="exact"/>
        <w:rPr>
          <w:sz w:val="20"/>
          <w:szCs w:val="20"/>
          <w:color w:val="auto"/>
        </w:rPr>
      </w:pPr>
    </w:p>
    <w:p>
      <w:pPr>
        <w:ind w:left="1100"/>
        <w:spacing w:after="0" w:line="246" w:lineRule="auto"/>
        <w:rPr>
          <w:sz w:val="20"/>
          <w:szCs w:val="20"/>
          <w:color w:val="auto"/>
        </w:rPr>
      </w:pPr>
      <w:r>
        <w:rPr>
          <w:rFonts w:ascii="Arial" w:cs="Arial" w:eastAsia="Arial" w:hAnsi="Arial"/>
          <w:sz w:val="18"/>
          <w:szCs w:val="18"/>
          <w:color w:val="auto"/>
        </w:rPr>
        <w:t>availability of potential sales and distribution partners to sell our technologies, and our ability to attract and retain such sales and distribution partners;</w:t>
      </w:r>
    </w:p>
    <w:p>
      <w:pPr>
        <w:spacing w:after="0" w:line="35" w:lineRule="exact"/>
        <w:rPr>
          <w:sz w:val="20"/>
          <w:szCs w:val="20"/>
          <w:color w:val="auto"/>
        </w:rPr>
      </w:pPr>
    </w:p>
    <w:p>
      <w:pPr>
        <w:ind w:left="1100" w:right="340"/>
        <w:spacing w:after="0" w:line="246" w:lineRule="auto"/>
        <w:rPr>
          <w:sz w:val="20"/>
          <w:szCs w:val="20"/>
          <w:color w:val="auto"/>
        </w:rPr>
      </w:pPr>
      <w:r>
        <w:rPr>
          <w:rFonts w:ascii="Arial" w:cs="Arial" w:eastAsia="Arial" w:hAnsi="Arial"/>
          <w:sz w:val="18"/>
          <w:szCs w:val="18"/>
          <w:color w:val="auto"/>
        </w:rPr>
        <w:t>the time and cost of maintaining and growing a specialized sales, marketing and service force for a particular application, which may be difficult to justify in light of the revenue generated; and</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sales, marketing and service force may be unable to execute successful commercial activities.</w:t>
      </w:r>
    </w:p>
    <w:p>
      <w:pPr>
        <w:spacing w:after="0" w:line="198" w:lineRule="exact"/>
        <w:rPr>
          <w:sz w:val="20"/>
          <w:szCs w:val="20"/>
          <w:color w:val="auto"/>
        </w:rPr>
      </w:pPr>
    </w:p>
    <w:p>
      <w:pPr>
        <w:ind w:right="60" w:firstLine="648"/>
        <w:spacing w:after="0" w:line="261" w:lineRule="auto"/>
        <w:rPr>
          <w:sz w:val="20"/>
          <w:szCs w:val="20"/>
          <w:color w:val="auto"/>
        </w:rPr>
      </w:pPr>
      <w:r>
        <w:rPr>
          <w:rFonts w:ascii="Arial" w:cs="Arial" w:eastAsia="Arial" w:hAnsi="Arial"/>
          <w:sz w:val="16"/>
          <w:szCs w:val="16"/>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161"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175" w:lineRule="exact"/>
        <w:rPr>
          <w:sz w:val="20"/>
          <w:szCs w:val="20"/>
          <w:color w:val="auto"/>
        </w:rPr>
      </w:pPr>
    </w:p>
    <w:p>
      <w:pPr>
        <w:ind w:right="20" w:firstLine="648"/>
        <w:spacing w:after="0" w:line="236" w:lineRule="auto"/>
        <w:rPr>
          <w:sz w:val="20"/>
          <w:szCs w:val="20"/>
          <w:color w:val="auto"/>
        </w:rPr>
      </w:pPr>
      <w:r>
        <w:rPr>
          <w:rFonts w:ascii="Arial" w:cs="Arial" w:eastAsia="Arial" w:hAnsi="Arial"/>
          <w:sz w:val="17"/>
          <w:szCs w:val="17"/>
          <w:color w:val="auto"/>
        </w:rPr>
        <w:t>We receive a significant portion of our revenue from a limited number of customers. For example, for the fiscal year ended December 31, 2020, 2019 and 2018, one of our customers, Gene Company Limited, accounted for approximately 14%, 17% and 26% of our total revenue, respectively. Gene Company Limited is our primary distributor in China.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be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181" w:lineRule="exact"/>
        <w:rPr>
          <w:sz w:val="20"/>
          <w:szCs w:val="20"/>
          <w:color w:val="auto"/>
        </w:rPr>
      </w:pPr>
    </w:p>
    <w:p>
      <w:pPr>
        <w:ind w:right="260" w:firstLine="693"/>
        <w:spacing w:after="0" w:line="235" w:lineRule="auto"/>
        <w:rPr>
          <w:sz w:val="20"/>
          <w:szCs w:val="20"/>
          <w:color w:val="auto"/>
        </w:rPr>
      </w:pPr>
      <w:r>
        <w:rPr>
          <w:rFonts w:ascii="Arial" w:cs="Arial" w:eastAsia="Arial" w:hAnsi="Arial"/>
          <w:sz w:val="18"/>
          <w:szCs w:val="18"/>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175" w:lineRule="exact"/>
        <w:rPr>
          <w:sz w:val="20"/>
          <w:szCs w:val="20"/>
          <w:color w:val="auto"/>
        </w:rPr>
      </w:pPr>
    </w:p>
    <w:p>
      <w:pPr>
        <w:ind w:right="20" w:firstLine="648"/>
        <w:spacing w:after="0" w:line="261" w:lineRule="auto"/>
        <w:rPr>
          <w:sz w:val="20"/>
          <w:szCs w:val="20"/>
          <w:color w:val="auto"/>
        </w:rPr>
      </w:pPr>
      <w:r>
        <w:rPr>
          <w:rFonts w:ascii="Arial" w:cs="Arial" w:eastAsia="Arial" w:hAnsi="Arial"/>
          <w:sz w:val="16"/>
          <w:szCs w:val="16"/>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61"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170" w:lineRule="exact"/>
        <w:rPr>
          <w:sz w:val="20"/>
          <w:szCs w:val="20"/>
          <w:color w:val="auto"/>
        </w:rPr>
      </w:pPr>
    </w:p>
    <w:p>
      <w:pPr>
        <w:ind w:right="340" w:firstLine="648"/>
        <w:spacing w:after="0" w:line="228" w:lineRule="auto"/>
        <w:rPr>
          <w:sz w:val="20"/>
          <w:szCs w:val="20"/>
          <w:color w:val="auto"/>
        </w:rPr>
      </w:pPr>
      <w:r>
        <w:rPr>
          <w:rFonts w:ascii="Arial" w:cs="Arial" w:eastAsia="Arial" w:hAnsi="Arial"/>
          <w:sz w:val="18"/>
          <w:szCs w:val="18"/>
          <w:color w:val="auto"/>
        </w:rPr>
        <w:t>Products using our SMRT sequencing technology are highly complex and may develop or contain undetected defects or errors. Our customers have experienced and may continue to experience reliability issues with our existing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future products, including the Sequel System and the Sequel II/IIe Systems. Despite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SMRT Cell 8M and Sequel II/IIe Systems, or enhancements to our existing products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generally ship our sequencing instruments with one year of service included in the purchase price with an option to purchase one or more additional years of service. We also provide a warranty for our consumables, which is generally limited to replacing, or at our option, giving credit for any consumable with defects in material or workmanship.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170" w:lineRule="exact"/>
        <w:rPr>
          <w:sz w:val="20"/>
          <w:szCs w:val="20"/>
          <w:color w:val="auto"/>
        </w:rPr>
      </w:pPr>
    </w:p>
    <w:p>
      <w:pPr>
        <w:ind w:right="60" w:firstLine="648"/>
        <w:spacing w:after="0" w:line="227" w:lineRule="auto"/>
        <w:rPr>
          <w:sz w:val="20"/>
          <w:szCs w:val="20"/>
          <w:color w:val="auto"/>
        </w:rPr>
      </w:pPr>
      <w:r>
        <w:rPr>
          <w:rFonts w:ascii="Arial" w:cs="Arial" w:eastAsia="Arial" w:hAnsi="Arial"/>
          <w:sz w:val="18"/>
          <w:szCs w:val="18"/>
          <w:color w:val="auto"/>
        </w:rPr>
        <w:t>In addition, such defects or errors could lead to the filing of product liability claims against us or against third parties who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17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7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Our instruments represent significant capital expenditures for our customers.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convert our orders in backlog into revenue.</w:t>
      </w:r>
    </w:p>
    <w:p>
      <w:pPr>
        <w:spacing w:after="0" w:line="198"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7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6"/>
          <w:szCs w:val="16"/>
          <w:color w:val="auto"/>
        </w:rPr>
        <w:t>Many events can cause an order to be delayed or not completed at all, some of which may be out of our control, including the potential impacts from COVID-19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56"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b w:val="1"/>
          <w:bCs w:val="1"/>
          <w:i w:val="1"/>
          <w:iCs w:val="1"/>
          <w:color w:val="auto"/>
        </w:rPr>
        <w:t>Our sales cycle is unpredictable and lengthy, which makes it difficult to forecast revenue and may increase the magnitude of quarterly or annual fluctuations in our operating results.</w:t>
      </w:r>
    </w:p>
    <w:p>
      <w:pPr>
        <w:spacing w:after="0" w:line="170" w:lineRule="exact"/>
        <w:rPr>
          <w:sz w:val="20"/>
          <w:szCs w:val="20"/>
          <w:color w:val="auto"/>
        </w:rPr>
      </w:pPr>
    </w:p>
    <w:p>
      <w:pPr>
        <w:ind w:right="40" w:firstLine="648"/>
        <w:spacing w:after="0" w:line="234" w:lineRule="auto"/>
        <w:rPr>
          <w:sz w:val="20"/>
          <w:szCs w:val="20"/>
          <w:color w:val="auto"/>
        </w:rPr>
      </w:pPr>
      <w:r>
        <w:rPr>
          <w:rFonts w:ascii="Arial" w:cs="Arial" w:eastAsia="Arial" w:hAnsi="Arial"/>
          <w:sz w:val="17"/>
          <w:szCs w:val="17"/>
          <w:color w:val="auto"/>
        </w:rPr>
        <w:t>The sales cycle for our sequencing instruments is lengthy because they represent a major capital expenditure and generally require the approval of our customers’ senior management. This may contribute to substantial fluctuations in our quarterly or annual operating results, particularly during the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changes or trends in new technologies and industry standards; and the impact of COVID-19.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spacing w:after="0" w:line="17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b w:val="1"/>
          <w:bCs w:val="1"/>
          <w:i w:val="1"/>
          <w:iCs w:val="1"/>
          <w:color w:val="auto"/>
        </w:rPr>
        <w:t>Because some of our customers and suppliers are based in China, our business, financial condition and results of operations could be adversely affected by the political and economic tensions between the United States and China.</w:t>
      </w:r>
    </w:p>
    <w:p>
      <w:pPr>
        <w:spacing w:after="0" w:line="170"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We are subject to risks associated with political conflicts between the U.S. and China. A significant portion of our revenue is generated from China. For example, for the fiscal year ended December 31, 2020, 2019 and 2018, Gene Company Limited, our primary distributor in China, accounted for approximately 14%, 17% and 26% of our total revenue, respectively. In addition, certain components, some of which are critical components, of our products are manufactured in China. These components are either sourced directly from companies in China or indirectly from third parties that source from companies in China.</w:t>
      </w:r>
    </w:p>
    <w:p>
      <w:pPr>
        <w:spacing w:after="0" w:line="178"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The imposition of tariffs or other trade barriers between the U.S. and China, including the tariffs previously implemented and additional tariffs that have been proposed by the U.S. government on various imports from China and by the Chinese government on certain U.S. goods, the scope and duration of which, if implemented, remain uncertain. In September 2018, the U.S. Trade Representative (the “USTR”) enacted various tariffs of 7.5%, 10%, 15% and 25% on the import of Chinese products, including non-U.S. components and materials that may be used in our products. 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Therefore, it is possible that our ability to export our products to China may be restricted in the future. China also has imposed tariffs on imports into China from the United States. These tariffs could raise our costs.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risks could include:</w:t>
      </w:r>
    </w:p>
    <w:p>
      <w:pPr>
        <w:spacing w:after="0" w:line="90" w:lineRule="exact"/>
        <w:rPr>
          <w:sz w:val="20"/>
          <w:szCs w:val="20"/>
          <w:color w:val="auto"/>
        </w:rPr>
      </w:pPr>
    </w:p>
    <w:p>
      <w:pPr>
        <w:ind w:left="1100" w:right="20"/>
        <w:spacing w:after="0" w:line="235" w:lineRule="auto"/>
        <w:rPr>
          <w:sz w:val="20"/>
          <w:szCs w:val="20"/>
          <w:color w:val="auto"/>
        </w:rPr>
      </w:pPr>
      <w:r>
        <w:rPr>
          <w:rFonts w:ascii="Arial" w:cs="Arial" w:eastAsia="Arial" w:hAnsi="Arial"/>
          <w:sz w:val="18"/>
          <w:szCs w:val="18"/>
          <w:color w:val="auto"/>
        </w:rPr>
        <w:t>interruptions to operations in China as a result of the COVID-19 pandemic or other disease outbreaks and natural catastrophic events, which have in the past and can result in the future in business closures, transportation restrictions, import and export complications and cause shortages in the supply of raw materials or disruptions in manufacturing;</w:t>
      </w:r>
    </w:p>
    <w:p>
      <w:pPr>
        <w:spacing w:after="0" w:line="67" w:lineRule="exact"/>
        <w:rPr>
          <w:sz w:val="20"/>
          <w:szCs w:val="20"/>
          <w:color w:val="auto"/>
        </w:rPr>
      </w:pPr>
    </w:p>
    <w:p>
      <w:pPr>
        <w:ind w:left="1100" w:right="380"/>
        <w:spacing w:after="0" w:line="246" w:lineRule="auto"/>
        <w:rPr>
          <w:sz w:val="20"/>
          <w:szCs w:val="20"/>
          <w:color w:val="auto"/>
        </w:rPr>
      </w:pPr>
      <w:r>
        <w:rPr>
          <w:rFonts w:ascii="Arial" w:cs="Arial" w:eastAsia="Arial" w:hAnsi="Arial"/>
          <w:sz w:val="18"/>
          <w:szCs w:val="18"/>
          <w:color w:val="auto"/>
        </w:rPr>
        <w:t>product supply disruptions and increased costs as a result of heightened exposure to changes in the policies of the Chinese government, political unrest or unstable economic conditions in China; and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nationalization or other expropriation of private enterprises or intellectual property by the Chinese government.</w:t>
      </w:r>
    </w:p>
    <w:p>
      <w:pPr>
        <w:spacing w:after="0" w:line="198"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Difficulties in this relationship may require us to take actions adverse to our business to comply with governmental restrictions on business and trade with China.</w:t>
      </w:r>
    </w:p>
    <w:p>
      <w:pPr>
        <w:spacing w:after="0" w:line="170" w:lineRule="exact"/>
        <w:rPr>
          <w:sz w:val="20"/>
          <w:szCs w:val="20"/>
          <w:color w:val="auto"/>
        </w:rPr>
      </w:pPr>
    </w:p>
    <w:p>
      <w:pPr>
        <w:ind w:firstLine="648"/>
        <w:spacing w:after="0" w:line="223" w:lineRule="auto"/>
        <w:rPr>
          <w:sz w:val="20"/>
          <w:szCs w:val="20"/>
          <w:color w:val="auto"/>
        </w:rPr>
      </w:pPr>
      <w:r>
        <w:rPr>
          <w:rFonts w:ascii="Arial" w:cs="Arial" w:eastAsia="Arial" w:hAnsi="Arial"/>
          <w:sz w:val="18"/>
          <w:szCs w:val="18"/>
          <w:color w:val="auto"/>
        </w:rPr>
        <w:t>In addition, our consumable chips are partly manufactured by a company based in Taiwan. Accordingly, there is a risk that current political tensions between China and Taiwan may lead to circumstances that negatively affect the availability of such consumable chips to us, which could lead to an increase in our supply costs if we cannot find a similar cost alternative supplier, resulting in an adverse impact to our financial results and results of operations.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revenue and results of operations.</w:t>
      </w:r>
    </w:p>
    <w:p>
      <w:pPr>
        <w:spacing w:after="0" w:line="198" w:lineRule="exact"/>
        <w:rPr>
          <w:sz w:val="20"/>
          <w:szCs w:val="20"/>
          <w:color w:val="auto"/>
        </w:rPr>
      </w:pPr>
    </w:p>
    <w:p>
      <w:pPr>
        <w:ind w:right="20" w:firstLine="648"/>
        <w:spacing w:after="0" w:line="235" w:lineRule="auto"/>
        <w:rPr>
          <w:sz w:val="20"/>
          <w:szCs w:val="20"/>
          <w:color w:val="auto"/>
        </w:rPr>
      </w:pPr>
      <w:r>
        <w:rPr>
          <w:rFonts w:ascii="Arial" w:cs="Arial" w:eastAsia="Arial" w:hAnsi="Arial"/>
          <w:sz w:val="17"/>
          <w:szCs w:val="17"/>
          <w:color w:val="auto"/>
        </w:rPr>
        <w:t>We operate on a December 31st year-end and believe that there are significant seasonal factors which may cause sales of our products, and particularly our sequencing instruments, to vary on a quarterly or yearly basis, contribute to the lengthy sales cycle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18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170" w:lineRule="exact"/>
        <w:rPr>
          <w:sz w:val="20"/>
          <w:szCs w:val="20"/>
          <w:color w:val="auto"/>
        </w:rPr>
      </w:pPr>
    </w:p>
    <w:p>
      <w:pPr>
        <w:ind w:right="40" w:firstLine="648"/>
        <w:spacing w:after="0"/>
        <w:rPr>
          <w:sz w:val="20"/>
          <w:szCs w:val="20"/>
          <w:color w:val="auto"/>
        </w:rPr>
      </w:pPr>
      <w:r>
        <w:rPr>
          <w:rFonts w:ascii="Arial" w:cs="Arial" w:eastAsia="Arial" w:hAnsi="Arial"/>
          <w:sz w:val="17"/>
          <w:szCs w:val="17"/>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enacted on December 22, 2017 have materially impacted the value of our deferred tax assets and liabilities, and could adversely affect our future taxable income and effective tax rate.</w:t>
      </w:r>
    </w:p>
    <w:p>
      <w:pPr>
        <w:spacing w:after="0" w:line="17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70"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170" w:lineRule="exact"/>
        <w:rPr>
          <w:sz w:val="20"/>
          <w:szCs w:val="20"/>
          <w:color w:val="auto"/>
        </w:rPr>
      </w:pPr>
    </w:p>
    <w:p>
      <w:pPr>
        <w:ind w:right="220" w:firstLine="648"/>
        <w:spacing w:after="0" w:line="299" w:lineRule="auto"/>
        <w:rPr>
          <w:sz w:val="20"/>
          <w:szCs w:val="20"/>
          <w:color w:val="auto"/>
        </w:rPr>
      </w:pPr>
      <w:r>
        <w:rPr>
          <w:rFonts w:ascii="Arial" w:cs="Arial" w:eastAsia="Arial" w:hAnsi="Arial"/>
          <w:sz w:val="16"/>
          <w:szCs w:val="16"/>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1" w:lineRule="exact"/>
        <w:rPr>
          <w:sz w:val="20"/>
          <w:szCs w:val="20"/>
          <w:color w:val="auto"/>
        </w:rPr>
      </w:pPr>
    </w:p>
    <w:p>
      <w:pPr>
        <w:ind w:left="1100" w:right="580"/>
        <w:spacing w:after="0" w:line="246" w:lineRule="auto"/>
        <w:rPr>
          <w:sz w:val="20"/>
          <w:szCs w:val="20"/>
          <w:color w:val="auto"/>
        </w:rPr>
      </w:pPr>
      <w:r>
        <w:rPr>
          <w:rFonts w:ascii="Arial" w:cs="Arial" w:eastAsia="Arial" w:hAnsi="Arial"/>
          <w:sz w:val="18"/>
          <w:szCs w:val="18"/>
          <w:color w:val="auto"/>
        </w:rPr>
        <w:t>we or our licensors might not have been the first to make the inventions covered by each of our pending patent applications or issued patents;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or our licensors might not have been the first to file patent applications for these inventions;</w:t>
      </w:r>
    </w:p>
    <w:p>
      <w:pPr>
        <w:spacing w:after="0" w:line="63" w:lineRule="exact"/>
        <w:rPr>
          <w:sz w:val="20"/>
          <w:szCs w:val="20"/>
          <w:color w:val="auto"/>
        </w:rPr>
      </w:pPr>
    </w:p>
    <w:p>
      <w:pPr>
        <w:ind w:left="5540" w:right="280" w:hanging="4437"/>
        <w:spacing w:after="0" w:line="246" w:lineRule="auto"/>
        <w:rPr>
          <w:sz w:val="20"/>
          <w:szCs w:val="20"/>
          <w:color w:val="auto"/>
        </w:rPr>
      </w:pPr>
      <w:r>
        <w:rPr>
          <w:rFonts w:ascii="Arial" w:cs="Arial" w:eastAsia="Arial" w:hAnsi="Arial"/>
          <w:sz w:val="18"/>
          <w:szCs w:val="18"/>
          <w:color w:val="auto"/>
        </w:rPr>
        <w:t>it is possible that neither our pending patent applications nor the pending patent applications of our licensors will result in issued patents;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40" w:lineRule="exact"/>
        <w:rPr>
          <w:sz w:val="20"/>
          <w:szCs w:val="20"/>
          <w:color w:val="auto"/>
        </w:rPr>
      </w:pPr>
    </w:p>
    <w:p>
      <w:pPr>
        <w:ind w:left="1100" w:right="80"/>
        <w:spacing w:after="0" w:line="235" w:lineRule="auto"/>
        <w:rPr>
          <w:sz w:val="20"/>
          <w:szCs w:val="20"/>
          <w:color w:val="auto"/>
        </w:rPr>
      </w:pPr>
      <w:r>
        <w:rPr>
          <w:rFonts w:ascii="Arial" w:cs="Arial" w:eastAsia="Arial" w:hAnsi="Arial"/>
          <w:sz w:val="18"/>
          <w:szCs w:val="18"/>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enforcement of patents and proprietary rights in other countries may be problematic or unpredictable;</w:t>
      </w:r>
    </w:p>
    <w:p>
      <w:pPr>
        <w:spacing w:after="0" w:line="63" w:lineRule="exact"/>
        <w:rPr>
          <w:sz w:val="20"/>
          <w:szCs w:val="20"/>
          <w:color w:val="auto"/>
        </w:rPr>
      </w:pPr>
    </w:p>
    <w:p>
      <w:pPr>
        <w:ind w:left="1100" w:right="520"/>
        <w:spacing w:after="0" w:line="246" w:lineRule="auto"/>
        <w:rPr>
          <w:sz w:val="20"/>
          <w:szCs w:val="20"/>
          <w:color w:val="auto"/>
        </w:rPr>
      </w:pPr>
      <w:r>
        <w:rPr>
          <w:rFonts w:ascii="Arial" w:cs="Arial" w:eastAsia="Arial" w:hAnsi="Arial"/>
          <w:sz w:val="18"/>
          <w:szCs w:val="18"/>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or our partners may not adequately protect our trade secrets;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may not develop additional proprietary technologies that are patentable; or</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patents of others may limit our freedom to operate and prevent us from commercializing our technology in accordance with our plans.</w:t>
      </w:r>
    </w:p>
    <w:p>
      <w:pPr>
        <w:spacing w:after="0" w:line="194"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Variability in intellectual property laws may adversely affect our intellectual property position.</w:t>
      </w:r>
    </w:p>
    <w:p>
      <w:pPr>
        <w:spacing w:after="0" w:line="198"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6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170" w:lineRule="exact"/>
        <w:rPr>
          <w:sz w:val="20"/>
          <w:szCs w:val="20"/>
          <w:color w:val="auto"/>
        </w:rPr>
      </w:pPr>
    </w:p>
    <w:p>
      <w:pPr>
        <w:ind w:right="80" w:firstLine="648"/>
        <w:spacing w:after="0" w:line="233" w:lineRule="auto"/>
        <w:rPr>
          <w:sz w:val="20"/>
          <w:szCs w:val="20"/>
          <w:color w:val="auto"/>
        </w:rPr>
      </w:pPr>
      <w:r>
        <w:rPr>
          <w:rFonts w:ascii="Arial" w:cs="Arial" w:eastAsia="Arial" w:hAnsi="Arial"/>
          <w:sz w:val="17"/>
          <w:szCs w:val="17"/>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07" w:lineRule="auto"/>
        <w:rPr>
          <w:sz w:val="20"/>
          <w:szCs w:val="20"/>
          <w:color w:val="auto"/>
        </w:rPr>
      </w:pPr>
      <w:r>
        <w:rPr>
          <w:rFonts w:ascii="Arial" w:cs="Arial" w:eastAsia="Arial" w:hAnsi="Arial"/>
          <w:sz w:val="16"/>
          <w:szCs w:val="16"/>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123"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our agreement with them,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18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Our intellectual property may be subject to challenges in the United States or foreign jurisdictions that could adversely affect our intellectual property position.</w:t>
      </w:r>
    </w:p>
    <w:p>
      <w:pPr>
        <w:spacing w:after="0" w:line="170" w:lineRule="exact"/>
        <w:rPr>
          <w:sz w:val="20"/>
          <w:szCs w:val="20"/>
          <w:color w:val="auto"/>
        </w:rPr>
      </w:pPr>
    </w:p>
    <w:p>
      <w:pPr>
        <w:ind w:right="20" w:firstLine="648"/>
        <w:spacing w:after="0" w:line="252" w:lineRule="auto"/>
        <w:rPr>
          <w:sz w:val="20"/>
          <w:szCs w:val="20"/>
          <w:color w:val="auto"/>
        </w:rPr>
      </w:pPr>
      <w:r>
        <w:rPr>
          <w:rFonts w:ascii="Arial" w:cs="Arial" w:eastAsia="Arial" w:hAnsi="Arial"/>
          <w:sz w:val="16"/>
          <w:szCs w:val="16"/>
          <w:color w:val="auto"/>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certain patents that we have asserted against ONT Inc. and ONT Ltd. in litigation proceedings for patent infringement. While none of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requested by ONT were instituted by the U.S. Patent and Trademark Office, challenges of this nature in the future could result in determinations that our patents or pending patent applications are unpatentable to us,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technology is subject to “march-in” rights by the U.S. government.</w:t>
      </w:r>
    </w:p>
    <w:p>
      <w:pPr>
        <w:spacing w:after="0" w:line="198"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involved in legal proceedings to enforce our intellectual property rights.</w:t>
      </w:r>
    </w:p>
    <w:p>
      <w:pPr>
        <w:spacing w:after="0" w:line="198" w:lineRule="exact"/>
        <w:rPr>
          <w:sz w:val="20"/>
          <w:szCs w:val="20"/>
          <w:color w:val="auto"/>
        </w:rPr>
      </w:pPr>
    </w:p>
    <w:p>
      <w:pPr>
        <w:ind w:right="380" w:firstLine="648"/>
        <w:spacing w:after="0" w:line="228" w:lineRule="auto"/>
        <w:rPr>
          <w:sz w:val="20"/>
          <w:szCs w:val="20"/>
          <w:color w:val="auto"/>
        </w:rPr>
      </w:pPr>
      <w:r>
        <w:rPr>
          <w:rFonts w:ascii="Arial" w:cs="Arial" w:eastAsia="Arial" w:hAnsi="Arial"/>
          <w:sz w:val="18"/>
          <w:szCs w:val="18"/>
          <w:color w:val="auto"/>
        </w:rPr>
        <w:t>Our intellectual property rights involve complex factual, scientific and legal questions. We operate in an industry characterized by significant intellectual property litigation. Even though we may believe that we have a valid patent on 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particular technology, other companies have from time to time taken, and may in the future take, actions that we believe violate our patent rights. For example, we are involved in legal proceedings for patent infringement and related matters in the United States with ONT and with PGI, and we were previously involved in other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18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170"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362"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even when we hope not.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7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We have not yet registered some of our trademarks in all of our potential markets, and failure to secure those registrations could adversely affect our business.</w:t>
      </w:r>
    </w:p>
    <w:p>
      <w:pPr>
        <w:spacing w:after="0" w:line="170" w:lineRule="exact"/>
        <w:rPr>
          <w:sz w:val="20"/>
          <w:szCs w:val="20"/>
          <w:color w:val="auto"/>
        </w:rPr>
      </w:pPr>
    </w:p>
    <w:p>
      <w:pPr>
        <w:ind w:right="400" w:firstLine="648"/>
        <w:spacing w:after="0" w:line="228" w:lineRule="auto"/>
        <w:rPr>
          <w:sz w:val="20"/>
          <w:szCs w:val="20"/>
          <w:color w:val="auto"/>
        </w:rPr>
      </w:pPr>
      <w:r>
        <w:rPr>
          <w:rFonts w:ascii="Arial" w:cs="Arial" w:eastAsia="Arial" w:hAnsi="Arial"/>
          <w:sz w:val="18"/>
          <w:szCs w:val="18"/>
          <w:color w:val="auto"/>
        </w:rPr>
        <w:t>Some of our trademark applications may not be allowed for registration, and our registered trademarks may not be maintained or enforced. In addition, in the U.S. Patent and Trademark Office and in comparable agencies in many foreign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products and subject us to possible litigation.</w:t>
      </w:r>
    </w:p>
    <w:p>
      <w:pPr>
        <w:spacing w:after="0" w:line="198" w:lineRule="exact"/>
        <w:rPr>
          <w:sz w:val="20"/>
          <w:szCs w:val="20"/>
          <w:color w:val="auto"/>
        </w:rPr>
      </w:pPr>
    </w:p>
    <w:p>
      <w:pPr>
        <w:ind w:right="20" w:firstLine="648"/>
        <w:spacing w:after="0" w:line="236"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We are, and may become, subject to governmental regulations that may impose burdens on our operations, and the markets for our products may be narrowed.</w:t>
      </w:r>
    </w:p>
    <w:p>
      <w:pPr>
        <w:spacing w:after="0" w:line="170" w:lineRule="exact"/>
        <w:rPr>
          <w:sz w:val="20"/>
          <w:szCs w:val="20"/>
          <w:color w:val="auto"/>
        </w:rPr>
      </w:pPr>
    </w:p>
    <w:p>
      <w:pPr>
        <w:ind w:right="60" w:firstLine="648"/>
        <w:spacing w:after="0" w:line="237" w:lineRule="auto"/>
        <w:rPr>
          <w:sz w:val="20"/>
          <w:szCs w:val="20"/>
          <w:color w:val="auto"/>
        </w:rPr>
      </w:pPr>
      <w:r>
        <w:rPr>
          <w:rFonts w:ascii="Arial" w:cs="Arial" w:eastAsia="Arial" w:hAnsi="Arial"/>
          <w:sz w:val="17"/>
          <w:szCs w:val="17"/>
          <w:color w:val="auto"/>
        </w:rPr>
        <w:t>We are subject, both directly and indirectly, to the adverse impact of government regulation of our operations and markets. For example, export of our instruments may be subject to strict regulatory control in a number of jurisdictions. We have expanded and are continuing to expand the international jurisdictions into which we supply products, which increase the risks surrounding governmental regulations relating to our business. The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180"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6"/>
          <w:szCs w:val="16"/>
          <w:i w:val="1"/>
          <w:iCs w:val="1"/>
          <w:color w:val="auto"/>
        </w:rPr>
        <w:t>in</w:t>
      </w:r>
    </w:p>
    <w:p>
      <w:pPr>
        <w:spacing w:after="0" w:line="3"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i w:val="1"/>
          <w:iCs w:val="1"/>
          <w:color w:val="auto"/>
        </w:rPr>
        <w:t xml:space="preserve">vitro </w:t>
      </w:r>
      <w:r>
        <w:rPr>
          <w:rFonts w:ascii="Arial" w:cs="Arial" w:eastAsia="Arial" w:hAnsi="Arial"/>
          <w:sz w:val="18"/>
          <w:szCs w:val="18"/>
          <w:color w:val="auto"/>
        </w:rPr>
        <w:t>diagnostics would adversely impact our commercialization of products on which we have expended significant research and development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would in turn have a material adverse impact on our business and prospects.</w:t>
      </w:r>
    </w:p>
    <w:p>
      <w:pPr>
        <w:spacing w:after="0" w:line="176" w:lineRule="exact"/>
        <w:rPr>
          <w:sz w:val="20"/>
          <w:szCs w:val="20"/>
          <w:color w:val="auto"/>
        </w:rPr>
      </w:pPr>
    </w:p>
    <w:p>
      <w:pPr>
        <w:spacing w:after="0" w:line="231" w:lineRule="auto"/>
        <w:rPr>
          <w:sz w:val="20"/>
          <w:szCs w:val="20"/>
          <w:color w:val="auto"/>
        </w:rPr>
      </w:pPr>
      <w:r>
        <w:rPr>
          <w:rFonts w:ascii="Arial" w:cs="Arial" w:eastAsia="Arial" w:hAnsi="Arial"/>
          <w:sz w:val="18"/>
          <w:szCs w:val="18"/>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175"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Our products are not currently subject to U.S. Food and Drug Administration (“FDA”) clearance or approval since they are not intended or labeled for use in the diagnosis, prevention, or treatment of any disease, and are labeled and promoted as research use only (“RUO”) products. However, in the future, certain of our products or related applications, such as those that may be developed for clinical uses, could be subject to FDA regulation, or the FDA’s regulatory jurisdiction could be expanded to include our products. Also, even if our products are labeled, promoted, and intended as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166" w:lineRule="exact"/>
        <w:rPr>
          <w:sz w:val="20"/>
          <w:szCs w:val="20"/>
          <w:color w:val="auto"/>
        </w:rPr>
      </w:pPr>
    </w:p>
    <w:p>
      <w:pPr>
        <w:ind w:right="40" w:firstLine="648"/>
        <w:spacing w:after="0" w:line="237"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developing and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76"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76"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76" w:lineRule="exact"/>
        <w:rPr>
          <w:sz w:val="20"/>
          <w:szCs w:val="20"/>
          <w:color w:val="auto"/>
        </w:rPr>
      </w:pPr>
    </w:p>
    <w:p>
      <w:pPr>
        <w:ind w:right="20" w:firstLine="648"/>
        <w:spacing w:after="0" w:line="234" w:lineRule="auto"/>
        <w:rPr>
          <w:sz w:val="20"/>
          <w:szCs w:val="20"/>
          <w:color w:val="auto"/>
        </w:rPr>
      </w:pPr>
      <w:r>
        <w:rPr>
          <w:rFonts w:ascii="Arial" w:cs="Arial" w:eastAsia="Arial" w:hAnsi="Arial"/>
          <w:sz w:val="17"/>
          <w:szCs w:val="17"/>
          <w:color w:val="auto"/>
        </w:rPr>
        <w:t>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and/or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65"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74"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77" w:lineRule="exact"/>
        <w:rPr>
          <w:sz w:val="20"/>
          <w:szCs w:val="20"/>
          <w:color w:val="auto"/>
        </w:rPr>
      </w:pPr>
    </w:p>
    <w:p>
      <w:pPr>
        <w:ind w:firstLine="648"/>
        <w:spacing w:after="0" w:line="247" w:lineRule="auto"/>
        <w:rPr>
          <w:sz w:val="20"/>
          <w:szCs w:val="20"/>
          <w:color w:val="auto"/>
        </w:rPr>
      </w:pPr>
      <w:r>
        <w:rPr>
          <w:rFonts w:ascii="Arial" w:cs="Arial" w:eastAsia="Arial" w:hAnsi="Arial"/>
          <w:sz w:val="16"/>
          <w:szCs w:val="16"/>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Enhanced trade tariffs, import restrictions, export restrictions, Chinese regulations or other trade barriers may materially harm our business.</w:t>
      </w:r>
    </w:p>
    <w:p>
      <w:pPr>
        <w:spacing w:after="0" w:line="221"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We are continuing to expand our international operations as part of our growth strategy and have experienced an increasing concentration of sales in certain regions outside the U.S., especially the Asia-Pacific region. There is currently significant uncertainty about the future relationship between the United States and various other countries, most significantly China, with respect to trade policies, treaties, government regulations and tariffs.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could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 Further,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spacing w:after="0" w:line="180" w:lineRule="exact"/>
        <w:rPr>
          <w:sz w:val="20"/>
          <w:szCs w:val="20"/>
          <w:color w:val="auto"/>
        </w:rPr>
      </w:pPr>
    </w:p>
    <w:p>
      <w:pPr>
        <w:ind w:right="360" w:firstLine="648"/>
        <w:spacing w:after="0" w:line="231" w:lineRule="auto"/>
        <w:rPr>
          <w:sz w:val="20"/>
          <w:szCs w:val="20"/>
          <w:color w:val="auto"/>
        </w:rPr>
      </w:pPr>
      <w:r>
        <w:rPr>
          <w:rFonts w:ascii="Arial" w:cs="Arial" w:eastAsia="Arial" w:hAnsi="Arial"/>
          <w:sz w:val="18"/>
          <w:szCs w:val="18"/>
          <w:color w:val="auto"/>
        </w:rPr>
        <w:t>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Therefore, it is possible that our ability to export our products may be restricted in the future, most notably China.</w:t>
      </w:r>
    </w:p>
    <w:p>
      <w:pPr>
        <w:spacing w:after="0" w:line="40"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If we commercialize any of our products outside of the United States, our international business could expose us to business, regulatory, political, operational, financial, and economic risks associated with doing business outside of the United States.</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144" w:lineRule="exact"/>
        <w:rPr>
          <w:sz w:val="20"/>
          <w:szCs w:val="20"/>
          <w:color w:val="auto"/>
        </w:rPr>
      </w:pPr>
    </w:p>
    <w:p>
      <w:pPr>
        <w:ind w:left="980" w:right="40"/>
        <w:spacing w:after="0" w:line="222" w:lineRule="auto"/>
        <w:rPr>
          <w:sz w:val="20"/>
          <w:szCs w:val="20"/>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4" w:lineRule="exact"/>
        <w:rPr>
          <w:sz w:val="20"/>
          <w:szCs w:val="20"/>
          <w:color w:val="auto"/>
        </w:rPr>
      </w:pPr>
    </w:p>
    <w:p>
      <w:pPr>
        <w:ind w:left="980" w:right="100"/>
        <w:spacing w:after="0" w:line="219" w:lineRule="auto"/>
        <w:rPr>
          <w:sz w:val="20"/>
          <w:szCs w:val="20"/>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ind w:left="980"/>
        <w:spacing w:after="0" w:line="219" w:lineRule="auto"/>
        <w:rPr>
          <w:sz w:val="20"/>
          <w:szCs w:val="20"/>
          <w:color w:val="auto"/>
        </w:rPr>
      </w:pPr>
      <w:r>
        <w:rPr>
          <w:rFonts w:ascii="Arial" w:cs="Arial" w:eastAsia="Arial" w:hAnsi="Arial"/>
          <w:sz w:val="18"/>
          <w:szCs w:val="18"/>
          <w:color w:val="auto"/>
        </w:rPr>
        <w:t>export requirements and import or trade restrictions;</w:t>
      </w:r>
    </w:p>
    <w:p>
      <w:pPr>
        <w:ind w:left="980"/>
        <w:spacing w:after="0" w:line="219" w:lineRule="auto"/>
        <w:rPr>
          <w:sz w:val="20"/>
          <w:szCs w:val="20"/>
          <w:color w:val="auto"/>
        </w:rPr>
      </w:pPr>
      <w:r>
        <w:rPr>
          <w:rFonts w:ascii="Arial" w:cs="Arial" w:eastAsia="Arial" w:hAnsi="Arial"/>
          <w:sz w:val="18"/>
          <w:szCs w:val="18"/>
          <w:color w:val="auto"/>
        </w:rPr>
        <w:t>laws and business practices favoring local companies;</w:t>
      </w:r>
    </w:p>
    <w:p>
      <w:pPr>
        <w:spacing w:after="0" w:line="1" w:lineRule="exact"/>
        <w:rPr>
          <w:sz w:val="20"/>
          <w:szCs w:val="20"/>
          <w:color w:val="auto"/>
        </w:rPr>
      </w:pPr>
    </w:p>
    <w:p>
      <w:pPr>
        <w:ind w:left="980" w:right="100"/>
        <w:spacing w:after="0" w:line="219" w:lineRule="auto"/>
        <w:rPr>
          <w:sz w:val="20"/>
          <w:szCs w:val="20"/>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jc w:val="both"/>
        <w:ind w:left="980" w:right="40"/>
        <w:spacing w:after="0" w:line="232" w:lineRule="auto"/>
        <w:rPr>
          <w:sz w:val="20"/>
          <w:szCs w:val="20"/>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ind w:left="980" w:right="2040"/>
        <w:spacing w:after="0" w:line="219" w:lineRule="auto"/>
        <w:rPr>
          <w:sz w:val="20"/>
          <w:szCs w:val="20"/>
          <w:color w:val="auto"/>
        </w:rPr>
      </w:pPr>
      <w:r>
        <w:rPr>
          <w:rFonts w:ascii="Arial" w:cs="Arial" w:eastAsia="Arial" w:hAnsi="Arial"/>
          <w:sz w:val="18"/>
          <w:szCs w:val="18"/>
          <w:color w:val="auto"/>
        </w:rPr>
        <w:t>potentially adverse tax consequences, tariffs, customs charges, bureaucratic requirements, and other trade barriers; difficulties and costs of staffing and managing foreign operations; and</w:t>
      </w:r>
    </w:p>
    <w:p>
      <w:pPr>
        <w:ind w:left="980"/>
        <w:spacing w:after="0"/>
        <w:rPr>
          <w:sz w:val="20"/>
          <w:szCs w:val="20"/>
          <w:color w:val="auto"/>
        </w:rPr>
      </w:pPr>
      <w:r>
        <w:rPr>
          <w:rFonts w:ascii="Arial" w:cs="Arial" w:eastAsia="Arial" w:hAnsi="Arial"/>
          <w:sz w:val="18"/>
          <w:szCs w:val="18"/>
          <w:color w:val="auto"/>
        </w:rPr>
        <w:t>difficulties protecting, maintaining, enforcing or procuring intellectual property rights.</w:t>
      </w:r>
    </w:p>
    <w:p>
      <w:pPr>
        <w:spacing w:after="0" w:line="317" w:lineRule="exact"/>
        <w:rPr>
          <w:sz w:val="20"/>
          <w:szCs w:val="20"/>
          <w:color w:val="auto"/>
        </w:rPr>
      </w:pPr>
    </w:p>
    <w:p>
      <w:pPr>
        <w:ind w:right="460" w:firstLine="324"/>
        <w:spacing w:after="0" w:line="246"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170"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6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Ethical, legal, privacy, data protection and social concerns or governmental restrictions surrounding the use of genetic information could reduce demand for our technology.</w:t>
      </w:r>
    </w:p>
    <w:p>
      <w:pPr>
        <w:spacing w:after="0" w:line="170"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and of which could have a material adverse effect on our business, financial condition and results of operations.</w:t>
      </w:r>
    </w:p>
    <w:p>
      <w:pPr>
        <w:spacing w:after="0" w:line="17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170" w:lineRule="exact"/>
        <w:rPr>
          <w:sz w:val="20"/>
          <w:szCs w:val="20"/>
          <w:color w:val="auto"/>
        </w:rPr>
      </w:pPr>
    </w:p>
    <w:p>
      <w:pPr>
        <w:ind w:firstLine="648"/>
        <w:spacing w:after="0" w:line="223" w:lineRule="auto"/>
        <w:rPr>
          <w:sz w:val="20"/>
          <w:szCs w:val="20"/>
          <w:color w:val="auto"/>
        </w:rPr>
      </w:pPr>
      <w:r>
        <w:rPr>
          <w:rFonts w:ascii="Arial" w:cs="Arial" w:eastAsia="Arial" w:hAnsi="Arial"/>
          <w:sz w:val="18"/>
          <w:szCs w:val="18"/>
          <w:color w:val="auto"/>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The price of our common stock has been, is, and may continue to be, highly volatile, and you may be unable to sell your shares at or above the price you paid to acquire them.</w:t>
      </w:r>
    </w:p>
    <w:p>
      <w:pPr>
        <w:spacing w:after="0" w:line="170" w:lineRule="exact"/>
        <w:rPr>
          <w:sz w:val="20"/>
          <w:szCs w:val="20"/>
          <w:color w:val="auto"/>
        </w:rPr>
      </w:pPr>
    </w:p>
    <w:p>
      <w:pPr>
        <w:ind w:right="60" w:firstLine="648"/>
        <w:spacing w:after="0" w:line="228" w:lineRule="auto"/>
        <w:rPr>
          <w:sz w:val="20"/>
          <w:szCs w:val="20"/>
          <w:color w:val="auto"/>
        </w:rPr>
      </w:pPr>
      <w:r>
        <w:rPr>
          <w:rFonts w:ascii="Arial" w:cs="Arial" w:eastAsia="Arial" w:hAnsi="Arial"/>
          <w:sz w:val="18"/>
          <w:szCs w:val="18"/>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actual or anticipated fluctuations in our financial condition and operating results;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announcements of new products, technological innovations or strategic partnerships by us or our competitors;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overall conditions in our industry and market;</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addition or loss of significant customers;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changes in laws or regulations applicable to our products;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actual or anticipated changes in our growth rate relative to our competitors;</w:t>
      </w:r>
    </w:p>
    <w:p>
      <w:pPr>
        <w:spacing w:after="0" w:line="63" w:lineRule="exact"/>
        <w:rPr>
          <w:sz w:val="20"/>
          <w:szCs w:val="20"/>
          <w:color w:val="auto"/>
        </w:rPr>
      </w:pPr>
    </w:p>
    <w:p>
      <w:pPr>
        <w:ind w:left="1100" w:right="820"/>
        <w:spacing w:after="0" w:line="246" w:lineRule="auto"/>
        <w:rPr>
          <w:sz w:val="20"/>
          <w:szCs w:val="20"/>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additions or departures of key personnel;</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competition from existing products or new products that may emerge;</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issuance of new or updated research or reports by securities analysts;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63" w:lineRule="exact"/>
        <w:rPr>
          <w:sz w:val="20"/>
          <w:szCs w:val="20"/>
          <w:color w:val="auto"/>
        </w:rPr>
      </w:pPr>
    </w:p>
    <w:p>
      <w:pPr>
        <w:ind w:left="1100" w:right="80"/>
        <w:spacing w:after="0" w:line="246" w:lineRule="auto"/>
        <w:rPr>
          <w:sz w:val="20"/>
          <w:szCs w:val="20"/>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announcement or expectation of additional financing efforts;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sales of our common stock by us or our stockholders;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stock price and volume fluctuations attributable to inconsistent trading volume levels of our shares;</w:t>
      </w:r>
    </w:p>
    <w:p>
      <w:pPr>
        <w:spacing w:after="0" w:line="63" w:lineRule="exact"/>
        <w:rPr>
          <w:sz w:val="20"/>
          <w:szCs w:val="20"/>
          <w:color w:val="auto"/>
        </w:rPr>
      </w:pPr>
    </w:p>
    <w:p>
      <w:pPr>
        <w:ind w:left="1100" w:right="4460"/>
        <w:spacing w:after="0" w:line="299" w:lineRule="auto"/>
        <w:rPr>
          <w:sz w:val="20"/>
          <w:szCs w:val="20"/>
          <w:color w:val="auto"/>
        </w:rPr>
      </w:pPr>
      <w:r>
        <w:rPr>
          <w:rFonts w:ascii="Arial" w:cs="Arial" w:eastAsia="Arial" w:hAnsi="Arial"/>
          <w:sz w:val="16"/>
          <w:szCs w:val="16"/>
          <w:color w:val="auto"/>
        </w:rPr>
        <w:t>reports, guidance and ratings issued by securities or industry analysts; operating results below the expectations of securities analysts or investors; and</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general economic and market conditions, which could be impacted by various events including COVID-19.</w:t>
      </w:r>
    </w:p>
    <w:p>
      <w:pPr>
        <w:spacing w:after="0" w:line="171"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If any of the forgoing occurs, it would cause our stock price or trading volume to decline. Stock markets in general and the market for companies in our industry in particular have experienced price and volume fluctuations, which have been exacerbated by the COVID-19 pandemic,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14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162" w:lineRule="exact"/>
        <w:rPr>
          <w:sz w:val="20"/>
          <w:szCs w:val="20"/>
          <w:color w:val="auto"/>
        </w:rPr>
      </w:pPr>
    </w:p>
    <w:p>
      <w:pPr>
        <w:jc w:val="both"/>
        <w:ind w:right="20" w:firstLine="648"/>
        <w:spacing w:after="0" w:line="228" w:lineRule="auto"/>
        <w:rPr>
          <w:sz w:val="20"/>
          <w:szCs w:val="20"/>
          <w:color w:val="auto"/>
        </w:rPr>
      </w:pPr>
      <w:r>
        <w:rPr>
          <w:rFonts w:ascii="Arial" w:cs="Arial" w:eastAsia="Arial" w:hAnsi="Arial"/>
          <w:sz w:val="18"/>
          <w:szCs w:val="18"/>
          <w:color w:val="auto"/>
        </w:rPr>
        <w:t>On September 20, 2021, in connection with the closing of the Omniome Merger, we completed a Private Placement for the sale of an aggregate of 11,214,953 shares of our common stock, at a price of $26.75 per share, for aggregate gross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proceeds of approximately $300 million. In connection with the Private Placement, we entered into a Registration Rights Agreement with the Private Placement investors, providing them, among other things, certain registration rights, including our obligation to register the Private Placement shares for resale with the SEC within 30 days following the closing of the Private Placement.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ownership by our principal stockholders may result in control by such stockholders of the composition of our board of directors.</w:t>
      </w:r>
    </w:p>
    <w:p>
      <w:pPr>
        <w:spacing w:after="0" w:line="221" w:lineRule="exact"/>
        <w:rPr>
          <w:sz w:val="20"/>
          <w:szCs w:val="20"/>
          <w:color w:val="auto"/>
        </w:rPr>
      </w:pPr>
    </w:p>
    <w:p>
      <w:pPr>
        <w:ind w:right="40" w:firstLine="648"/>
        <w:spacing w:after="0" w:line="252" w:lineRule="auto"/>
        <w:rPr>
          <w:sz w:val="20"/>
          <w:szCs w:val="20"/>
          <w:color w:val="auto"/>
        </w:rPr>
      </w:pPr>
      <w:r>
        <w:rPr>
          <w:rFonts w:ascii="Arial" w:cs="Arial" w:eastAsia="Arial" w:hAnsi="Arial"/>
          <w:sz w:val="16"/>
          <w:szCs w:val="16"/>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Also, SB Northstar LP, a subsidiary of SoftBank Group Corp., purchased $900 million in aggregate principal amount of our 1.50% Convertible Senior Notes due 2028, convertible at the option of the holders at any time into shares of our common stock based on an initial conversion rate of 22.9885 shares of common stock per $1,000 principal amount of the Notes (which is equal to an initial conversion price of $43.50 per share). In addition, on September 20, 2021 in connection with the closing of the Omniome Merger, we completed a Private Placement for the sale of an aggregate of 11,214,953 shares of our common stock, at a price of $26.75 per share, for aggregate gross proceeds of approximately $300 million with certain qualified institutional buyers and institutional accredited investors, including approximately $60 million to SB Northstar LP. As a result, these current and future stockholders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7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ind w:right="420" w:firstLine="648"/>
        <w:spacing w:after="0" w:line="274" w:lineRule="auto"/>
        <w:rPr>
          <w:sz w:val="20"/>
          <w:szCs w:val="20"/>
          <w:color w:val="auto"/>
        </w:rPr>
      </w:pPr>
      <w:r>
        <w:rPr>
          <w:rFonts w:ascii="Arial" w:cs="Arial" w:eastAsia="Arial" w:hAnsi="Arial"/>
          <w:sz w:val="17"/>
          <w:szCs w:val="17"/>
          <w:color w:val="auto"/>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spacing w:after="0" w:line="13" w:lineRule="exact"/>
        <w:rPr>
          <w:sz w:val="20"/>
          <w:szCs w:val="20"/>
          <w:color w:val="auto"/>
        </w:rPr>
      </w:pPr>
    </w:p>
    <w:p>
      <w:pPr>
        <w:ind w:left="1100" w:right="40"/>
        <w:spacing w:after="0" w:line="246" w:lineRule="auto"/>
        <w:rPr>
          <w:sz w:val="20"/>
          <w:szCs w:val="20"/>
          <w:color w:val="auto"/>
        </w:rPr>
      </w:pPr>
      <w:r>
        <w:rPr>
          <w:rFonts w:ascii="Arial" w:cs="Arial" w:eastAsia="Arial" w:hAnsi="Arial"/>
          <w:sz w:val="18"/>
          <w:szCs w:val="18"/>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86" w:lineRule="exact"/>
        <w:rPr>
          <w:sz w:val="20"/>
          <w:szCs w:val="20"/>
          <w:color w:val="auto"/>
        </w:rPr>
      </w:pPr>
    </w:p>
    <w:p>
      <w:pPr>
        <w:ind w:left="1100" w:right="680"/>
        <w:spacing w:after="0" w:line="246" w:lineRule="auto"/>
        <w:rPr>
          <w:sz w:val="20"/>
          <w:szCs w:val="20"/>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35" w:lineRule="exact"/>
        <w:rPr>
          <w:sz w:val="20"/>
          <w:szCs w:val="20"/>
          <w:color w:val="auto"/>
        </w:rPr>
      </w:pPr>
    </w:p>
    <w:p>
      <w:pPr>
        <w:ind w:left="1100" w:right="440"/>
        <w:spacing w:after="0" w:line="246" w:lineRule="auto"/>
        <w:rPr>
          <w:sz w:val="20"/>
          <w:szCs w:val="20"/>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35" w:lineRule="exact"/>
        <w:rPr>
          <w:sz w:val="20"/>
          <w:szCs w:val="20"/>
          <w:color w:val="auto"/>
        </w:rPr>
      </w:pPr>
    </w:p>
    <w:p>
      <w:pPr>
        <w:ind w:left="1100" w:right="360"/>
        <w:spacing w:after="0" w:line="313" w:lineRule="auto"/>
        <w:rPr>
          <w:sz w:val="20"/>
          <w:szCs w:val="20"/>
          <w:color w:val="auto"/>
        </w:rPr>
      </w:pPr>
      <w:r>
        <w:rPr>
          <w:rFonts w:ascii="Arial" w:cs="Arial" w:eastAsia="Arial" w:hAnsi="Arial"/>
          <w:sz w:val="18"/>
          <w:szCs w:val="18"/>
          <w:color w:val="auto"/>
        </w:rPr>
        <w:t>establish that our board of directors is divided into three classes, Class I, Class II and Class III, with each class serving staggered terms; provide that our directors may be removed only for cause; and</w:t>
      </w:r>
    </w:p>
    <w:p>
      <w:pPr>
        <w:ind w:left="1100"/>
        <w:spacing w:after="0"/>
        <w:rPr>
          <w:sz w:val="20"/>
          <w:szCs w:val="20"/>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94" w:lineRule="exact"/>
        <w:rPr>
          <w:sz w:val="20"/>
          <w:szCs w:val="20"/>
          <w:color w:val="auto"/>
        </w:rPr>
      </w:pPr>
    </w:p>
    <w:p>
      <w:pPr>
        <w:ind w:firstLine="324"/>
        <w:spacing w:after="0" w:line="234"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breach of fiduciary duty owed by any of our current or former directors, officers or other employees to us or our stockholders; (iii) any action asserting a claim arising pursuant to any provision of the Delaware General Corporation Law; (iv) any action to interpret, apply, enforce or determine the validity of our amended and restated certificate of incorporation or our amended and restated bylaws; or (v) any action asserting a claim against us that is governed by the internal affairs doctrine, subject to the court having personal jurisdiction over the indispensable parties named as defendants therein. This provision is not intended to apply to actions arising under the Securities Act or the Exchange Act, or any claim for which the federal courts have exclusive jurisdiction. Any person or entity purchasing or otherwise acquiring any interest in shares of our capital</w:t>
      </w: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stock shall be deemed to have notice of and consented to this provision. This exclusive-forum provision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 number of authorized but unissued shares of common stock may potentially dilute existing stockholders’ stockholdings.</w:t>
      </w:r>
    </w:p>
    <w:p>
      <w:pPr>
        <w:spacing w:after="0" w:line="198"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98"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202" w:lineRule="exact"/>
        <w:rPr>
          <w:sz w:val="20"/>
          <w:szCs w:val="20"/>
          <w:color w:val="auto"/>
        </w:rPr>
      </w:pPr>
    </w:p>
    <w:p>
      <w:pPr>
        <w:ind w:right="460"/>
        <w:spacing w:after="0" w:line="307" w:lineRule="auto"/>
        <w:rPr>
          <w:sz w:val="20"/>
          <w:szCs w:val="20"/>
          <w:color w:val="auto"/>
        </w:rPr>
      </w:pPr>
      <w:r>
        <w:rPr>
          <w:rFonts w:ascii="Arial" w:cs="Arial" w:eastAsia="Arial" w:hAnsi="Arial"/>
          <w:sz w:val="16"/>
          <w:szCs w:val="16"/>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123" w:lineRule="exact"/>
        <w:rPr>
          <w:sz w:val="20"/>
          <w:szCs w:val="20"/>
          <w:color w:val="auto"/>
        </w:rPr>
      </w:pPr>
    </w:p>
    <w:p>
      <w:pPr>
        <w:ind w:right="60" w:firstLine="648"/>
        <w:spacing w:after="0" w:line="237" w:lineRule="auto"/>
        <w:rPr>
          <w:sz w:val="20"/>
          <w:szCs w:val="20"/>
          <w:color w:val="auto"/>
        </w:rPr>
      </w:pPr>
      <w:r>
        <w:rPr>
          <w:rFonts w:ascii="Arial" w:cs="Arial" w:eastAsia="Arial" w:hAnsi="Arial"/>
          <w:sz w:val="17"/>
          <w:szCs w:val="17"/>
          <w:color w:val="auto"/>
        </w:rPr>
        <w:t>In February 2021, we issued $900.0 million in aggregate principal amount of 1.50% Convertible Senior Notes due 2028, which we refer to as the Notes. The Notes will mature on February 15, 2028, subject to earlier conversion, redemption or repurchase, including upon a fundamental change. 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180" w:lineRule="exact"/>
        <w:rPr>
          <w:sz w:val="20"/>
          <w:szCs w:val="20"/>
          <w:color w:val="auto"/>
        </w:rPr>
      </w:pPr>
    </w:p>
    <w:p>
      <w:pPr>
        <w:ind w:right="40" w:firstLine="648"/>
        <w:spacing w:after="0" w:line="239" w:lineRule="auto"/>
        <w:rPr>
          <w:sz w:val="20"/>
          <w:szCs w:val="20"/>
          <w:color w:val="auto"/>
        </w:rPr>
      </w:pPr>
      <w:r>
        <w:rPr>
          <w:rFonts w:ascii="Arial" w:cs="Arial" w:eastAsia="Arial" w:hAnsi="Arial"/>
          <w:sz w:val="17"/>
          <w:szCs w:val="17"/>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Notes are converted, it may adversely affect our financial condition and operating results.</w:t>
      </w:r>
    </w:p>
    <w:p>
      <w:pPr>
        <w:spacing w:after="0" w:line="198"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1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General conditions in the global economy and in the global financial markets could adversely affect our results of operations, including the potential effects from the COVID-19 pandemic as discussed above, the overall demand for nucleic acid sequencing products may be particularly vulnerable to unfavorable economic conditions.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Any of the foregoing could harm our business and we cannot anticipate all of the ways in which the political or economic climate and financial market conditions could adversely impact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of our products could be delayed or disrupted by factors beyond our control, and we could lose customers as a result.</w:t>
      </w:r>
    </w:p>
    <w:p>
      <w:pPr>
        <w:spacing w:after="0" w:line="198" w:lineRule="exact"/>
        <w:rPr>
          <w:sz w:val="20"/>
          <w:szCs w:val="20"/>
          <w:color w:val="auto"/>
        </w:rPr>
      </w:pPr>
    </w:p>
    <w:p>
      <w:pPr>
        <w:ind w:right="20" w:firstLine="648"/>
        <w:spacing w:after="0" w:line="261" w:lineRule="auto"/>
        <w:rPr>
          <w:sz w:val="20"/>
          <w:szCs w:val="20"/>
          <w:color w:val="auto"/>
        </w:rPr>
      </w:pPr>
      <w:r>
        <w:rPr>
          <w:rFonts w:ascii="Arial" w:cs="Arial" w:eastAsia="Arial" w:hAnsi="Arial"/>
          <w:sz w:val="16"/>
          <w:szCs w:val="16"/>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and acceptance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Doing business internationally creates operational and financial risks for our business.</w:t>
      </w:r>
    </w:p>
    <w:p>
      <w:pPr>
        <w:spacing w:after="0" w:line="198" w:lineRule="exact"/>
        <w:rPr>
          <w:sz w:val="20"/>
          <w:szCs w:val="20"/>
          <w:color w:val="auto"/>
        </w:rPr>
      </w:pPr>
    </w:p>
    <w:p>
      <w:pPr>
        <w:ind w:right="100" w:firstLine="648"/>
        <w:spacing w:after="0" w:line="237" w:lineRule="auto"/>
        <w:rPr>
          <w:sz w:val="20"/>
          <w:szCs w:val="20"/>
          <w:color w:val="auto"/>
        </w:rPr>
      </w:pPr>
      <w:r>
        <w:rPr>
          <w:rFonts w:ascii="Arial" w:cs="Arial" w:eastAsia="Arial" w:hAnsi="Arial"/>
          <w:sz w:val="17"/>
          <w:szCs w:val="17"/>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4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limits to travel as a result of the COVID-19 pandemic;</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challenges in staffing and managing foreign operations;</w:t>
      </w:r>
    </w:p>
    <w:p>
      <w:pPr>
        <w:spacing w:after="0" w:line="63" w:lineRule="exact"/>
        <w:rPr>
          <w:sz w:val="20"/>
          <w:szCs w:val="20"/>
          <w:color w:val="auto"/>
        </w:rPr>
      </w:pPr>
    </w:p>
    <w:p>
      <w:pPr>
        <w:ind w:left="1100" w:right="20"/>
        <w:spacing w:after="0" w:line="246" w:lineRule="auto"/>
        <w:rPr>
          <w:sz w:val="20"/>
          <w:szCs w:val="20"/>
          <w:color w:val="auto"/>
        </w:rPr>
      </w:pPr>
      <w:r>
        <w:rPr>
          <w:rFonts w:ascii="Arial" w:cs="Arial" w:eastAsia="Arial" w:hAnsi="Arial"/>
          <w:sz w:val="18"/>
          <w:szCs w:val="18"/>
          <w:color w:val="auto"/>
        </w:rPr>
        <w:t>potentially longer sales cycles and more time required to engage and educate customers on the benefits of our platform outside of the United States;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potential need for localized software and documentation;</w:t>
      </w:r>
    </w:p>
    <w:p>
      <w:pPr>
        <w:spacing w:after="0" w:line="63" w:lineRule="exact"/>
        <w:rPr>
          <w:sz w:val="20"/>
          <w:szCs w:val="20"/>
          <w:color w:val="auto"/>
        </w:rPr>
      </w:pPr>
    </w:p>
    <w:p>
      <w:pPr>
        <w:ind w:left="1100" w:right="100"/>
        <w:spacing w:after="0" w:line="246" w:lineRule="auto"/>
        <w:rPr>
          <w:sz w:val="20"/>
          <w:szCs w:val="20"/>
          <w:color w:val="auto"/>
        </w:rPr>
      </w:pPr>
      <w:r>
        <w:rPr>
          <w:rFonts w:ascii="Arial" w:cs="Arial" w:eastAsia="Arial" w:hAnsi="Arial"/>
          <w:sz w:val="18"/>
          <w:szCs w:val="18"/>
          <w:color w:val="auto"/>
        </w:rPr>
        <w:t>reduced protection for intellectual property rights in some countries and practical difficulties of enforcing intellectual property and contract rights abroad;</w:t>
      </w:r>
    </w:p>
    <w:p>
      <w:pPr>
        <w:spacing w:after="0" w:line="35" w:lineRule="exact"/>
        <w:rPr>
          <w:sz w:val="20"/>
          <w:szCs w:val="20"/>
          <w:color w:val="auto"/>
        </w:rPr>
      </w:pPr>
    </w:p>
    <w:p>
      <w:pPr>
        <w:ind w:left="1100" w:right="720"/>
        <w:spacing w:after="0" w:line="246" w:lineRule="auto"/>
        <w:rPr>
          <w:sz w:val="20"/>
          <w:szCs w:val="20"/>
          <w:color w:val="auto"/>
        </w:rPr>
      </w:pPr>
      <w:r>
        <w:rPr>
          <w:rFonts w:ascii="Arial" w:cs="Arial" w:eastAsia="Arial" w:hAnsi="Arial"/>
          <w:sz w:val="18"/>
          <w:szCs w:val="18"/>
          <w:color w:val="auto"/>
        </w:rPr>
        <w:t>restriction on cross-border investment, including enhanced oversight by the Committee on Foreign Investment in the United States (“CFIUS”) and substantial restrictions on investment from China;</w:t>
      </w:r>
    </w:p>
    <w:p>
      <w:pPr>
        <w:spacing w:after="0" w:line="35" w:lineRule="exact"/>
        <w:rPr>
          <w:sz w:val="20"/>
          <w:szCs w:val="20"/>
          <w:color w:val="auto"/>
        </w:rPr>
      </w:pPr>
    </w:p>
    <w:p>
      <w:pPr>
        <w:ind w:left="1100" w:right="760"/>
        <w:spacing w:after="0" w:line="299" w:lineRule="auto"/>
        <w:rPr>
          <w:sz w:val="20"/>
          <w:szCs w:val="20"/>
          <w:color w:val="auto"/>
        </w:rPr>
      </w:pPr>
      <w:r>
        <w:rPr>
          <w:rFonts w:ascii="Arial" w:cs="Arial" w:eastAsia="Arial" w:hAnsi="Arial"/>
          <w:sz w:val="16"/>
          <w:szCs w:val="16"/>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1" w:lineRule="exact"/>
        <w:rPr>
          <w:sz w:val="20"/>
          <w:szCs w:val="20"/>
          <w:color w:val="auto"/>
        </w:rPr>
      </w:pPr>
    </w:p>
    <w:p>
      <w:pPr>
        <w:ind w:left="1100" w:right="360"/>
        <w:spacing w:after="0" w:line="246" w:lineRule="auto"/>
        <w:rPr>
          <w:sz w:val="20"/>
          <w:szCs w:val="20"/>
          <w:color w:val="auto"/>
        </w:rPr>
      </w:pPr>
      <w:r>
        <w:rPr>
          <w:rFonts w:ascii="Arial" w:cs="Arial" w:eastAsia="Arial" w:hAnsi="Arial"/>
          <w:sz w:val="18"/>
          <w:szCs w:val="18"/>
          <w:color w:val="auto"/>
        </w:rPr>
        <w:t>changes in diplomatic and trade relationships, including new tariffs, trade protection measures, import or export licensing requirements, trade embargoes and other trade barriers;</w:t>
      </w:r>
    </w:p>
    <w:p>
      <w:pPr>
        <w:spacing w:after="0" w:line="35" w:lineRule="exact"/>
        <w:rPr>
          <w:sz w:val="20"/>
          <w:szCs w:val="20"/>
          <w:color w:val="auto"/>
        </w:rPr>
      </w:pPr>
    </w:p>
    <w:p>
      <w:pPr>
        <w:ind w:left="1100" w:right="140"/>
        <w:spacing w:after="0" w:line="228" w:lineRule="auto"/>
        <w:rPr>
          <w:sz w:val="20"/>
          <w:szCs w:val="20"/>
          <w:color w:val="auto"/>
        </w:rPr>
      </w:pPr>
      <w:r>
        <w:rPr>
          <w:rFonts w:ascii="Arial" w:cs="Arial" w:eastAsia="Arial" w:hAnsi="Arial"/>
          <w:sz w:val="18"/>
          <w:szCs w:val="18"/>
          <w:color w:val="auto"/>
        </w:rPr>
        <w:t>tariffs imposed by the U.S. on goods from other countries and tariffs imposed by other countries on U.S. goods, including the tariffs by the U.S. government on various imports from China, Canada, Mexico and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93" w:lineRule="exact"/>
        <w:rPr>
          <w:sz w:val="20"/>
          <w:szCs w:val="20"/>
          <w:color w:val="auto"/>
        </w:rPr>
      </w:pPr>
    </w:p>
    <w:p>
      <w:pPr>
        <w:ind w:left="1100" w:right="20"/>
        <w:spacing w:after="0" w:line="246" w:lineRule="auto"/>
        <w:rPr>
          <w:sz w:val="20"/>
          <w:szCs w:val="20"/>
          <w:color w:val="auto"/>
        </w:rPr>
      </w:pPr>
      <w:r>
        <w:rPr>
          <w:rFonts w:ascii="Arial" w:cs="Arial" w:eastAsia="Arial" w:hAnsi="Arial"/>
          <w:sz w:val="18"/>
          <w:szCs w:val="18"/>
          <w:color w:val="auto"/>
        </w:rPr>
        <w:t>EU and by the governments of these jurisdictions on certain U.S. goods, and any other possible tariffs that may be imposed on products such as ours, the scope and duration of which, if implemented, remains uncertain;</w:t>
      </w:r>
    </w:p>
    <w:p>
      <w:pPr>
        <w:spacing w:after="0" w:line="35" w:lineRule="exact"/>
        <w:rPr>
          <w:sz w:val="20"/>
          <w:szCs w:val="20"/>
          <w:color w:val="auto"/>
        </w:rPr>
      </w:pPr>
    </w:p>
    <w:p>
      <w:pPr>
        <w:ind w:left="1100" w:right="400"/>
        <w:spacing w:after="0" w:line="246" w:lineRule="auto"/>
        <w:rPr>
          <w:sz w:val="20"/>
          <w:szCs w:val="20"/>
          <w:color w:val="auto"/>
        </w:rPr>
      </w:pPr>
      <w:r>
        <w:rPr>
          <w:rFonts w:ascii="Arial" w:cs="Arial" w:eastAsia="Arial" w:hAnsi="Arial"/>
          <w:sz w:val="18"/>
          <w:szCs w:val="18"/>
          <w:color w:val="auto"/>
        </w:rPr>
        <w:t>deterioration of political relations between the U.S. and China, Canada, the United Kingdom (“U.K.”) and the European Union (“EU”), which could have a material adverse effect on our sales and operations in these countries;</w:t>
      </w:r>
    </w:p>
    <w:p>
      <w:pPr>
        <w:spacing w:after="0" w:line="35" w:lineRule="exact"/>
        <w:rPr>
          <w:sz w:val="20"/>
          <w:szCs w:val="20"/>
          <w:color w:val="auto"/>
        </w:rPr>
      </w:pPr>
    </w:p>
    <w:p>
      <w:pPr>
        <w:ind w:left="1100" w:right="120"/>
        <w:spacing w:after="0" w:line="235" w:lineRule="auto"/>
        <w:rPr>
          <w:sz w:val="20"/>
          <w:szCs w:val="20"/>
          <w:color w:val="auto"/>
        </w:rPr>
      </w:pPr>
      <w:r>
        <w:rPr>
          <w:rFonts w:ascii="Arial" w:cs="Arial" w:eastAsia="Arial" w:hAnsi="Arial"/>
          <w:sz w:val="18"/>
          <w:szCs w:val="18"/>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spacing w:after="0" w:line="40" w:lineRule="exact"/>
        <w:rPr>
          <w:sz w:val="20"/>
          <w:szCs w:val="20"/>
          <w:color w:val="auto"/>
        </w:rPr>
      </w:pPr>
    </w:p>
    <w:p>
      <w:pPr>
        <w:ind w:left="1100" w:right="1440"/>
        <w:spacing w:after="0" w:line="313" w:lineRule="auto"/>
        <w:rPr>
          <w:sz w:val="20"/>
          <w:szCs w:val="20"/>
          <w:color w:val="auto"/>
        </w:rPr>
      </w:pPr>
      <w:r>
        <w:rPr>
          <w:rFonts w:ascii="Arial" w:cs="Arial" w:eastAsia="Arial" w:hAnsi="Arial"/>
          <w:sz w:val="18"/>
          <w:szCs w:val="18"/>
          <w:color w:val="auto"/>
        </w:rPr>
        <w:t>difficulties in obtaining export licenses or in overcoming other trade barriers and restrictions resulting in delivery delays; fluctuations in currency exchange rates and the related effect on our results of operations; increased financial accounting and reporting burdens and complexities;</w:t>
      </w:r>
    </w:p>
    <w:p>
      <w:pPr>
        <w:ind w:left="1100"/>
        <w:spacing w:after="0"/>
        <w:rPr>
          <w:sz w:val="20"/>
          <w:szCs w:val="20"/>
          <w:color w:val="auto"/>
        </w:rPr>
      </w:pPr>
      <w:r>
        <w:rPr>
          <w:rFonts w:ascii="Arial" w:cs="Arial" w:eastAsia="Arial" w:hAnsi="Arial"/>
          <w:sz w:val="18"/>
          <w:szCs w:val="18"/>
          <w:color w:val="auto"/>
        </w:rPr>
        <w:t>disruptions to global trade due to disease outbreaks;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potential increases on tariffs or restrictions on trade generally; and</w:t>
      </w:r>
    </w:p>
    <w:p>
      <w:pPr>
        <w:spacing w:after="0" w:line="63" w:lineRule="exact"/>
        <w:rPr>
          <w:sz w:val="20"/>
          <w:szCs w:val="20"/>
          <w:color w:val="auto"/>
        </w:rPr>
      </w:pPr>
    </w:p>
    <w:p>
      <w:pPr>
        <w:ind w:left="1100" w:right="340"/>
        <w:spacing w:after="0" w:line="274" w:lineRule="auto"/>
        <w:rPr>
          <w:sz w:val="20"/>
          <w:szCs w:val="20"/>
          <w:color w:val="auto"/>
        </w:rPr>
      </w:pPr>
      <w:r>
        <w:rPr>
          <w:rFonts w:ascii="Arial" w:cs="Arial" w:eastAsia="Arial" w:hAnsi="Arial"/>
          <w:sz w:val="17"/>
          <w:szCs w:val="17"/>
          <w:color w:val="auto"/>
        </w:rPr>
        <w:t>significant taxes or other burdens of complying with a variety of foreign laws and regulations, including laws and regulations relating to privacy and data protection such as the EU General Data Protection Regulation which took effect in the EU in 2018.</w:t>
      </w:r>
    </w:p>
    <w:p>
      <w:pPr>
        <w:spacing w:after="0" w:line="121"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176" w:lineRule="exact"/>
        <w:rPr>
          <w:sz w:val="20"/>
          <w:szCs w:val="20"/>
          <w:color w:val="auto"/>
        </w:rPr>
      </w:pPr>
    </w:p>
    <w:p>
      <w:pPr>
        <w:ind w:right="40" w:firstLine="648"/>
        <w:spacing w:after="0" w:line="242" w:lineRule="auto"/>
        <w:rPr>
          <w:sz w:val="20"/>
          <w:szCs w:val="20"/>
          <w:color w:val="auto"/>
        </w:rPr>
      </w:pPr>
      <w:r>
        <w:rPr>
          <w:rFonts w:ascii="Arial" w:cs="Arial" w:eastAsia="Arial" w:hAnsi="Arial"/>
          <w:sz w:val="17"/>
          <w:szCs w:val="17"/>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17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6"/>
          <w:szCs w:val="16"/>
          <w:color w:val="auto"/>
        </w:rPr>
        <w:t>Moreover, changes in the value of the relevant currencies may affect the cost of certain items required in our operations. Changes in currency exchange rates may also affect the relative prices at which we are able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16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170" w:lineRule="exact"/>
        <w:rPr>
          <w:sz w:val="20"/>
          <w:szCs w:val="20"/>
          <w:color w:val="auto"/>
        </w:rPr>
      </w:pPr>
    </w:p>
    <w:p>
      <w:pPr>
        <w:ind w:right="80" w:firstLine="648"/>
        <w:spacing w:after="0" w:line="228"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178"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77"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changes in the United States political environment.</w:t>
      </w:r>
    </w:p>
    <w:p>
      <w:pPr>
        <w:spacing w:after="0" w:line="198" w:lineRule="exact"/>
        <w:rPr>
          <w:sz w:val="20"/>
          <w:szCs w:val="20"/>
          <w:color w:val="auto"/>
        </w:rPr>
      </w:pPr>
    </w:p>
    <w:p>
      <w:pPr>
        <w:ind w:right="40" w:firstLine="648"/>
        <w:spacing w:after="0" w:line="225" w:lineRule="auto"/>
        <w:rPr>
          <w:sz w:val="20"/>
          <w:szCs w:val="20"/>
          <w:color w:val="auto"/>
        </w:rPr>
      </w:pPr>
      <w:r>
        <w:rPr>
          <w:rFonts w:ascii="Arial" w:cs="Arial" w:eastAsia="Arial" w:hAnsi="Arial"/>
          <w:sz w:val="18"/>
          <w:szCs w:val="18"/>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8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Disruption of critical information technology systems or material breaches in the security of our systems could harm our business, customer relations and financial condition.</w:t>
      </w:r>
    </w:p>
    <w:p>
      <w:pPr>
        <w:spacing w:after="0" w:line="17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IT systems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1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w:t>
      </w:r>
    </w:p>
    <w:p>
      <w:pPr>
        <w:spacing w:after="0" w:line="367" w:lineRule="exact"/>
        <w:rPr>
          <w:sz w:val="20"/>
          <w:szCs w:val="20"/>
          <w:color w:val="auto"/>
        </w:rPr>
      </w:pPr>
    </w:p>
    <w:p>
      <w:pPr>
        <w:ind w:right="140" w:firstLine="648"/>
        <w:spacing w:after="0" w:line="228" w:lineRule="auto"/>
        <w:rPr>
          <w:sz w:val="20"/>
          <w:szCs w:val="20"/>
          <w:color w:val="auto"/>
        </w:rPr>
      </w:pPr>
      <w:r>
        <w:rPr>
          <w:rFonts w:ascii="Arial" w:cs="Arial" w:eastAsia="Arial" w:hAnsi="Arial"/>
          <w:sz w:val="18"/>
          <w:szCs w:val="18"/>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151"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6"/>
          <w:szCs w:val="16"/>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10" w:lineRule="exact"/>
        <w:rPr>
          <w:sz w:val="20"/>
          <w:szCs w:val="20"/>
          <w:color w:val="auto"/>
        </w:rPr>
      </w:pPr>
    </w:p>
    <w:p>
      <w:pPr>
        <w:ind w:right="60" w:firstLine="324"/>
        <w:spacing w:after="0" w:line="239"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(“CPRA”), which significantly expands the CCPA, including by introducing additional obligations such as data minimization and storage limitations and granting additional rights to consumers, among others.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pacing w:after="0" w:line="111" w:lineRule="exact"/>
        <w:rPr>
          <w:sz w:val="20"/>
          <w:szCs w:val="20"/>
          <w:color w:val="auto"/>
        </w:rPr>
      </w:pPr>
    </w:p>
    <w:p>
      <w:pPr>
        <w:ind w:firstLine="324"/>
        <w:spacing w:after="0" w:line="235"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85" w:lineRule="exact"/>
        <w:rPr>
          <w:sz w:val="20"/>
          <w:szCs w:val="20"/>
          <w:color w:val="auto"/>
        </w:rPr>
      </w:pPr>
    </w:p>
    <w:p>
      <w:pPr>
        <w:ind w:right="120" w:firstLine="648"/>
        <w:spacing w:after="0" w:line="236"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54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Table of Contents</w:t>
              </w:r>
            </w:hyperlink>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720" w:type="dxa"/>
            <w:vAlign w:val="bottom"/>
            <w:gridSpan w:val="20"/>
          </w:tcPr>
          <w:p>
            <w:pPr>
              <w:ind w:left="140"/>
              <w:spacing w:after="0"/>
              <w:rPr>
                <w:sz w:val="20"/>
                <w:szCs w:val="20"/>
                <w:color w:val="auto"/>
              </w:rPr>
            </w:pPr>
            <w:r>
              <w:rPr>
                <w:rFonts w:ascii="Arial" w:cs="Arial" w:eastAsia="Arial" w:hAnsi="Arial"/>
                <w:sz w:val="18"/>
                <w:szCs w:val="18"/>
                <w:b w:val="1"/>
                <w:bCs w:val="1"/>
                <w:color w:val="auto"/>
              </w:rPr>
              <w:t>Exhibits</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940" w:type="dxa"/>
            <w:vAlign w:val="bottom"/>
            <w:gridSpan w:val="15"/>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72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w w:val="97"/>
              </w:rPr>
              <w:t>Form</w:t>
            </w: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 No.</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15"/>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60" w:type="dxa"/>
            <w:vAlign w:val="bottom"/>
            <w:gridSpan w:val="17"/>
            <w:shd w:val="clear" w:color="auto" w:fill="CCEEFF"/>
          </w:tcPr>
          <w:p>
            <w:pPr>
              <w:ind w:left="100"/>
              <w:spacing w:after="0" w:line="162" w:lineRule="exact"/>
              <w:rPr>
                <w:rFonts w:ascii="Arial" w:cs="Arial" w:eastAsia="Arial" w:hAnsi="Arial"/>
                <w:sz w:val="18"/>
                <w:szCs w:val="18"/>
                <w:color w:val="0000FF"/>
                <w:w w:val="92"/>
              </w:rPr>
            </w:pPr>
            <w:hyperlink r:id="rId107">
              <w:r>
                <w:rPr>
                  <w:rFonts w:ascii="Arial" w:cs="Arial" w:eastAsia="Arial" w:hAnsi="Arial"/>
                  <w:sz w:val="18"/>
                  <w:szCs w:val="18"/>
                  <w:color w:val="0000FF"/>
                  <w:w w:val="92"/>
                </w:rPr>
                <w:t>Indenture, dated February 16, 2021, between Pacific Biosciences of California, Inc.</w:t>
              </w:r>
            </w:hyperlink>
          </w:p>
        </w:tc>
        <w:tc>
          <w:tcPr>
            <w:tcW w:w="720" w:type="dxa"/>
            <w:vAlign w:val="bottom"/>
            <w:tcBorders>
              <w:left w:val="single" w:sz="8" w:color="CCEEFF"/>
            </w:tcBorders>
            <w:vMerge w:val="restart"/>
            <w:shd w:val="clear" w:color="auto" w:fill="CCEEFF"/>
          </w:tcPr>
          <w:p>
            <w:pPr>
              <w:jc w:val="center"/>
              <w:ind w:left="33"/>
              <w:spacing w:after="0"/>
              <w:rPr>
                <w:sz w:val="20"/>
                <w:szCs w:val="20"/>
                <w:color w:val="auto"/>
              </w:rPr>
            </w:pPr>
            <w:r>
              <w:rPr>
                <w:rFonts w:ascii="Arial" w:cs="Arial" w:eastAsia="Arial" w:hAnsi="Arial"/>
                <w:sz w:val="18"/>
                <w:szCs w:val="18"/>
                <w:color w:val="auto"/>
                <w:w w:val="99"/>
              </w:rPr>
              <w:t>8-K</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February 17,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40" w:type="dxa"/>
            <w:vAlign w:val="bottom"/>
            <w:tcBorders>
              <w:top w:val="single" w:sz="8" w:color="0000FF"/>
            </w:tcBorders>
            <w:gridSpan w:val="15"/>
            <w:shd w:val="clear" w:color="auto" w:fill="CCEEFF"/>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and U.S. Bank National Association, as Trustee</w:t>
              </w:r>
            </w:hyperlink>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left w:val="single" w:sz="8" w:color="CCEEFF"/>
            </w:tcBorders>
            <w:vMerge w:val="continue"/>
            <w:shd w:val="clear" w:color="auto" w:fill="CCEEFF"/>
          </w:tcPr>
          <w:p>
            <w:pPr>
              <w:spacing w:after="0"/>
              <w:rPr>
                <w:sz w:val="14"/>
                <w:szCs w:val="14"/>
                <w:color w:val="auto"/>
              </w:rPr>
            </w:pPr>
          </w:p>
        </w:tc>
        <w:tc>
          <w:tcPr>
            <w:tcW w:w="1140" w:type="dxa"/>
            <w:vAlign w:val="bottom"/>
            <w:tcBorders>
              <w:top w:val="single" w:sz="8" w:color="CCEEFF"/>
            </w:tcBorders>
            <w:vMerge w:val="continue"/>
            <w:shd w:val="clear" w:color="auto" w:fill="CCEEFF"/>
          </w:tcPr>
          <w:p>
            <w:pPr>
              <w:spacing w:after="0"/>
              <w:rPr>
                <w:sz w:val="14"/>
                <w:szCs w:val="14"/>
                <w:color w:val="auto"/>
              </w:rPr>
            </w:pPr>
          </w:p>
        </w:tc>
        <w:tc>
          <w:tcPr>
            <w:tcW w:w="182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tcBorders>
              <w:left w:val="single" w:sz="8" w:color="CCEEFF"/>
            </w:tcBorders>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4.2</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gridSpan w:val="17"/>
          </w:tcPr>
          <w:p>
            <w:pPr>
              <w:ind w:left="100"/>
              <w:spacing w:after="0" w:line="162" w:lineRule="exact"/>
              <w:rPr>
                <w:rFonts w:ascii="Arial" w:cs="Arial" w:eastAsia="Arial" w:hAnsi="Arial"/>
                <w:sz w:val="18"/>
                <w:szCs w:val="18"/>
                <w:color w:val="0000FF"/>
              </w:rPr>
            </w:pPr>
            <w:hyperlink r:id="rId108">
              <w:r>
                <w:rPr>
                  <w:rFonts w:ascii="Arial" w:cs="Arial" w:eastAsia="Arial" w:hAnsi="Arial"/>
                  <w:sz w:val="18"/>
                  <w:szCs w:val="18"/>
                  <w:color w:val="0000FF"/>
                </w:rPr>
                <w:t>Form of 1.50% Convertible Senior Notes due 2028 (included in Exhibit 4.1)</w:t>
              </w:r>
            </w:hyperlink>
          </w:p>
        </w:tc>
        <w:tc>
          <w:tcPr>
            <w:tcW w:w="720" w:type="dxa"/>
            <w:vAlign w:val="bottom"/>
          </w:tcPr>
          <w:p>
            <w:pPr>
              <w:jc w:val="center"/>
              <w:ind w:left="33"/>
              <w:spacing w:after="0" w:line="162" w:lineRule="exact"/>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line="162" w:lineRule="exact"/>
              <w:rPr>
                <w:sz w:val="20"/>
                <w:szCs w:val="20"/>
                <w:color w:val="auto"/>
              </w:rPr>
            </w:pPr>
            <w:r>
              <w:rPr>
                <w:rFonts w:ascii="Arial" w:cs="Arial" w:eastAsia="Arial" w:hAnsi="Arial"/>
                <w:sz w:val="18"/>
                <w:szCs w:val="18"/>
                <w:color w:val="auto"/>
                <w:w w:val="87"/>
              </w:rPr>
              <w:t>4.1</w:t>
            </w:r>
          </w:p>
        </w:tc>
        <w:tc>
          <w:tcPr>
            <w:tcW w:w="1820" w:type="dxa"/>
            <w:vAlign w:val="bottom"/>
          </w:tcPr>
          <w:p>
            <w:pPr>
              <w:jc w:val="center"/>
              <w:spacing w:after="0" w:line="162" w:lineRule="exact"/>
              <w:rPr>
                <w:sz w:val="20"/>
                <w:szCs w:val="20"/>
                <w:color w:val="auto"/>
              </w:rPr>
            </w:pPr>
            <w:r>
              <w:rPr>
                <w:rFonts w:ascii="Arial" w:cs="Arial" w:eastAsia="Arial" w:hAnsi="Arial"/>
                <w:sz w:val="18"/>
                <w:szCs w:val="18"/>
                <w:color w:val="auto"/>
                <w:w w:val="89"/>
              </w:rPr>
              <w:t>February 17, 2021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60" w:type="dxa"/>
            <w:vAlign w:val="bottom"/>
            <w:gridSpan w:val="17"/>
            <w:shd w:val="clear" w:color="auto" w:fill="CCEEFF"/>
          </w:tcPr>
          <w:p>
            <w:pPr>
              <w:ind w:left="100"/>
              <w:spacing w:after="0" w:line="162" w:lineRule="exact"/>
              <w:rPr>
                <w:rFonts w:ascii="Arial" w:cs="Arial" w:eastAsia="Arial" w:hAnsi="Arial"/>
                <w:sz w:val="18"/>
                <w:szCs w:val="18"/>
                <w:color w:val="0000FF"/>
              </w:rPr>
            </w:pPr>
            <w:hyperlink r:id="rId109">
              <w:r>
                <w:rPr>
                  <w:rFonts w:ascii="Arial" w:cs="Arial" w:eastAsia="Arial" w:hAnsi="Arial"/>
                  <w:sz w:val="18"/>
                  <w:szCs w:val="18"/>
                  <w:color w:val="0000FF"/>
                </w:rPr>
                <w:t>Agreement and Plan of Merger and Plan of Reorganization among Pacific</w:t>
              </w:r>
            </w:hyperlink>
          </w:p>
        </w:tc>
        <w:tc>
          <w:tcPr>
            <w:tcW w:w="7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360" w:type="dxa"/>
            <w:vAlign w:val="bottom"/>
            <w:tcBorders>
              <w:top w:val="single" w:sz="8" w:color="0000FF"/>
            </w:tcBorders>
            <w:gridSpan w:val="7"/>
            <w:shd w:val="clear" w:color="auto" w:fill="CCEEFF"/>
          </w:tcPr>
          <w:p>
            <w:pPr>
              <w:spacing w:after="0" w:line="169"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Biosciences of California, Inc., Apollo Acquisition Corp, Apollo Acquisition</w:t>
              </w:r>
            </w:hyperlink>
          </w:p>
        </w:tc>
        <w:tc>
          <w:tcPr>
            <w:tcW w:w="800" w:type="dxa"/>
            <w:vAlign w:val="bottom"/>
            <w:tcBorders>
              <w:top w:val="single" w:sz="8" w:color="CCEEFF"/>
            </w:tcBorders>
            <w:gridSpan w:val="9"/>
            <w:shd w:val="clear" w:color="auto" w:fill="CCEEFF"/>
          </w:tcPr>
          <w:p>
            <w:pPr>
              <w:ind w:left="220"/>
              <w:spacing w:after="0" w:line="169" w:lineRule="exact"/>
              <w:rPr>
                <w:rFonts w:ascii="Arial" w:cs="Arial" w:eastAsia="Arial" w:hAnsi="Arial"/>
                <w:sz w:val="18"/>
                <w:szCs w:val="18"/>
                <w:color w:val="0000FF"/>
              </w:rPr>
            </w:pPr>
            <w:hyperlink r:id="rId109">
              <w:r>
                <w:rPr>
                  <w:rFonts w:ascii="Arial" w:cs="Arial" w:eastAsia="Arial" w:hAnsi="Arial"/>
                  <w:sz w:val="18"/>
                  <w:szCs w:val="18"/>
                  <w:color w:val="0000FF"/>
                </w:rPr>
                <w:t>Sub,</w:t>
              </w:r>
            </w:hyperlink>
          </w:p>
        </w:tc>
        <w:tc>
          <w:tcPr>
            <w:tcW w:w="720" w:type="dxa"/>
            <w:vAlign w:val="bottom"/>
            <w:tcBorders>
              <w:top w:val="single" w:sz="8" w:color="CCEEFF"/>
              <w:left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rPr>
            </w:pPr>
            <w:hyperlink r:id="rId109">
              <w:r>
                <w:rPr>
                  <w:rFonts w:ascii="Arial" w:cs="Arial" w:eastAsia="Arial" w:hAnsi="Arial"/>
                  <w:sz w:val="18"/>
                  <w:szCs w:val="18"/>
                  <w:color w:val="0000FF"/>
                </w:rPr>
                <w:t>LLC, Omniome, Inc. and Shareholder Representative Services, LLC, as</w:t>
              </w:r>
            </w:hyperlink>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gridSpan w:val="2"/>
            <w:shd w:val="clear" w:color="auto" w:fill="CCEEFF"/>
          </w:tcPr>
          <w:p>
            <w:pPr>
              <w:spacing w:after="0"/>
              <w:rPr>
                <w:sz w:val="14"/>
                <w:szCs w:val="14"/>
                <w:color w:val="auto"/>
              </w:rPr>
            </w:pPr>
          </w:p>
        </w:tc>
        <w:tc>
          <w:tcPr>
            <w:tcW w:w="720" w:type="dxa"/>
            <w:vAlign w:val="bottom"/>
            <w:tcBorders>
              <w:top w:val="single" w:sz="8" w:color="CCEEFF"/>
              <w:left w:val="single" w:sz="8" w:color="CCEEFF"/>
            </w:tcBorders>
            <w:vMerge w:val="restart"/>
            <w:shd w:val="clear" w:color="auto" w:fill="CCEEFF"/>
          </w:tcPr>
          <w:p>
            <w:pPr>
              <w:jc w:val="center"/>
              <w:ind w:left="33"/>
              <w:spacing w:after="0"/>
              <w:rPr>
                <w:sz w:val="20"/>
                <w:szCs w:val="20"/>
                <w:color w:val="auto"/>
              </w:rPr>
            </w:pPr>
            <w:r>
              <w:rPr>
                <w:rFonts w:ascii="Arial" w:cs="Arial" w:eastAsia="Arial" w:hAnsi="Arial"/>
                <w:sz w:val="18"/>
                <w:szCs w:val="18"/>
                <w:color w:val="auto"/>
                <w:w w:val="99"/>
              </w:rPr>
              <w:t>8-K</w:t>
            </w:r>
          </w:p>
        </w:tc>
        <w:tc>
          <w:tcPr>
            <w:tcW w:w="114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10.1</w:t>
            </w:r>
          </w:p>
        </w:tc>
        <w:tc>
          <w:tcPr>
            <w:tcW w:w="182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July 20,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6"/>
            <w:shd w:val="clear" w:color="auto" w:fill="CCEEFF"/>
          </w:tcPr>
          <w:p>
            <w:pPr>
              <w:spacing w:after="0" w:line="169" w:lineRule="exact"/>
              <w:rPr>
                <w:rFonts w:ascii="Arial" w:cs="Arial" w:eastAsia="Arial" w:hAnsi="Arial"/>
                <w:sz w:val="18"/>
                <w:szCs w:val="18"/>
                <w:color w:val="0000FF"/>
              </w:rPr>
            </w:pPr>
            <w:hyperlink r:id="rId109">
              <w:r>
                <w:rPr>
                  <w:rFonts w:ascii="Arial" w:cs="Arial" w:eastAsia="Arial" w:hAnsi="Arial"/>
                  <w:sz w:val="18"/>
                  <w:szCs w:val="18"/>
                  <w:color w:val="0000FF"/>
                </w:rPr>
                <w:t>securityholder representative, dated as of July 19, 2021</w:t>
              </w:r>
            </w:hyperlink>
          </w:p>
        </w:tc>
        <w:tc>
          <w:tcPr>
            <w:tcW w:w="48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left w:val="single" w:sz="8" w:color="CCEEFF"/>
            </w:tcBorders>
            <w:gridSpan w:val="2"/>
            <w:shd w:val="clear" w:color="auto" w:fill="CCEEFF"/>
          </w:tcPr>
          <w:p>
            <w:pPr>
              <w:spacing w:after="0"/>
              <w:rPr>
                <w:sz w:val="14"/>
                <w:szCs w:val="14"/>
                <w:color w:val="auto"/>
              </w:rPr>
            </w:pPr>
          </w:p>
        </w:tc>
        <w:tc>
          <w:tcPr>
            <w:tcW w:w="720" w:type="dxa"/>
            <w:vAlign w:val="bottom"/>
            <w:tcBorders>
              <w:top w:val="single" w:sz="8" w:color="CCEEFF"/>
              <w:left w:val="single" w:sz="8" w:color="CCEEFF"/>
            </w:tcBorders>
            <w:vMerge w:val="continue"/>
            <w:shd w:val="clear" w:color="auto" w:fill="CCEEFF"/>
          </w:tcPr>
          <w:p>
            <w:pPr>
              <w:spacing w:after="0"/>
              <w:rPr>
                <w:sz w:val="14"/>
                <w:szCs w:val="14"/>
                <w:color w:val="auto"/>
              </w:rPr>
            </w:pPr>
          </w:p>
        </w:tc>
        <w:tc>
          <w:tcPr>
            <w:tcW w:w="1140" w:type="dxa"/>
            <w:vAlign w:val="bottom"/>
            <w:tcBorders>
              <w:top w:val="single" w:sz="8" w:color="CCEEFF"/>
            </w:tcBorders>
            <w:vMerge w:val="continue"/>
            <w:shd w:val="clear" w:color="auto" w:fill="CCEEFF"/>
          </w:tcPr>
          <w:p>
            <w:pPr>
              <w:spacing w:after="0"/>
              <w:rPr>
                <w:sz w:val="14"/>
                <w:szCs w:val="14"/>
                <w:color w:val="auto"/>
              </w:rPr>
            </w:pPr>
          </w:p>
        </w:tc>
        <w:tc>
          <w:tcPr>
            <w:tcW w:w="182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tcBorders>
              <w:left w:val="single" w:sz="8" w:color="CCEEFF"/>
            </w:tcBorders>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10.2</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gridSpan w:val="17"/>
          </w:tcPr>
          <w:p>
            <w:pPr>
              <w:ind w:left="100"/>
              <w:spacing w:after="0" w:line="162"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Securities Purchase Agreement, dated as of July 19, 2021, by and between Pacific</w:t>
              </w:r>
            </w:hyperlink>
          </w:p>
        </w:tc>
        <w:tc>
          <w:tcPr>
            <w:tcW w:w="720" w:type="dxa"/>
            <w:vAlign w:val="bottom"/>
            <w:vMerge w:val="restart"/>
          </w:tcPr>
          <w:p>
            <w:pPr>
              <w:jc w:val="center"/>
              <w:ind w:left="33"/>
              <w:spacing w:after="0"/>
              <w:rPr>
                <w:sz w:val="20"/>
                <w:szCs w:val="20"/>
                <w:color w:val="auto"/>
              </w:rPr>
            </w:pPr>
            <w:r>
              <w:rPr>
                <w:rFonts w:ascii="Arial" w:cs="Arial" w:eastAsia="Arial" w:hAnsi="Arial"/>
                <w:sz w:val="18"/>
                <w:szCs w:val="18"/>
                <w:color w:val="auto"/>
                <w:w w:val="99"/>
              </w:rPr>
              <w:t>8-K</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5"/>
              </w:rPr>
              <w:t>10.2</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1"/>
              </w:rPr>
              <w:t>July 20, 2021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Biosciences of California, Inc. and each of the Investors</w:t>
              </w:r>
            </w:hyperlink>
          </w:p>
        </w:tc>
        <w:tc>
          <w:tcPr>
            <w:tcW w:w="1920" w:type="dxa"/>
            <w:vAlign w:val="bottom"/>
            <w:tcBorders>
              <w:top w:val="single" w:sz="8" w:color="0000FF"/>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10.3</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60" w:type="dxa"/>
            <w:vAlign w:val="bottom"/>
            <w:gridSpan w:val="17"/>
            <w:shd w:val="clear" w:color="auto" w:fill="CCEEFF"/>
          </w:tcPr>
          <w:p>
            <w:pPr>
              <w:ind w:left="100"/>
              <w:spacing w:after="0" w:line="162" w:lineRule="exact"/>
              <w:rPr>
                <w:rFonts w:ascii="Arial" w:cs="Arial" w:eastAsia="Arial" w:hAnsi="Arial"/>
                <w:sz w:val="18"/>
                <w:szCs w:val="18"/>
                <w:color w:val="0000FF"/>
                <w:w w:val="93"/>
              </w:rPr>
            </w:pPr>
            <w:hyperlink r:id="rId111">
              <w:r>
                <w:rPr>
                  <w:rFonts w:ascii="Arial" w:cs="Arial" w:eastAsia="Arial" w:hAnsi="Arial"/>
                  <w:sz w:val="18"/>
                  <w:szCs w:val="18"/>
                  <w:color w:val="0000FF"/>
                  <w:w w:val="93"/>
                </w:rPr>
                <w:t>Registration Rights Agreement, dated as of July 19, 2021, by and between Pacific</w:t>
              </w:r>
            </w:hyperlink>
          </w:p>
        </w:tc>
        <w:tc>
          <w:tcPr>
            <w:tcW w:w="720" w:type="dxa"/>
            <w:vAlign w:val="bottom"/>
            <w:tcBorders>
              <w:left w:val="single" w:sz="8" w:color="CCEEFF"/>
            </w:tcBorders>
            <w:vMerge w:val="restart"/>
            <w:shd w:val="clear" w:color="auto" w:fill="CCEEFF"/>
          </w:tcPr>
          <w:p>
            <w:pPr>
              <w:jc w:val="center"/>
              <w:ind w:left="33"/>
              <w:spacing w:after="0"/>
              <w:rPr>
                <w:sz w:val="20"/>
                <w:szCs w:val="20"/>
                <w:color w:val="auto"/>
              </w:rPr>
            </w:pPr>
            <w:r>
              <w:rPr>
                <w:rFonts w:ascii="Arial" w:cs="Arial" w:eastAsia="Arial" w:hAnsi="Arial"/>
                <w:sz w:val="18"/>
                <w:szCs w:val="18"/>
                <w:color w:val="auto"/>
                <w:w w:val="99"/>
              </w:rPr>
              <w:t>8-K</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10.3</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July 20, 2021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40" w:type="dxa"/>
            <w:vAlign w:val="bottom"/>
            <w:tcBorders>
              <w:top w:val="single" w:sz="8" w:color="0000FF"/>
              <w:bottom w:val="single" w:sz="8" w:color="0000FF"/>
            </w:tcBorders>
            <w:gridSpan w:val="4"/>
            <w:shd w:val="clear" w:color="auto" w:fill="CCEEFF"/>
          </w:tcPr>
          <w:p>
            <w:pPr>
              <w:spacing w:after="0" w:line="169"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Biosciences of California, Inc. and each of the Investors</w:t>
              </w:r>
            </w:hyperlink>
          </w:p>
        </w:tc>
        <w:tc>
          <w:tcPr>
            <w:tcW w:w="190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60" w:type="dxa"/>
            <w:vAlign w:val="bottom"/>
            <w:tcBorders>
              <w:top w:val="single" w:sz="8" w:color="CCEEFF"/>
              <w:left w:val="single" w:sz="8" w:color="CCEEFF"/>
              <w:bottom w:val="single" w:sz="8" w:color="CCEEFF"/>
            </w:tcBorders>
            <w:gridSpan w:val="2"/>
            <w:shd w:val="clear" w:color="auto" w:fill="CCEEFF"/>
          </w:tcPr>
          <w:p>
            <w:pPr>
              <w:spacing w:after="0"/>
              <w:rPr>
                <w:sz w:val="15"/>
                <w:szCs w:val="15"/>
                <w:color w:val="auto"/>
              </w:rPr>
            </w:pPr>
          </w:p>
        </w:tc>
        <w:tc>
          <w:tcPr>
            <w:tcW w:w="720" w:type="dxa"/>
            <w:vAlign w:val="bottom"/>
            <w:tcBorders>
              <w:top w:val="single" w:sz="8" w:color="CCEEFF"/>
              <w:left w:val="single" w:sz="8" w:color="CCEEFF"/>
              <w:bottom w:val="single" w:sz="8" w:color="CCEEFF"/>
            </w:tcBorders>
            <w:vMerge w:val="continue"/>
            <w:shd w:val="clear" w:color="auto" w:fill="CCEEFF"/>
          </w:tcPr>
          <w:p>
            <w:pPr>
              <w:spacing w:after="0"/>
              <w:rPr>
                <w:sz w:val="15"/>
                <w:szCs w:val="15"/>
                <w:color w:val="auto"/>
              </w:rPr>
            </w:pPr>
          </w:p>
        </w:tc>
        <w:tc>
          <w:tcPr>
            <w:tcW w:w="114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8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10.4</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gridSpan w:val="17"/>
          </w:tcPr>
          <w:p>
            <w:pPr>
              <w:ind w:left="100"/>
              <w:spacing w:after="0" w:line="162" w:lineRule="exact"/>
              <w:rPr>
                <w:rFonts w:ascii="Arial" w:cs="Arial" w:eastAsia="Arial" w:hAnsi="Arial"/>
                <w:sz w:val="18"/>
                <w:szCs w:val="18"/>
                <w:color w:val="0000FF"/>
                <w:w w:val="91"/>
              </w:rPr>
            </w:pPr>
            <w:hyperlink w:anchor="page70">
              <w:r>
                <w:rPr>
                  <w:rFonts w:ascii="Arial" w:cs="Arial" w:eastAsia="Arial" w:hAnsi="Arial"/>
                  <w:sz w:val="18"/>
                  <w:szCs w:val="18"/>
                  <w:color w:val="0000FF"/>
                  <w:w w:val="91"/>
                </w:rPr>
                <w:t>Omniome Equity Incentive Plan of Pacific Biosciences of California, Inc. and related</w:t>
              </w:r>
            </w:hyperlink>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8"/>
              </w:rPr>
            </w:pPr>
            <w:hyperlink w:anchor="page70">
              <w:r>
                <w:rPr>
                  <w:rFonts w:ascii="Arial" w:cs="Arial" w:eastAsia="Arial" w:hAnsi="Arial"/>
                  <w:sz w:val="18"/>
                  <w:szCs w:val="18"/>
                  <w:color w:val="0000FF"/>
                  <w:w w:val="88"/>
                </w:rPr>
                <w:t>forms of agreement thereunder</w:t>
              </w:r>
            </w:hyperlink>
          </w:p>
        </w:tc>
        <w:tc>
          <w:tcPr>
            <w:tcW w:w="3940" w:type="dxa"/>
            <w:vAlign w:val="bottom"/>
            <w:tcBorders>
              <w:top w:val="single" w:sz="8" w:color="0000FF"/>
            </w:tcBorders>
            <w:gridSpan w:val="15"/>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31.1</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60" w:type="dxa"/>
            <w:vAlign w:val="bottom"/>
            <w:gridSpan w:val="17"/>
            <w:shd w:val="clear" w:color="auto" w:fill="CCEEFF"/>
          </w:tcPr>
          <w:p>
            <w:pPr>
              <w:ind w:left="100"/>
              <w:spacing w:after="0" w:line="162" w:lineRule="exact"/>
              <w:rPr>
                <w:rFonts w:ascii="Arial" w:cs="Arial" w:eastAsia="Arial" w:hAnsi="Arial"/>
                <w:sz w:val="18"/>
                <w:szCs w:val="18"/>
                <w:color w:val="0000FF"/>
                <w:w w:val="94"/>
              </w:rPr>
            </w:pPr>
            <w:hyperlink w:anchor="page127">
              <w:r>
                <w:rPr>
                  <w:rFonts w:ascii="Arial" w:cs="Arial" w:eastAsia="Arial" w:hAnsi="Arial"/>
                  <w:sz w:val="18"/>
                  <w:szCs w:val="18"/>
                  <w:color w:val="0000FF"/>
                  <w:w w:val="94"/>
                </w:rPr>
                <w:t>Certification of Chief Executive Officer pursuant to Exchange Act Rules 13a-14(a)</w:t>
              </w:r>
            </w:hyperlink>
          </w:p>
        </w:tc>
        <w:tc>
          <w:tcPr>
            <w:tcW w:w="7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880" w:type="dxa"/>
            <w:vAlign w:val="bottom"/>
            <w:gridSpan w:val="5"/>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82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160" w:type="dxa"/>
            <w:vAlign w:val="bottom"/>
            <w:gridSpan w:val="16"/>
            <w:shd w:val="clear" w:color="auto" w:fill="CCEEFF"/>
          </w:tcPr>
          <w:p>
            <w:pPr>
              <w:spacing w:after="0" w:line="169" w:lineRule="exact"/>
              <w:rPr>
                <w:rFonts w:ascii="Arial" w:cs="Arial" w:eastAsia="Arial" w:hAnsi="Arial"/>
                <w:sz w:val="18"/>
                <w:szCs w:val="18"/>
                <w:color w:val="0000FF"/>
                <w:w w:val="89"/>
              </w:rPr>
            </w:pPr>
            <w:hyperlink w:anchor="page127">
              <w:r>
                <w:rPr>
                  <w:rFonts w:ascii="Arial" w:cs="Arial" w:eastAsia="Arial" w:hAnsi="Arial"/>
                  <w:sz w:val="18"/>
                  <w:szCs w:val="18"/>
                  <w:color w:val="0000FF"/>
                  <w:w w:val="89"/>
                </w:rPr>
                <w:t>and 15d-14(a), as adopted pursuant to Section 302 of the Sarbanes-Oxley Act of 2002</w:t>
              </w:r>
            </w:hyperlink>
          </w:p>
        </w:tc>
        <w:tc>
          <w:tcPr>
            <w:tcW w:w="7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20" w:type="dxa"/>
            <w:vAlign w:val="bottom"/>
            <w:tcBorders>
              <w:left w:val="single" w:sz="8" w:color="CCEEFF"/>
            </w:tcBorders>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31.2</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gridSpan w:val="17"/>
          </w:tcPr>
          <w:p>
            <w:pPr>
              <w:ind w:left="100"/>
              <w:spacing w:after="0" w:line="162" w:lineRule="exact"/>
              <w:rPr>
                <w:rFonts w:ascii="Arial" w:cs="Arial" w:eastAsia="Arial" w:hAnsi="Arial"/>
                <w:sz w:val="18"/>
                <w:szCs w:val="18"/>
                <w:color w:val="0000FF"/>
                <w:w w:val="95"/>
              </w:rPr>
            </w:pPr>
            <w:hyperlink w:anchor="page128">
              <w:r>
                <w:rPr>
                  <w:rFonts w:ascii="Arial" w:cs="Arial" w:eastAsia="Arial" w:hAnsi="Arial"/>
                  <w:sz w:val="18"/>
                  <w:szCs w:val="18"/>
                  <w:color w:val="0000FF"/>
                  <w:w w:val="95"/>
                </w:rPr>
                <w:t>Certification of Chief Financial Officer pursuant to Exchange Act Rules 13a-14(a)</w:t>
              </w:r>
            </w:hyperlink>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80" w:type="dxa"/>
            <w:vAlign w:val="bottom"/>
            <w:gridSpan w:val="5"/>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160" w:type="dxa"/>
            <w:vAlign w:val="bottom"/>
            <w:gridSpan w:val="16"/>
          </w:tcPr>
          <w:p>
            <w:pPr>
              <w:spacing w:after="0" w:line="169" w:lineRule="exact"/>
              <w:rPr>
                <w:rFonts w:ascii="Arial" w:cs="Arial" w:eastAsia="Arial" w:hAnsi="Arial"/>
                <w:sz w:val="18"/>
                <w:szCs w:val="18"/>
                <w:color w:val="0000FF"/>
                <w:w w:val="89"/>
              </w:rPr>
            </w:pPr>
            <w:hyperlink w:anchor="page128">
              <w:r>
                <w:rPr>
                  <w:rFonts w:ascii="Arial" w:cs="Arial" w:eastAsia="Arial" w:hAnsi="Arial"/>
                  <w:sz w:val="18"/>
                  <w:szCs w:val="18"/>
                  <w:color w:val="0000FF"/>
                  <w:w w:val="89"/>
                </w:rPr>
                <w:t>and 15d-14(a), as adopted pursuant to Section 302 of the Sarbanes-Oxley Act of 2002</w:t>
              </w:r>
            </w:hyperlink>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32.1*</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60" w:type="dxa"/>
            <w:vAlign w:val="bottom"/>
            <w:gridSpan w:val="17"/>
            <w:shd w:val="clear" w:color="auto" w:fill="CCEEFF"/>
          </w:tcPr>
          <w:p>
            <w:pPr>
              <w:ind w:left="100"/>
              <w:spacing w:after="0" w:line="162" w:lineRule="exact"/>
              <w:rPr>
                <w:rFonts w:ascii="Arial" w:cs="Arial" w:eastAsia="Arial" w:hAnsi="Arial"/>
                <w:sz w:val="18"/>
                <w:szCs w:val="18"/>
                <w:color w:val="0000FF"/>
                <w:w w:val="98"/>
              </w:rPr>
            </w:pPr>
            <w:hyperlink w:anchor="page129">
              <w:r>
                <w:rPr>
                  <w:rFonts w:ascii="Arial" w:cs="Arial" w:eastAsia="Arial" w:hAnsi="Arial"/>
                  <w:sz w:val="18"/>
                  <w:szCs w:val="18"/>
                  <w:color w:val="0000FF"/>
                  <w:w w:val="98"/>
                </w:rPr>
                <w:t>Certification of Chief Executive Officer pursuant to 18 U.S.C. Section 1350, as</w:t>
              </w:r>
            </w:hyperlink>
          </w:p>
        </w:tc>
        <w:tc>
          <w:tcPr>
            <w:tcW w:w="7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880" w:type="dxa"/>
            <w:vAlign w:val="bottom"/>
            <w:tcBorders>
              <w:top w:val="single" w:sz="8" w:color="0000FF"/>
              <w:bottom w:val="single" w:sz="8" w:color="0000FF"/>
            </w:tcBorders>
            <w:gridSpan w:val="5"/>
            <w:shd w:val="clear" w:color="auto" w:fill="CCEEFF"/>
          </w:tcPr>
          <w:p>
            <w:pPr>
              <w:spacing w:after="0" w:line="169" w:lineRule="exact"/>
              <w:rPr>
                <w:rFonts w:ascii="Arial" w:cs="Arial" w:eastAsia="Arial" w:hAnsi="Arial"/>
                <w:sz w:val="18"/>
                <w:szCs w:val="18"/>
                <w:color w:val="0000FF"/>
                <w:w w:val="89"/>
              </w:rPr>
            </w:pPr>
            <w:hyperlink w:anchor="page129">
              <w:r>
                <w:rPr>
                  <w:rFonts w:ascii="Arial" w:cs="Arial" w:eastAsia="Arial" w:hAnsi="Arial"/>
                  <w:sz w:val="18"/>
                  <w:szCs w:val="18"/>
                  <w:color w:val="0000FF"/>
                  <w:w w:val="89"/>
                </w:rPr>
                <w:t>adopted pursuant to Section 906 of the Sarbanes-Oxley Act of 2002</w:t>
              </w:r>
            </w:hyperlink>
          </w:p>
        </w:tc>
        <w:tc>
          <w:tcPr>
            <w:tcW w:w="860" w:type="dxa"/>
            <w:vAlign w:val="bottom"/>
            <w:tcBorders>
              <w:top w:val="single" w:sz="8" w:color="0000FF"/>
              <w:bottom w:val="single" w:sz="8" w:color="CCEEFF"/>
            </w:tcBorders>
            <w:gridSpan w:val="5"/>
            <w:shd w:val="clear" w:color="auto" w:fill="CCEEFF"/>
          </w:tcPr>
          <w:p>
            <w:pPr>
              <w:spacing w:after="0"/>
              <w:rPr>
                <w:sz w:val="15"/>
                <w:szCs w:val="15"/>
                <w:color w:val="auto"/>
              </w:rPr>
            </w:pPr>
          </w:p>
        </w:tc>
        <w:tc>
          <w:tcPr>
            <w:tcW w:w="42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72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32.2*</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gridSpan w:val="17"/>
          </w:tcPr>
          <w:p>
            <w:pPr>
              <w:ind w:left="100"/>
              <w:spacing w:after="0" w:line="162" w:lineRule="exact"/>
              <w:rPr>
                <w:rFonts w:ascii="Arial" w:cs="Arial" w:eastAsia="Arial" w:hAnsi="Arial"/>
                <w:sz w:val="18"/>
                <w:szCs w:val="18"/>
                <w:color w:val="0000FF"/>
                <w:w w:val="99"/>
              </w:rPr>
            </w:pPr>
            <w:hyperlink w:anchor="page130">
              <w:r>
                <w:rPr>
                  <w:rFonts w:ascii="Arial" w:cs="Arial" w:eastAsia="Arial" w:hAnsi="Arial"/>
                  <w:sz w:val="18"/>
                  <w:szCs w:val="18"/>
                  <w:color w:val="0000FF"/>
                  <w:w w:val="99"/>
                </w:rPr>
                <w:t>Certification of Chief Financial Officer pursuant to 18 U.S.C. Section 1350, as</w:t>
              </w:r>
            </w:hyperlink>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89"/>
              </w:rPr>
            </w:pPr>
            <w:hyperlink w:anchor="page130">
              <w:r>
                <w:rPr>
                  <w:rFonts w:ascii="Arial" w:cs="Arial" w:eastAsia="Arial" w:hAnsi="Arial"/>
                  <w:sz w:val="18"/>
                  <w:szCs w:val="18"/>
                  <w:color w:val="0000FF"/>
                  <w:w w:val="89"/>
                </w:rPr>
                <w:t>adopted pursuant to Section 906 of the Sarbanes-Oxley Act of 2002</w:t>
              </w:r>
            </w:hyperlink>
          </w:p>
        </w:tc>
        <w:tc>
          <w:tcPr>
            <w:tcW w:w="820" w:type="dxa"/>
            <w:vAlign w:val="bottom"/>
            <w:tcBorders>
              <w:top w:val="single" w:sz="8" w:color="0000FF"/>
            </w:tcBorders>
            <w:gridSpan w:val="4"/>
          </w:tcPr>
          <w:p>
            <w:pPr>
              <w:spacing w:after="0"/>
              <w:rPr>
                <w:sz w:val="15"/>
                <w:szCs w:val="15"/>
                <w:color w:val="auto"/>
              </w:rPr>
            </w:pPr>
          </w:p>
        </w:tc>
        <w:tc>
          <w:tcPr>
            <w:tcW w:w="460" w:type="dxa"/>
            <w:vAlign w:val="bottom"/>
            <w:gridSpan w:val="7"/>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101.INS</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60" w:type="dxa"/>
            <w:vAlign w:val="bottom"/>
            <w:gridSpan w:val="17"/>
            <w:shd w:val="clear" w:color="auto" w:fill="CCEEFF"/>
          </w:tcPr>
          <w:p>
            <w:pPr>
              <w:ind w:left="100"/>
              <w:spacing w:after="0" w:line="161" w:lineRule="exact"/>
              <w:rPr>
                <w:sz w:val="20"/>
                <w:szCs w:val="20"/>
                <w:color w:val="auto"/>
              </w:rPr>
            </w:pPr>
            <w:r>
              <w:rPr>
                <w:rFonts w:ascii="Arial" w:cs="Arial" w:eastAsia="Arial" w:hAnsi="Arial"/>
                <w:sz w:val="18"/>
                <w:szCs w:val="18"/>
                <w:color w:val="auto"/>
                <w:w w:val="91"/>
              </w:rPr>
              <w:t>XBRL Instance Document (the instance document does not appear in the Interactive</w:t>
            </w:r>
          </w:p>
        </w:tc>
        <w:tc>
          <w:tcPr>
            <w:tcW w:w="720" w:type="dxa"/>
            <w:vAlign w:val="bottom"/>
            <w:tcBorders>
              <w:left w:val="single" w:sz="8" w:color="CCEEFF"/>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60" w:type="dxa"/>
            <w:vAlign w:val="bottom"/>
            <w:gridSpan w:val="17"/>
            <w:shd w:val="clear" w:color="auto" w:fill="CCEEFF"/>
          </w:tcPr>
          <w:p>
            <w:pPr>
              <w:ind w:left="100"/>
              <w:spacing w:after="0"/>
              <w:rPr>
                <w:sz w:val="20"/>
                <w:szCs w:val="20"/>
                <w:color w:val="auto"/>
              </w:rPr>
            </w:pPr>
            <w:r>
              <w:rPr>
                <w:rFonts w:ascii="Arial" w:cs="Arial" w:eastAsia="Arial" w:hAnsi="Arial"/>
                <w:sz w:val="18"/>
                <w:szCs w:val="18"/>
                <w:color w:val="auto"/>
                <w:w w:val="93"/>
              </w:rPr>
              <w:t>Data File because its XBRL tags are embedded within the Inline XBRL document)</w:t>
            </w:r>
          </w:p>
        </w:tc>
        <w:tc>
          <w:tcPr>
            <w:tcW w:w="72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60" w:type="dxa"/>
            <w:vAlign w:val="bottom"/>
            <w:gridSpan w:val="17"/>
          </w:tcPr>
          <w:p>
            <w:pPr>
              <w:ind w:left="100"/>
              <w:spacing w:after="0" w:line="202" w:lineRule="exact"/>
              <w:rPr>
                <w:sz w:val="20"/>
                <w:szCs w:val="20"/>
                <w:color w:val="auto"/>
              </w:rPr>
            </w:pPr>
            <w:r>
              <w:rPr>
                <w:rFonts w:ascii="Arial" w:cs="Arial" w:eastAsia="Arial" w:hAnsi="Arial"/>
                <w:sz w:val="18"/>
                <w:szCs w:val="18"/>
                <w:color w:val="auto"/>
              </w:rPr>
              <w:t>XBRL Taxonomy Extension Schema Document</w:t>
            </w: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101.CAL</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60" w:type="dxa"/>
            <w:vAlign w:val="bottom"/>
            <w:gridSpan w:val="17"/>
            <w:shd w:val="clear" w:color="auto" w:fill="CCEEFF"/>
          </w:tcPr>
          <w:p>
            <w:pPr>
              <w:ind w:left="100"/>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720" w:type="dxa"/>
            <w:vAlign w:val="bottom"/>
            <w:tcBorders>
              <w:lef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60" w:type="dxa"/>
            <w:vAlign w:val="bottom"/>
            <w:gridSpan w:val="17"/>
          </w:tcPr>
          <w:p>
            <w:pPr>
              <w:ind w:left="100"/>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101.LAB</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60" w:type="dxa"/>
            <w:vAlign w:val="bottom"/>
            <w:gridSpan w:val="17"/>
            <w:shd w:val="clear" w:color="auto" w:fill="CCEEFF"/>
          </w:tcPr>
          <w:p>
            <w:pPr>
              <w:ind w:left="100"/>
              <w:spacing w:after="0" w:line="202" w:lineRule="exact"/>
              <w:rPr>
                <w:sz w:val="20"/>
                <w:szCs w:val="20"/>
                <w:color w:val="auto"/>
              </w:rPr>
            </w:pPr>
            <w:r>
              <w:rPr>
                <w:rFonts w:ascii="Arial" w:cs="Arial" w:eastAsia="Arial" w:hAnsi="Arial"/>
                <w:sz w:val="18"/>
                <w:szCs w:val="18"/>
                <w:color w:val="auto"/>
              </w:rPr>
              <w:t>XBRL Taxonomy Extension Labels Linkbase Document</w:t>
            </w:r>
          </w:p>
        </w:tc>
        <w:tc>
          <w:tcPr>
            <w:tcW w:w="720" w:type="dxa"/>
            <w:vAlign w:val="bottom"/>
            <w:tcBorders>
              <w:lef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tcPr>
          <w:p>
            <w:pPr>
              <w:spacing w:after="0" w:line="191" w:lineRule="exact"/>
              <w:rPr>
                <w:sz w:val="20"/>
                <w:szCs w:val="20"/>
                <w:color w:val="auto"/>
              </w:rPr>
            </w:pPr>
            <w:r>
              <w:rPr>
                <w:rFonts w:ascii="Arial" w:cs="Arial" w:eastAsia="Arial" w:hAnsi="Arial"/>
                <w:sz w:val="18"/>
                <w:szCs w:val="18"/>
                <w:color w:val="auto"/>
              </w:rPr>
              <w:t>101.PRE</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60" w:type="dxa"/>
            <w:vAlign w:val="bottom"/>
            <w:gridSpan w:val="17"/>
          </w:tcPr>
          <w:p>
            <w:pPr>
              <w:ind w:left="100"/>
              <w:spacing w:after="0" w:line="191" w:lineRule="exact"/>
              <w:rPr>
                <w:sz w:val="20"/>
                <w:szCs w:val="20"/>
                <w:color w:val="auto"/>
              </w:rPr>
            </w:pPr>
            <w:r>
              <w:rPr>
                <w:rFonts w:ascii="Arial" w:cs="Arial" w:eastAsia="Arial" w:hAnsi="Arial"/>
                <w:sz w:val="18"/>
                <w:szCs w:val="18"/>
                <w:color w:val="auto"/>
              </w:rPr>
              <w:t>XBRL Taxonomy Extension Presentation Linkbase Document</w:t>
            </w: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400" w:hanging="1379"/>
        <w:spacing w:after="0"/>
        <w:tabs>
          <w:tab w:leader="none" w:pos="14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Cover Page Interactive File (formatted as inline XBRL and contained in Exhibit 101)</w:t>
      </w:r>
    </w:p>
    <w:p>
      <w:pPr>
        <w:spacing w:after="0" w:line="200" w:lineRule="exact"/>
        <w:rPr>
          <w:rFonts w:ascii="Arial" w:cs="Arial" w:eastAsia="Arial" w:hAnsi="Arial"/>
          <w:sz w:val="18"/>
          <w:szCs w:val="18"/>
          <w:color w:val="auto"/>
        </w:rPr>
      </w:pPr>
    </w:p>
    <w:p>
      <w:pPr>
        <w:spacing w:after="0" w:line="279" w:lineRule="exact"/>
        <w:rPr>
          <w:rFonts w:ascii="Arial" w:cs="Arial" w:eastAsia="Arial" w:hAnsi="Arial"/>
          <w:sz w:val="18"/>
          <w:szCs w:val="18"/>
          <w:color w:val="auto"/>
        </w:rPr>
      </w:pPr>
    </w:p>
    <w:p>
      <w:pPr>
        <w:jc w:val="both"/>
        <w:ind w:left="400" w:hanging="392"/>
        <w:spacing w:after="0" w:line="235" w:lineRule="auto"/>
        <w:tabs>
          <w:tab w:leader="none" w:pos="399"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Schedules and exhibits omitted pursuant to Item 601(b)(2) of Regulation S-K. The Company agrees to furnish supplementally a copy of any omitted schedule or exhibit to the SEC upon request; provided, however, that the Company may request confidential treatment pursuant to Rule 24b-2 of the Securities Exchange Act of 1934, as amended, for any schedules or exhibits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-813435</wp:posOffset>
            </wp:positionV>
            <wp:extent cx="713232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30175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 w:lineRule="exact"/>
        <w:rPr>
          <w:sz w:val="20"/>
          <w:szCs w:val="20"/>
          <w:color w:val="auto"/>
        </w:rPr>
      </w:pPr>
    </w:p>
    <w:p>
      <w:pPr>
        <w:ind w:left="400" w:right="120" w:hanging="392"/>
        <w:spacing w:after="0" w:line="246" w:lineRule="auto"/>
        <w:tabs>
          <w:tab w:leader="none" w:pos="40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40" w:firstLine="440"/>
        <w:spacing w:after="0" w:line="246"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240" w:type="dxa"/>
            <w:vAlign w:val="bottom"/>
            <w:gridSpan w:val="2"/>
          </w:tcPr>
          <w:p>
            <w:pPr>
              <w:ind w:left="22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ACIFIC</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IOSCIENCES OF</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ALIFORNIA</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9"/>
        </w:trPr>
        <w:tc>
          <w:tcPr>
            <w:tcW w:w="3980" w:type="dxa"/>
            <w:vAlign w:val="bottom"/>
          </w:tcPr>
          <w:p>
            <w:pPr>
              <w:spacing w:after="0"/>
              <w:rPr>
                <w:sz w:val="20"/>
                <w:szCs w:val="20"/>
                <w:color w:val="auto"/>
              </w:rPr>
            </w:pPr>
            <w:r>
              <w:rPr>
                <w:rFonts w:ascii="Arial" w:cs="Arial" w:eastAsia="Arial" w:hAnsi="Arial"/>
                <w:sz w:val="18"/>
                <w:szCs w:val="18"/>
                <w:color w:val="auto"/>
              </w:rPr>
              <w:t>Date: November 4, 2021</w:t>
            </w:r>
          </w:p>
        </w:tc>
        <w:tc>
          <w:tcPr>
            <w:tcW w:w="2520" w:type="dxa"/>
            <w:vAlign w:val="bottom"/>
            <w:vMerge w:val="restart"/>
          </w:tcPr>
          <w:p>
            <w:pPr>
              <w:ind w:left="2220"/>
              <w:spacing w:after="0"/>
              <w:rPr>
                <w:sz w:val="20"/>
                <w:szCs w:val="20"/>
                <w:color w:val="auto"/>
              </w:rPr>
            </w:pPr>
            <w:r>
              <w:rPr>
                <w:rFonts w:ascii="Arial" w:cs="Arial" w:eastAsia="Arial" w:hAnsi="Arial"/>
                <w:sz w:val="18"/>
                <w:szCs w:val="18"/>
                <w:color w:val="auto"/>
              </w:rPr>
              <w:t>By:</w:t>
            </w:r>
          </w:p>
        </w:tc>
        <w:tc>
          <w:tcPr>
            <w:tcW w:w="4720" w:type="dxa"/>
            <w:vAlign w:val="bottom"/>
          </w:tcPr>
          <w:p>
            <w:pPr>
              <w:ind w:left="1540"/>
              <w:spacing w:after="0"/>
              <w:rPr>
                <w:sz w:val="20"/>
                <w:szCs w:val="20"/>
                <w:color w:val="auto"/>
              </w:rPr>
            </w:pPr>
            <w:r>
              <w:rPr>
                <w:rFonts w:ascii="Arial" w:cs="Arial" w:eastAsia="Arial" w:hAnsi="Arial"/>
                <w:sz w:val="18"/>
                <w:szCs w:val="18"/>
                <w:color w:val="auto"/>
              </w:rPr>
              <w:t>/s/   Susan G. Kim</w:t>
            </w:r>
          </w:p>
        </w:tc>
        <w:tc>
          <w:tcPr>
            <w:tcW w:w="0" w:type="dxa"/>
            <w:vAlign w:val="bottom"/>
          </w:tcPr>
          <w:p>
            <w:pPr>
              <w:spacing w:after="0"/>
              <w:rPr>
                <w:sz w:val="1"/>
                <w:szCs w:val="1"/>
                <w:color w:val="auto"/>
              </w:rPr>
            </w:pPr>
          </w:p>
        </w:tc>
      </w:tr>
      <w:tr>
        <w:trPr>
          <w:trHeight w:val="94"/>
        </w:trPr>
        <w:tc>
          <w:tcPr>
            <w:tcW w:w="398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4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9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7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Susan G. Kim</w:t>
            </w: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720" w:type="dxa"/>
            <w:vAlign w:val="bottom"/>
          </w:tcPr>
          <w:p>
            <w:pPr>
              <w:jc w:val="center"/>
              <w:spacing w:after="0"/>
              <w:rPr>
                <w:sz w:val="20"/>
                <w:szCs w:val="20"/>
                <w:color w:val="auto"/>
              </w:rPr>
            </w:pPr>
            <w:r>
              <w:rPr>
                <w:rFonts w:ascii="Arial" w:cs="Arial" w:eastAsia="Arial" w:hAnsi="Arial"/>
                <w:sz w:val="13"/>
                <w:szCs w:val="13"/>
                <w:b w:val="1"/>
                <w:bCs w:val="1"/>
                <w:color w:val="auto"/>
                <w:w w:val="97"/>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November 4, 2021</w:t>
            </w:r>
          </w:p>
        </w:tc>
        <w:tc>
          <w:tcPr>
            <w:tcW w:w="2520" w:type="dxa"/>
            <w:vAlign w:val="bottom"/>
            <w:vMerge w:val="restart"/>
          </w:tcPr>
          <w:p>
            <w:pPr>
              <w:ind w:left="2220"/>
              <w:spacing w:after="0"/>
              <w:rPr>
                <w:sz w:val="20"/>
                <w:szCs w:val="20"/>
                <w:color w:val="auto"/>
              </w:rPr>
            </w:pPr>
            <w:r>
              <w:rPr>
                <w:rFonts w:ascii="Arial" w:cs="Arial" w:eastAsia="Arial" w:hAnsi="Arial"/>
                <w:sz w:val="18"/>
                <w:szCs w:val="18"/>
                <w:color w:val="auto"/>
              </w:rPr>
              <w:t>By:</w:t>
            </w:r>
          </w:p>
        </w:tc>
        <w:tc>
          <w:tcPr>
            <w:tcW w:w="4720" w:type="dxa"/>
            <w:vAlign w:val="bottom"/>
          </w:tcPr>
          <w:p>
            <w:pPr>
              <w:ind w:left="1480"/>
              <w:spacing w:after="0"/>
              <w:rPr>
                <w:sz w:val="20"/>
                <w:szCs w:val="20"/>
                <w:color w:val="auto"/>
              </w:rPr>
            </w:pPr>
            <w:r>
              <w:rPr>
                <w:rFonts w:ascii="Arial" w:cs="Arial" w:eastAsia="Arial" w:hAnsi="Arial"/>
                <w:sz w:val="18"/>
                <w:szCs w:val="18"/>
                <w:color w:val="auto"/>
              </w:rPr>
              <w:t>/s/   Michele Farmer</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4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4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7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Michele Farmer</w:t>
            </w: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720" w:type="dxa"/>
            <w:vAlign w:val="bottom"/>
          </w:tcPr>
          <w:p>
            <w:pPr>
              <w:jc w:val="center"/>
              <w:spacing w:after="0"/>
              <w:rPr>
                <w:sz w:val="20"/>
                <w:szCs w:val="20"/>
                <w:color w:val="auto"/>
              </w:rPr>
            </w:pPr>
            <w:r>
              <w:rPr>
                <w:rFonts w:ascii="Arial" w:cs="Arial" w:eastAsia="Arial" w:hAnsi="Arial"/>
                <w:sz w:val="13"/>
                <w:szCs w:val="13"/>
                <w:b w:val="1"/>
                <w:bCs w:val="1"/>
                <w:color w:val="auto"/>
                <w:w w:val="94"/>
              </w:rPr>
              <w:t>Vice President and Chief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12" w:right="339" w:bottom="1440" w:gutter="0" w:footer="0" w:header="0"/>
        </w:sectPr>
      </w:pPr>
    </w:p>
    <w:bookmarkStart w:id="69" w:name="page70"/>
    <w:bookmarkEnd w:id="69"/>
    <w:p>
      <w:pPr>
        <w:ind w:left="8080"/>
        <w:spacing w:after="0"/>
        <w:rPr>
          <w:sz w:val="20"/>
          <w:szCs w:val="20"/>
          <w:color w:val="auto"/>
        </w:rPr>
      </w:pPr>
      <w:r>
        <w:rPr>
          <w:rFonts w:ascii="Arial" w:cs="Arial" w:eastAsia="Arial" w:hAnsi="Arial"/>
          <w:sz w:val="19"/>
          <w:szCs w:val="19"/>
          <w:color w:val="auto"/>
        </w:rPr>
        <w:t>Exhibit 10.4</w:t>
      </w: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OMNIOME EQUITY INCENTIVE PLAN OF</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PACIFIC BIOSCIENCES OF CALIFORNIA, INC.</w:t>
      </w:r>
    </w:p>
    <w:p>
      <w:pPr>
        <w:spacing w:after="0" w:line="200" w:lineRule="exact"/>
        <w:rPr>
          <w:sz w:val="20"/>
          <w:szCs w:val="20"/>
          <w:color w:val="auto"/>
        </w:rPr>
      </w:pPr>
    </w:p>
    <w:p>
      <w:pPr>
        <w:spacing w:after="0" w:line="228" w:lineRule="exact"/>
        <w:rPr>
          <w:sz w:val="20"/>
          <w:szCs w:val="20"/>
          <w:color w:val="auto"/>
        </w:rPr>
      </w:pPr>
    </w:p>
    <w:p>
      <w:pPr>
        <w:jc w:val="both"/>
        <w:ind w:left="180" w:firstLine="652"/>
        <w:spacing w:after="0" w:line="236" w:lineRule="auto"/>
        <w:tabs>
          <w:tab w:leader="none" w:pos="1206"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Purposes of the Plan</w:t>
      </w:r>
      <w:r>
        <w:rPr>
          <w:rFonts w:ascii="Arial" w:cs="Arial" w:eastAsia="Arial" w:hAnsi="Arial"/>
          <w:sz w:val="22"/>
          <w:szCs w:val="22"/>
          <w:color w:val="auto"/>
        </w:rPr>
        <w:t>. In connection with the Merger, the shares of common stock of Omniome are being assumed and converted into Shares that will be available for grant and issuance under the Plan, consistent with Nasdaq Listing Rule 5635(c). This Omniome Equity Incentive Plan of Pacific Biosciences of California, Inc. was established on September 20, 2021, in connection with the Merger. The purposes of this Plan are:</w:t>
      </w:r>
    </w:p>
    <w:p>
      <w:pPr>
        <w:spacing w:after="0" w:line="187" w:lineRule="exact"/>
        <w:rPr>
          <w:rFonts w:ascii="Arial" w:cs="Arial" w:eastAsia="Arial" w:hAnsi="Arial"/>
          <w:sz w:val="22"/>
          <w:szCs w:val="22"/>
          <w:color w:val="auto"/>
        </w:rPr>
      </w:pPr>
    </w:p>
    <w:p>
      <w:pPr>
        <w:ind w:left="2120" w:hanging="640"/>
        <w:spacing w:after="0" w:line="250" w:lineRule="auto"/>
        <w:tabs>
          <w:tab w:leader="none" w:pos="2120" w:val="left"/>
        </w:tabs>
        <w:numPr>
          <w:ilvl w:val="1"/>
          <w:numId w:val="6"/>
        </w:numPr>
        <w:rPr>
          <w:rFonts w:ascii="Arial" w:cs="Arial" w:eastAsia="Arial" w:hAnsi="Arial"/>
          <w:sz w:val="22"/>
          <w:szCs w:val="22"/>
          <w:color w:val="auto"/>
        </w:rPr>
      </w:pPr>
      <w:r>
        <w:rPr>
          <w:rFonts w:ascii="Arial" w:cs="Arial" w:eastAsia="Arial" w:hAnsi="Arial"/>
          <w:sz w:val="22"/>
          <w:szCs w:val="22"/>
          <w:color w:val="auto"/>
        </w:rPr>
        <w:t>to attract and retain the best available personnel for positions of substantial responsibility,</w:t>
      </w:r>
    </w:p>
    <w:p>
      <w:pPr>
        <w:spacing w:after="0" w:line="174" w:lineRule="exact"/>
        <w:rPr>
          <w:rFonts w:ascii="Arial" w:cs="Arial" w:eastAsia="Arial" w:hAnsi="Arial"/>
          <w:sz w:val="22"/>
          <w:szCs w:val="22"/>
          <w:color w:val="auto"/>
        </w:rPr>
      </w:pPr>
    </w:p>
    <w:p>
      <w:pPr>
        <w:ind w:left="2120" w:hanging="640"/>
        <w:spacing w:after="0"/>
        <w:tabs>
          <w:tab w:leader="none" w:pos="2120" w:val="left"/>
        </w:tabs>
        <w:numPr>
          <w:ilvl w:val="1"/>
          <w:numId w:val="6"/>
        </w:numPr>
        <w:rPr>
          <w:rFonts w:ascii="Arial" w:cs="Arial" w:eastAsia="Arial" w:hAnsi="Arial"/>
          <w:sz w:val="19"/>
          <w:szCs w:val="19"/>
          <w:color w:val="auto"/>
        </w:rPr>
      </w:pPr>
      <w:r>
        <w:rPr>
          <w:rFonts w:ascii="Arial" w:cs="Arial" w:eastAsia="Arial" w:hAnsi="Arial"/>
          <w:sz w:val="19"/>
          <w:szCs w:val="19"/>
          <w:color w:val="auto"/>
        </w:rPr>
        <w:t>to provide additional incentive to Employees, Directors and Consultants, and</w:t>
      </w:r>
    </w:p>
    <w:p>
      <w:pPr>
        <w:spacing w:after="0" w:line="240" w:lineRule="exact"/>
        <w:rPr>
          <w:rFonts w:ascii="Arial" w:cs="Arial" w:eastAsia="Arial" w:hAnsi="Arial"/>
          <w:sz w:val="19"/>
          <w:szCs w:val="19"/>
          <w:color w:val="auto"/>
        </w:rPr>
      </w:pPr>
    </w:p>
    <w:p>
      <w:pPr>
        <w:ind w:left="2120" w:hanging="640"/>
        <w:spacing w:after="0"/>
        <w:tabs>
          <w:tab w:leader="none" w:pos="2120" w:val="left"/>
        </w:tabs>
        <w:numPr>
          <w:ilvl w:val="1"/>
          <w:numId w:val="6"/>
        </w:numPr>
        <w:rPr>
          <w:rFonts w:ascii="Arial" w:cs="Arial" w:eastAsia="Arial" w:hAnsi="Arial"/>
          <w:sz w:val="22"/>
          <w:szCs w:val="22"/>
          <w:color w:val="auto"/>
        </w:rPr>
      </w:pPr>
      <w:r>
        <w:rPr>
          <w:rFonts w:ascii="Arial" w:cs="Arial" w:eastAsia="Arial" w:hAnsi="Arial"/>
          <w:sz w:val="22"/>
          <w:szCs w:val="22"/>
          <w:color w:val="auto"/>
        </w:rPr>
        <w:t>to promote the success of the Company’s business.</w:t>
      </w:r>
    </w:p>
    <w:p>
      <w:pPr>
        <w:spacing w:after="0" w:line="206" w:lineRule="exact"/>
        <w:rPr>
          <w:sz w:val="20"/>
          <w:szCs w:val="20"/>
          <w:color w:val="auto"/>
        </w:rPr>
      </w:pPr>
    </w:p>
    <w:p>
      <w:pPr>
        <w:ind w:left="180" w:firstLine="1296"/>
        <w:spacing w:after="0" w:line="274" w:lineRule="auto"/>
        <w:rPr>
          <w:sz w:val="20"/>
          <w:szCs w:val="20"/>
          <w:color w:val="auto"/>
        </w:rPr>
      </w:pPr>
      <w:r>
        <w:rPr>
          <w:rFonts w:ascii="Arial" w:cs="Arial" w:eastAsia="Arial" w:hAnsi="Arial"/>
          <w:sz w:val="21"/>
          <w:szCs w:val="21"/>
          <w:color w:val="auto"/>
        </w:rPr>
        <w:t>The Plan permits the grant of Nonstatutory Stock Options, Restricted Stock, Restricted Stock Units, Stock Appreciation Rights, Performance Units and Performance Shares.</w:t>
      </w:r>
    </w:p>
    <w:p>
      <w:pPr>
        <w:spacing w:after="0" w:line="151" w:lineRule="exact"/>
        <w:rPr>
          <w:sz w:val="20"/>
          <w:szCs w:val="20"/>
          <w:color w:val="auto"/>
        </w:rPr>
      </w:pPr>
    </w:p>
    <w:p>
      <w:pPr>
        <w:ind w:left="1180" w:hanging="348"/>
        <w:spacing w:after="0"/>
        <w:tabs>
          <w:tab w:leader="none" w:pos="118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herein, the following definitions will apply:</w:t>
      </w:r>
    </w:p>
    <w:p>
      <w:pPr>
        <w:spacing w:after="0" w:line="206" w:lineRule="exact"/>
        <w:rPr>
          <w:rFonts w:ascii="Arial" w:cs="Arial" w:eastAsia="Arial" w:hAnsi="Arial"/>
          <w:sz w:val="22"/>
          <w:szCs w:val="22"/>
          <w:color w:val="auto"/>
        </w:rPr>
      </w:pPr>
    </w:p>
    <w:p>
      <w:pPr>
        <w:ind w:left="180" w:firstLine="1300"/>
        <w:spacing w:after="0" w:line="250" w:lineRule="auto"/>
        <w:tabs>
          <w:tab w:leader="none" w:pos="1851" w:val="left"/>
        </w:tabs>
        <w:numPr>
          <w:ilvl w:val="1"/>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any of its Committees as will be administering the Plan, in accordance with Section 4 of the Plan.</w:t>
      </w:r>
    </w:p>
    <w:p>
      <w:pPr>
        <w:spacing w:after="0" w:line="174" w:lineRule="exact"/>
        <w:rPr>
          <w:rFonts w:ascii="Arial" w:cs="Arial" w:eastAsia="Arial" w:hAnsi="Arial"/>
          <w:sz w:val="22"/>
          <w:szCs w:val="22"/>
          <w:color w:val="auto"/>
        </w:rPr>
      </w:pPr>
    </w:p>
    <w:p>
      <w:pPr>
        <w:jc w:val="both"/>
        <w:ind w:left="180" w:firstLine="1300"/>
        <w:spacing w:after="0" w:line="235" w:lineRule="auto"/>
        <w:tabs>
          <w:tab w:leader="none" w:pos="1903" w:val="left"/>
        </w:tabs>
        <w:numPr>
          <w:ilvl w:val="1"/>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the legal and regulatory requirements relating to the administration of equity-based awards, including without limitation the related issuance of shares of Common Stock, including without limitation under U.S.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87" w:lineRule="exact"/>
        <w:rPr>
          <w:rFonts w:ascii="Arial" w:cs="Arial" w:eastAsia="Arial" w:hAnsi="Arial"/>
          <w:sz w:val="22"/>
          <w:szCs w:val="22"/>
          <w:color w:val="auto"/>
        </w:rPr>
      </w:pPr>
    </w:p>
    <w:p>
      <w:pPr>
        <w:jc w:val="both"/>
        <w:ind w:left="180" w:firstLine="1300"/>
        <w:spacing w:after="0"/>
        <w:tabs>
          <w:tab w:leader="none" w:pos="1878" w:val="left"/>
        </w:tabs>
        <w:numPr>
          <w:ilvl w:val="1"/>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individually or collectively, a grant under the Plan of Options, Stock Appreciation Rights, Restricted Stock, Restricted Stock Units, Performance Units or Performance Shares.</w:t>
      </w:r>
    </w:p>
    <w:p>
      <w:pPr>
        <w:spacing w:after="0" w:line="186" w:lineRule="exact"/>
        <w:rPr>
          <w:rFonts w:ascii="Arial" w:cs="Arial" w:eastAsia="Arial" w:hAnsi="Arial"/>
          <w:sz w:val="22"/>
          <w:szCs w:val="22"/>
          <w:color w:val="auto"/>
        </w:rPr>
      </w:pPr>
    </w:p>
    <w:p>
      <w:pPr>
        <w:jc w:val="both"/>
        <w:ind w:left="180" w:firstLine="1300"/>
        <w:spacing w:after="0" w:line="257" w:lineRule="auto"/>
        <w:tabs>
          <w:tab w:leader="none" w:pos="1930" w:val="left"/>
        </w:tabs>
        <w:numPr>
          <w:ilvl w:val="1"/>
          <w:numId w:val="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 Agreement</w:t>
      </w:r>
      <w:r>
        <w:rPr>
          <w:rFonts w:ascii="Arial" w:cs="Arial" w:eastAsia="Arial" w:hAnsi="Arial"/>
          <w:sz w:val="21"/>
          <w:szCs w:val="21"/>
          <w:color w:val="auto"/>
        </w:rPr>
        <w:t>” means the written or electronic agreement between the Company and Participant setting forth the terms and provisions applicable to an Award granted under the Plan. The Award Agreement is subject to the terms and conditions of the Plan.</w:t>
      </w:r>
    </w:p>
    <w:p>
      <w:pPr>
        <w:spacing w:after="0" w:line="169" w:lineRule="exact"/>
        <w:rPr>
          <w:rFonts w:ascii="Arial" w:cs="Arial" w:eastAsia="Arial" w:hAnsi="Arial"/>
          <w:sz w:val="21"/>
          <w:szCs w:val="21"/>
          <w:color w:val="auto"/>
        </w:rPr>
      </w:pPr>
    </w:p>
    <w:p>
      <w:pPr>
        <w:ind w:left="1860" w:hanging="380"/>
        <w:spacing w:after="0"/>
        <w:tabs>
          <w:tab w:leader="none" w:pos="1860" w:val="left"/>
        </w:tabs>
        <w:numPr>
          <w:ilvl w:val="1"/>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6" w:lineRule="exact"/>
        <w:rPr>
          <w:rFonts w:ascii="Arial" w:cs="Arial" w:eastAsia="Arial" w:hAnsi="Arial"/>
          <w:sz w:val="22"/>
          <w:szCs w:val="22"/>
          <w:color w:val="auto"/>
        </w:rPr>
      </w:pPr>
    </w:p>
    <w:p>
      <w:pPr>
        <w:ind w:left="1880" w:hanging="400"/>
        <w:spacing w:after="0"/>
        <w:tabs>
          <w:tab w:leader="none" w:pos="1880" w:val="left"/>
        </w:tabs>
        <w:numPr>
          <w:ilvl w:val="1"/>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 events:</w:t>
      </w:r>
    </w:p>
    <w:p>
      <w:pPr>
        <w:spacing w:after="0" w:line="206" w:lineRule="exact"/>
        <w:rPr>
          <w:rFonts w:ascii="Arial" w:cs="Arial" w:eastAsia="Arial" w:hAnsi="Arial"/>
          <w:sz w:val="22"/>
          <w:szCs w:val="22"/>
          <w:color w:val="auto"/>
        </w:rPr>
      </w:pPr>
    </w:p>
    <w:p>
      <w:pPr>
        <w:jc w:val="both"/>
        <w:ind w:left="180" w:firstLine="2092"/>
        <w:spacing w:after="0" w:line="297" w:lineRule="auto"/>
        <w:tabs>
          <w:tab w:leader="none" w:pos="2863" w:val="left"/>
        </w:tabs>
        <w:numPr>
          <w:ilvl w:val="2"/>
          <w:numId w:val="7"/>
        </w:numPr>
        <w:rPr>
          <w:rFonts w:ascii="Arial" w:cs="Arial" w:eastAsia="Arial" w:hAnsi="Arial"/>
          <w:sz w:val="19"/>
          <w:szCs w:val="19"/>
          <w:color w:val="auto"/>
        </w:rPr>
      </w:pPr>
      <w:r>
        <w:rPr>
          <w:rFonts w:ascii="Arial" w:cs="Arial" w:eastAsia="Arial" w:hAnsi="Arial"/>
          <w:sz w:val="19"/>
          <w:szCs w:val="19"/>
          <w:u w:val="single" w:color="auto"/>
          <w:color w:val="auto"/>
        </w:rPr>
        <w:t>Change in Ownership of the Company</w:t>
      </w:r>
      <w:r>
        <w:rPr>
          <w:rFonts w:ascii="Arial" w:cs="Arial" w:eastAsia="Arial" w:hAnsi="Arial"/>
          <w:sz w:val="19"/>
          <w:szCs w:val="19"/>
          <w:color w:val="auto"/>
        </w:rPr>
        <w:t>. A change in the ownership of the Company which occurs on the date that any one person, or more than one person acting as a group (“</w:t>
      </w:r>
      <w:r>
        <w:rPr>
          <w:rFonts w:ascii="Arial" w:cs="Arial" w:eastAsia="Arial" w:hAnsi="Arial"/>
          <w:sz w:val="19"/>
          <w:szCs w:val="19"/>
          <w:u w:val="single" w:color="auto"/>
          <w:color w:val="auto"/>
        </w:rPr>
        <w:t>Person</w:t>
      </w:r>
      <w:r>
        <w:rPr>
          <w:rFonts w:ascii="Arial" w:cs="Arial" w:eastAsia="Arial" w:hAnsi="Arial"/>
          <w:sz w:val="19"/>
          <w:szCs w:val="19"/>
          <w:color w:val="auto"/>
        </w:rPr>
        <w:t>”), acquires ownership of the stock of the Company that, together with the stock held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154305</wp:posOffset>
            </wp:positionV>
            <wp:extent cx="573468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70" w:name="page71"/>
    <w:bookmarkEnd w:id="70"/>
    <w:p>
      <w:pPr>
        <w:jc w:val="both"/>
        <w:ind w:left="180"/>
        <w:spacing w:after="0" w:line="272" w:lineRule="auto"/>
        <w:rPr>
          <w:sz w:val="20"/>
          <w:szCs w:val="20"/>
          <w:color w:val="auto"/>
        </w:rPr>
      </w:pPr>
      <w:r>
        <w:rPr>
          <w:rFonts w:ascii="Arial" w:cs="Arial" w:eastAsia="Arial" w:hAnsi="Arial"/>
          <w:sz w:val="19"/>
          <w:szCs w:val="19"/>
          <w:color w:val="auto"/>
        </w:rPr>
        <w:t>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57" w:lineRule="exact"/>
        <w:rPr>
          <w:sz w:val="20"/>
          <w:szCs w:val="20"/>
          <w:color w:val="auto"/>
        </w:rPr>
      </w:pPr>
    </w:p>
    <w:p>
      <w:pPr>
        <w:jc w:val="both"/>
        <w:ind w:left="180" w:firstLine="2056"/>
        <w:spacing w:after="0" w:line="234" w:lineRule="auto"/>
        <w:tabs>
          <w:tab w:leader="none" w:pos="2874"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Change in Effective Control of the Company</w:t>
      </w:r>
      <w:r>
        <w:rPr>
          <w:rFonts w:ascii="Arial" w:cs="Arial" w:eastAsia="Arial" w:hAnsi="Arial"/>
          <w:sz w:val="22"/>
          <w:szCs w:val="22"/>
          <w:color w:val="auto"/>
        </w:rPr>
        <w: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91" w:lineRule="exact"/>
        <w:rPr>
          <w:sz w:val="20"/>
          <w:szCs w:val="20"/>
          <w:color w:val="auto"/>
        </w:rPr>
      </w:pPr>
    </w:p>
    <w:p>
      <w:pPr>
        <w:jc w:val="both"/>
        <w:ind w:left="180" w:firstLine="2020"/>
        <w:spacing w:after="0" w:line="269" w:lineRule="auto"/>
        <w:tabs>
          <w:tab w:leader="none" w:pos="2965"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w:t>
      </w:r>
    </w:p>
    <w:p>
      <w:pPr>
        <w:spacing w:after="0" w:line="1" w:lineRule="exact"/>
        <w:rPr>
          <w:rFonts w:ascii="Arial" w:cs="Arial" w:eastAsia="Arial" w:hAnsi="Arial"/>
          <w:sz w:val="19"/>
          <w:szCs w:val="19"/>
          <w:color w:val="auto"/>
        </w:rPr>
      </w:pPr>
    </w:p>
    <w:p>
      <w:pPr>
        <w:jc w:val="both"/>
        <w:ind w:left="180" w:firstLine="4"/>
        <w:spacing w:after="0" w:line="272" w:lineRule="auto"/>
        <w:tabs>
          <w:tab w:leader="none" w:pos="525" w:val="left"/>
        </w:tabs>
        <w:numPr>
          <w:ilvl w:val="0"/>
          <w:numId w:val="10"/>
        </w:numPr>
        <w:rPr>
          <w:rFonts w:ascii="Arial" w:cs="Arial" w:eastAsia="Arial" w:hAnsi="Arial"/>
          <w:sz w:val="19"/>
          <w:szCs w:val="19"/>
          <w:color w:val="auto"/>
        </w:rPr>
      </w:pPr>
      <w:r>
        <w:rPr>
          <w:rFonts w:ascii="Arial" w:cs="Arial" w:eastAsia="Arial" w:hAnsi="Arial"/>
          <w:sz w:val="19"/>
          <w:szCs w:val="19"/>
          <w:color w:val="auto"/>
        </w:rPr>
        <w:t>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61" w:lineRule="exact"/>
        <w:rPr>
          <w:sz w:val="20"/>
          <w:szCs w:val="20"/>
          <w:color w:val="auto"/>
        </w:rPr>
      </w:pPr>
    </w:p>
    <w:p>
      <w:pPr>
        <w:jc w:val="both"/>
        <w:ind w:left="180" w:firstLine="1944"/>
        <w:spacing w:after="0"/>
        <w:rPr>
          <w:sz w:val="20"/>
          <w:szCs w:val="20"/>
          <w:color w:val="auto"/>
        </w:rPr>
      </w:pPr>
      <w:r>
        <w:rPr>
          <w:rFonts w:ascii="Arial" w:cs="Arial" w:eastAsia="Arial" w:hAnsi="Arial"/>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71" w:name="page72"/>
    <w:bookmarkEnd w:id="71"/>
    <w:p>
      <w:pPr>
        <w:jc w:val="both"/>
        <w:ind w:left="180" w:firstLine="1944"/>
        <w:spacing w:after="0"/>
        <w:rPr>
          <w:sz w:val="20"/>
          <w:szCs w:val="20"/>
          <w:color w:val="auto"/>
        </w:rPr>
      </w:pPr>
      <w:r>
        <w:rPr>
          <w:rFonts w:ascii="Arial" w:cs="Arial" w:eastAsia="Arial" w:hAnsi="Arial"/>
          <w:sz w:val="22"/>
          <w:szCs w:val="22"/>
          <w:color w:val="auto"/>
        </w:rPr>
        <w:t>Notwithstanding the foregoing, a transaction will not be deemed a Change in Control unless the transaction qualifies as a change in control event within the meaning of Section 409A.</w:t>
      </w:r>
    </w:p>
    <w:p>
      <w:pPr>
        <w:spacing w:after="0" w:line="186" w:lineRule="exact"/>
        <w:rPr>
          <w:sz w:val="20"/>
          <w:szCs w:val="20"/>
          <w:color w:val="auto"/>
        </w:rPr>
      </w:pPr>
    </w:p>
    <w:p>
      <w:pPr>
        <w:jc w:val="both"/>
        <w:ind w:left="180" w:firstLine="1944"/>
        <w:spacing w:after="0" w:line="287" w:lineRule="auto"/>
        <w:rPr>
          <w:sz w:val="20"/>
          <w:szCs w:val="20"/>
          <w:color w:val="auto"/>
        </w:rPr>
      </w:pPr>
      <w:r>
        <w:rPr>
          <w:rFonts w:ascii="Arial" w:cs="Arial" w:eastAsia="Arial" w:hAnsi="Arial"/>
          <w:sz w:val="19"/>
          <w:szCs w:val="19"/>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43" w:lineRule="exact"/>
        <w:rPr>
          <w:sz w:val="20"/>
          <w:szCs w:val="20"/>
          <w:color w:val="auto"/>
        </w:rPr>
      </w:pPr>
    </w:p>
    <w:p>
      <w:pPr>
        <w:jc w:val="both"/>
        <w:ind w:left="180" w:firstLine="1300"/>
        <w:spacing w:after="0" w:line="236" w:lineRule="auto"/>
        <w:tabs>
          <w:tab w:leader="none" w:pos="1863"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Any reference to a section of the Code or regulation thereunder will include such section or regulation, any valid regulation or other official guidance promulgated under such section, and any comparable provision of any future legislation or regulation amending, supplementing, or superseding such section or regulation.</w:t>
      </w:r>
    </w:p>
    <w:p>
      <w:pPr>
        <w:spacing w:after="0" w:line="187" w:lineRule="exact"/>
        <w:rPr>
          <w:rFonts w:ascii="Arial" w:cs="Arial" w:eastAsia="Arial" w:hAnsi="Arial"/>
          <w:sz w:val="22"/>
          <w:szCs w:val="22"/>
          <w:color w:val="auto"/>
        </w:rPr>
      </w:pPr>
    </w:p>
    <w:p>
      <w:pPr>
        <w:jc w:val="both"/>
        <w:ind w:left="180" w:firstLine="1300"/>
        <w:spacing w:after="0"/>
        <w:tabs>
          <w:tab w:leader="none" w:pos="189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Directors or of other individuals satisfying Applicable Laws appointed by the Board, or a duly authorized committee of the Board, in accordance with Section 4 hereof.</w:t>
      </w:r>
    </w:p>
    <w:p>
      <w:pPr>
        <w:spacing w:after="0" w:line="186" w:lineRule="exact"/>
        <w:rPr>
          <w:rFonts w:ascii="Arial" w:cs="Arial" w:eastAsia="Arial" w:hAnsi="Arial"/>
          <w:sz w:val="22"/>
          <w:szCs w:val="22"/>
          <w:color w:val="auto"/>
        </w:rPr>
      </w:pPr>
    </w:p>
    <w:p>
      <w:pPr>
        <w:ind w:left="1880" w:hanging="400"/>
        <w:spacing w:after="0"/>
        <w:tabs>
          <w:tab w:leader="none" w:pos="18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w:t>
      </w:r>
    </w:p>
    <w:p>
      <w:pPr>
        <w:spacing w:after="0" w:line="206" w:lineRule="exact"/>
        <w:rPr>
          <w:rFonts w:ascii="Arial" w:cs="Arial" w:eastAsia="Arial" w:hAnsi="Arial"/>
          <w:sz w:val="22"/>
          <w:szCs w:val="22"/>
          <w:color w:val="auto"/>
        </w:rPr>
      </w:pPr>
    </w:p>
    <w:p>
      <w:pPr>
        <w:ind w:left="180" w:firstLine="1300"/>
        <w:spacing w:after="0" w:line="250" w:lineRule="auto"/>
        <w:tabs>
          <w:tab w:leader="none" w:pos="18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Pacific Biosciences of California, Inc., a Delaware corporation, or any successor thereto.</w:t>
      </w:r>
    </w:p>
    <w:p>
      <w:pPr>
        <w:spacing w:after="0" w:line="174" w:lineRule="exact"/>
        <w:rPr>
          <w:rFonts w:ascii="Arial" w:cs="Arial" w:eastAsia="Arial" w:hAnsi="Arial"/>
          <w:sz w:val="22"/>
          <w:szCs w:val="22"/>
          <w:color w:val="auto"/>
        </w:rPr>
      </w:pPr>
    </w:p>
    <w:p>
      <w:pPr>
        <w:jc w:val="both"/>
        <w:ind w:left="180" w:firstLine="1300"/>
        <w:spacing w:after="0" w:line="247" w:lineRule="exact"/>
        <w:tabs>
          <w:tab w:leader="none" w:pos="1917" w:val="left"/>
        </w:tabs>
        <w:numPr>
          <w:ilvl w:val="0"/>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Consultant</w:t>
      </w:r>
      <w:r>
        <w:rPr>
          <w:rFonts w:ascii="Arial" w:cs="Arial" w:eastAsia="Arial" w:hAnsi="Arial"/>
          <w:sz w:val="19"/>
          <w:szCs w:val="19"/>
          <w:color w:val="auto"/>
        </w:rPr>
        <w:t>” means any natural person, including an advisor, engaged by the Company or a Parent or Subsidiary of the Company to render bona fide services to such entity, provided the services (i) are not in connection with the offer or sale of securities in a capital</w:t>
      </w:r>
      <w:r>
        <w:rPr>
          <w:rFonts w:ascii="MS PGothic" w:cs="MS PGothic" w:eastAsia="MS PGothic" w:hAnsi="MS PGothic"/>
          <w:sz w:val="19"/>
          <w:szCs w:val="19"/>
          <w:color w:val="auto"/>
        </w:rPr>
        <w:t>‑</w:t>
      </w:r>
      <w:r>
        <w:rPr>
          <w:rFonts w:ascii="Arial" w:cs="Arial" w:eastAsia="Arial" w:hAnsi="Arial"/>
          <w:sz w:val="19"/>
          <w:szCs w:val="19"/>
          <w:color w:val="auto"/>
        </w:rPr>
        <w:t>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90" w:lineRule="exact"/>
        <w:rPr>
          <w:rFonts w:ascii="Arial" w:cs="Arial" w:eastAsia="Arial" w:hAnsi="Arial"/>
          <w:sz w:val="19"/>
          <w:szCs w:val="19"/>
          <w:color w:val="auto"/>
        </w:rPr>
      </w:pPr>
    </w:p>
    <w:p>
      <w:pPr>
        <w:ind w:left="1880" w:hanging="400"/>
        <w:spacing w:after="0"/>
        <w:tabs>
          <w:tab w:leader="none" w:pos="18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06" w:lineRule="exact"/>
        <w:rPr>
          <w:rFonts w:ascii="Arial" w:cs="Arial" w:eastAsia="Arial" w:hAnsi="Arial"/>
          <w:sz w:val="22"/>
          <w:szCs w:val="22"/>
          <w:color w:val="auto"/>
        </w:rPr>
      </w:pPr>
    </w:p>
    <w:p>
      <w:pPr>
        <w:jc w:val="both"/>
        <w:ind w:left="180" w:firstLine="1300"/>
        <w:spacing w:after="0" w:line="238" w:lineRule="auto"/>
        <w:tabs>
          <w:tab w:leader="none" w:pos="1896"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total and permanent disability as defined in Section 22(e)(3) of the Code, provided that the Administrator in its discretion may determine whether a permanent and total disability exists in accordance with uniform and non-discriminatory standards adopted by the Administrator from time to time.</w:t>
      </w:r>
    </w:p>
    <w:p>
      <w:pPr>
        <w:spacing w:after="0" w:line="184" w:lineRule="exact"/>
        <w:rPr>
          <w:rFonts w:ascii="Arial" w:cs="Arial" w:eastAsia="Arial" w:hAnsi="Arial"/>
          <w:sz w:val="22"/>
          <w:szCs w:val="22"/>
          <w:color w:val="auto"/>
        </w:rPr>
      </w:pPr>
    </w:p>
    <w:p>
      <w:pPr>
        <w:jc w:val="both"/>
        <w:ind w:left="180" w:firstLine="1300"/>
        <w:spacing w:after="0" w:line="297" w:lineRule="auto"/>
        <w:tabs>
          <w:tab w:leader="none" w:pos="1876" w:val="left"/>
        </w:tabs>
        <w:numPr>
          <w:ilvl w:val="0"/>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w:t>
      </w:r>
      <w:r>
        <w:rPr>
          <w:rFonts w:ascii="Arial" w:cs="Arial" w:eastAsia="Arial" w:hAnsi="Arial"/>
          <w:sz w:val="19"/>
          <w:szCs w:val="19"/>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33" w:lineRule="exact"/>
        <w:rPr>
          <w:rFonts w:ascii="Arial" w:cs="Arial" w:eastAsia="Arial" w:hAnsi="Arial"/>
          <w:sz w:val="19"/>
          <w:szCs w:val="19"/>
          <w:color w:val="auto"/>
        </w:rPr>
      </w:pPr>
    </w:p>
    <w:p>
      <w:pPr>
        <w:ind w:left="1860" w:hanging="380"/>
        <w:spacing w:after="0"/>
        <w:tabs>
          <w:tab w:leader="none" w:pos="18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06" w:lineRule="exact"/>
        <w:rPr>
          <w:rFonts w:ascii="Arial" w:cs="Arial" w:eastAsia="Arial" w:hAnsi="Arial"/>
          <w:sz w:val="22"/>
          <w:szCs w:val="22"/>
          <w:color w:val="auto"/>
        </w:rPr>
      </w:pPr>
    </w:p>
    <w:p>
      <w:pPr>
        <w:jc w:val="both"/>
        <w:ind w:left="180" w:firstLine="1300"/>
        <w:spacing w:after="0" w:line="297" w:lineRule="auto"/>
        <w:tabs>
          <w:tab w:leader="none" w:pos="189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Program</w:t>
      </w:r>
      <w:r>
        <w:rPr>
          <w:rFonts w:ascii="Arial" w:cs="Arial" w:eastAsia="Arial" w:hAnsi="Arial"/>
          <w:sz w:val="19"/>
          <w:szCs w:val="19"/>
          <w:color w:val="auto"/>
        </w:rPr>
        <w:t>” means a program under which (i) outstanding Awards are surrendered or cancelled in exchange for awards of the same type (which may have higher or lower exercise prices and different terms), awards of a different type, and/or cash, (ii) Participants would</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334" w:right="1319" w:bottom="1440" w:gutter="0" w:footer="0" w:header="0"/>
        </w:sectPr>
      </w:pPr>
    </w:p>
    <w:bookmarkStart w:id="72" w:name="page73"/>
    <w:bookmarkEnd w:id="72"/>
    <w:p>
      <w:pPr>
        <w:ind w:left="180"/>
        <w:spacing w:after="0" w:line="329" w:lineRule="auto"/>
        <w:rPr>
          <w:sz w:val="20"/>
          <w:szCs w:val="20"/>
          <w:color w:val="auto"/>
        </w:rPr>
      </w:pPr>
      <w:r>
        <w:rPr>
          <w:rFonts w:ascii="Arial" w:cs="Arial" w:eastAsia="Arial" w:hAnsi="Arial"/>
          <w:sz w:val="19"/>
          <w:szCs w:val="19"/>
          <w:color w:val="auto"/>
        </w:rPr>
        <w:t>have the opportunity to transfer any outstanding Awards to a financial institution or other person or entity selected by the Administrator, and/or (iii) the exercise price of an outstanding Award is reduced.</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(q) “</w:t>
      </w:r>
      <w:r>
        <w:rPr>
          <w:rFonts w:ascii="Arial" w:cs="Arial" w:eastAsia="Arial" w:hAnsi="Arial"/>
          <w:sz w:val="19"/>
          <w:szCs w:val="19"/>
          <w:u w:val="single" w:color="auto"/>
          <w:color w:val="auto"/>
        </w:rPr>
        <w:t>Fair Market Value</w:t>
      </w:r>
      <w:r>
        <w:rPr>
          <w:rFonts w:ascii="Arial" w:cs="Arial" w:eastAsia="Arial" w:hAnsi="Arial"/>
          <w:sz w:val="19"/>
          <w:szCs w:val="19"/>
          <w:color w:val="auto"/>
        </w:rPr>
        <w:t>” means, as of any date, the value of Common Stock determined</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as follows:</w:t>
      </w:r>
    </w:p>
    <w:p>
      <w:pPr>
        <w:spacing w:after="0" w:line="188" w:lineRule="exact"/>
        <w:rPr>
          <w:sz w:val="20"/>
          <w:szCs w:val="20"/>
          <w:color w:val="auto"/>
        </w:rPr>
      </w:pPr>
    </w:p>
    <w:p>
      <w:pPr>
        <w:jc w:val="both"/>
        <w:ind w:left="180" w:firstLine="2092"/>
        <w:spacing w:after="0" w:line="277" w:lineRule="auto"/>
        <w:tabs>
          <w:tab w:leader="none" w:pos="2863"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day of determination,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w:t>
      </w:r>
    </w:p>
    <w:p>
      <w:pPr>
        <w:spacing w:after="0" w:line="152" w:lineRule="exact"/>
        <w:rPr>
          <w:sz w:val="20"/>
          <w:szCs w:val="20"/>
          <w:color w:val="auto"/>
        </w:rPr>
      </w:pPr>
    </w:p>
    <w:p>
      <w:pPr>
        <w:jc w:val="both"/>
        <w:ind w:left="180" w:firstLine="2056"/>
        <w:spacing w:after="0" w:line="235" w:lineRule="auto"/>
        <w:tabs>
          <w:tab w:leader="none" w:pos="2901"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 or</w:t>
      </w:r>
    </w:p>
    <w:p>
      <w:pPr>
        <w:spacing w:after="0" w:line="188" w:lineRule="exact"/>
        <w:rPr>
          <w:sz w:val="20"/>
          <w:szCs w:val="20"/>
          <w:color w:val="auto"/>
        </w:rPr>
      </w:pPr>
    </w:p>
    <w:p>
      <w:pPr>
        <w:ind w:left="180" w:firstLine="2020"/>
        <w:spacing w:after="0" w:line="250" w:lineRule="auto"/>
        <w:tabs>
          <w:tab w:leader="none" w:pos="2898" w:val="left"/>
        </w:tabs>
        <w:numPr>
          <w:ilvl w:val="1"/>
          <w:numId w:val="14"/>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the Fair Market Value will be determined in good faith by the Administrator.</w:t>
      </w:r>
    </w:p>
    <w:p>
      <w:pPr>
        <w:spacing w:after="0" w:line="174" w:lineRule="exact"/>
        <w:rPr>
          <w:rFonts w:ascii="Arial" w:cs="Arial" w:eastAsia="Arial" w:hAnsi="Arial"/>
          <w:sz w:val="22"/>
          <w:szCs w:val="22"/>
          <w:color w:val="auto"/>
        </w:rPr>
      </w:pPr>
    </w:p>
    <w:p>
      <w:pPr>
        <w:ind w:left="1880" w:hanging="400"/>
        <w:spacing w:after="0"/>
        <w:tabs>
          <w:tab w:leader="none" w:pos="18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the fiscal year of the Company.</w:t>
      </w:r>
    </w:p>
    <w:p>
      <w:pPr>
        <w:spacing w:after="0" w:line="206" w:lineRule="exact"/>
        <w:rPr>
          <w:rFonts w:ascii="Arial" w:cs="Arial" w:eastAsia="Arial" w:hAnsi="Arial"/>
          <w:sz w:val="22"/>
          <w:szCs w:val="22"/>
          <w:color w:val="auto"/>
        </w:rPr>
      </w:pPr>
    </w:p>
    <w:p>
      <w:pPr>
        <w:jc w:val="both"/>
        <w:ind w:left="180" w:firstLine="1300"/>
        <w:spacing w:after="0"/>
        <w:tabs>
          <w:tab w:leader="none" w:pos="19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 Option intended to qualify, and actually qualifies, as an incentive stock option within the meaning of Section 422 of the Code and the regulations promulgated thereunder.</w:t>
      </w:r>
    </w:p>
    <w:p>
      <w:pPr>
        <w:spacing w:after="0" w:line="186" w:lineRule="exact"/>
        <w:rPr>
          <w:rFonts w:ascii="Arial" w:cs="Arial" w:eastAsia="Arial" w:hAnsi="Arial"/>
          <w:sz w:val="22"/>
          <w:szCs w:val="22"/>
          <w:color w:val="auto"/>
        </w:rPr>
      </w:pPr>
    </w:p>
    <w:p>
      <w:pPr>
        <w:ind w:left="1860" w:hanging="380"/>
        <w:spacing w:after="0"/>
        <w:tabs>
          <w:tab w:leader="none" w:pos="18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Inside Director</w:t>
      </w:r>
      <w:r>
        <w:rPr>
          <w:rFonts w:ascii="Arial" w:cs="Arial" w:eastAsia="Arial" w:hAnsi="Arial"/>
          <w:sz w:val="22"/>
          <w:szCs w:val="22"/>
          <w:color w:val="auto"/>
        </w:rPr>
        <w:t>” means a Director who is an Employee.</w:t>
      </w:r>
    </w:p>
    <w:p>
      <w:pPr>
        <w:spacing w:after="0" w:line="206" w:lineRule="exact"/>
        <w:rPr>
          <w:rFonts w:ascii="Arial" w:cs="Arial" w:eastAsia="Arial" w:hAnsi="Arial"/>
          <w:sz w:val="22"/>
          <w:szCs w:val="22"/>
          <w:color w:val="auto"/>
        </w:rPr>
      </w:pPr>
    </w:p>
    <w:p>
      <w:pPr>
        <w:jc w:val="both"/>
        <w:ind w:left="180" w:firstLine="1300"/>
        <w:spacing w:after="0" w:line="235" w:lineRule="auto"/>
        <w:tabs>
          <w:tab w:leader="none" w:pos="189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w:t>
      </w:r>
      <w:r>
        <w:rPr>
          <w:rFonts w:ascii="Arial" w:cs="Arial" w:eastAsia="Arial" w:hAnsi="Arial"/>
          <w:sz w:val="22"/>
          <w:szCs w:val="22"/>
          <w:color w:val="auto"/>
        </w:rPr>
        <w:t>” means the consummation, on September 20, 2021, of the transactions contemplated in that certain Agreement and Plan or Merger and Plan of Reorganization among the Company, Apollo Acquisition Corp., Apollo Acquisition Sub, LLC, Omniome, and Shareholder Representative Services LLC as Securityholder Representative, dated July 19, 2021, pursuant to which upon the completion of such transactions, Omniome became a wholly owned Subsidiary of the Company.</w:t>
      </w:r>
    </w:p>
    <w:p>
      <w:pPr>
        <w:spacing w:after="0" w:line="187" w:lineRule="exact"/>
        <w:rPr>
          <w:rFonts w:ascii="Arial" w:cs="Arial" w:eastAsia="Arial" w:hAnsi="Arial"/>
          <w:sz w:val="22"/>
          <w:szCs w:val="22"/>
          <w:color w:val="auto"/>
        </w:rPr>
      </w:pPr>
    </w:p>
    <w:p>
      <w:pPr>
        <w:ind w:left="180" w:firstLine="1300"/>
        <w:spacing w:after="0" w:line="250" w:lineRule="auto"/>
        <w:tabs>
          <w:tab w:leader="none" w:pos="1863"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Nonstatutory Stock Option</w:t>
      </w:r>
      <w:r>
        <w:rPr>
          <w:rFonts w:ascii="Arial" w:cs="Arial" w:eastAsia="Arial" w:hAnsi="Arial"/>
          <w:sz w:val="22"/>
          <w:szCs w:val="22"/>
          <w:color w:val="auto"/>
        </w:rPr>
        <w:t>” means an Option that by its terms does not qualify or is not intended to qualify as an Incentive Stock Option.</w:t>
      </w:r>
    </w:p>
    <w:p>
      <w:pPr>
        <w:spacing w:after="0" w:line="174" w:lineRule="exact"/>
        <w:rPr>
          <w:rFonts w:ascii="Arial" w:cs="Arial" w:eastAsia="Arial" w:hAnsi="Arial"/>
          <w:sz w:val="22"/>
          <w:szCs w:val="22"/>
          <w:color w:val="auto"/>
        </w:rPr>
      </w:pPr>
    </w:p>
    <w:p>
      <w:pPr>
        <w:ind w:left="180" w:firstLine="1300"/>
        <w:spacing w:after="0" w:line="274" w:lineRule="auto"/>
        <w:tabs>
          <w:tab w:leader="none" w:pos="1884" w:val="left"/>
        </w:tabs>
        <w:numPr>
          <w:ilvl w:val="0"/>
          <w:numId w:val="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w:t>
      </w:r>
      <w:r>
        <w:rPr>
          <w:rFonts w:ascii="Arial" w:cs="Arial" w:eastAsia="Arial" w:hAnsi="Arial"/>
          <w:sz w:val="21"/>
          <w:szCs w:val="21"/>
          <w:color w:val="auto"/>
        </w:rPr>
        <w:t>” means a person who is an officer of the Company within the meaning of Section 16 of the Exchange Act and the rules and regulations promulgated thereunder.</w:t>
      </w:r>
    </w:p>
    <w:p>
      <w:pPr>
        <w:spacing w:after="0" w:line="150" w:lineRule="exact"/>
        <w:rPr>
          <w:rFonts w:ascii="Arial" w:cs="Arial" w:eastAsia="Arial" w:hAnsi="Arial"/>
          <w:sz w:val="21"/>
          <w:szCs w:val="21"/>
          <w:color w:val="auto"/>
        </w:rPr>
      </w:pPr>
    </w:p>
    <w:p>
      <w:pPr>
        <w:ind w:left="1860" w:hanging="380"/>
        <w:spacing w:after="0"/>
        <w:tabs>
          <w:tab w:leader="none" w:pos="18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Omniome</w:t>
      </w:r>
      <w:r>
        <w:rPr>
          <w:rFonts w:ascii="Arial" w:cs="Arial" w:eastAsia="Arial" w:hAnsi="Arial"/>
          <w:sz w:val="22"/>
          <w:szCs w:val="22"/>
          <w:color w:val="auto"/>
        </w:rPr>
        <w:t>” means Omniome, Inc., a Delaware corporation.</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73" w:name="page74"/>
    <w:bookmarkEnd w:id="73"/>
    <w:p>
      <w:pPr>
        <w:ind w:left="180" w:firstLine="1300"/>
        <w:spacing w:after="0" w:line="251" w:lineRule="auto"/>
        <w:tabs>
          <w:tab w:leader="none" w:pos="1903"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 stock option granted pursuant to the Plan, provided that all Options granted under the Plan will be Nonstatutory Stock Options.</w:t>
      </w:r>
    </w:p>
    <w:p>
      <w:pPr>
        <w:spacing w:after="0" w:line="173" w:lineRule="exact"/>
        <w:rPr>
          <w:rFonts w:ascii="Arial" w:cs="Arial" w:eastAsia="Arial" w:hAnsi="Arial"/>
          <w:sz w:val="22"/>
          <w:szCs w:val="22"/>
          <w:color w:val="auto"/>
        </w:rPr>
      </w:pPr>
    </w:p>
    <w:p>
      <w:pPr>
        <w:ind w:left="1880" w:hanging="400"/>
        <w:spacing w:after="0"/>
        <w:tabs>
          <w:tab w:leader="none" w:pos="18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Director</w:t>
      </w:r>
      <w:r>
        <w:rPr>
          <w:rFonts w:ascii="Arial" w:cs="Arial" w:eastAsia="Arial" w:hAnsi="Arial"/>
          <w:sz w:val="22"/>
          <w:szCs w:val="22"/>
          <w:color w:val="auto"/>
        </w:rPr>
        <w:t>” means a Director who is not an Employee.</w:t>
      </w:r>
    </w:p>
    <w:p>
      <w:pPr>
        <w:spacing w:after="0" w:line="206" w:lineRule="exact"/>
        <w:rPr>
          <w:sz w:val="20"/>
          <w:szCs w:val="20"/>
          <w:color w:val="auto"/>
        </w:rPr>
      </w:pPr>
    </w:p>
    <w:p>
      <w:pPr>
        <w:ind w:left="180" w:firstLine="1300"/>
        <w:spacing w:after="0" w:line="250" w:lineRule="auto"/>
        <w:tabs>
          <w:tab w:leader="none" w:pos="1933"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means a “parent corporation,” whether now or hereafter existing, as defined in Code Section 424(e).</w:t>
      </w:r>
    </w:p>
    <w:p>
      <w:pPr>
        <w:spacing w:after="0" w:line="174" w:lineRule="exact"/>
        <w:rPr>
          <w:rFonts w:ascii="Arial" w:cs="Arial" w:eastAsia="Arial" w:hAnsi="Arial"/>
          <w:sz w:val="22"/>
          <w:szCs w:val="22"/>
          <w:color w:val="auto"/>
        </w:rPr>
      </w:pPr>
    </w:p>
    <w:p>
      <w:pPr>
        <w:ind w:left="1900" w:hanging="420"/>
        <w:spacing w:after="0"/>
        <w:tabs>
          <w:tab w:leader="none" w:pos="19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the holder of an outstanding Award.</w:t>
      </w:r>
    </w:p>
    <w:p>
      <w:pPr>
        <w:spacing w:after="0" w:line="206" w:lineRule="exact"/>
        <w:rPr>
          <w:rFonts w:ascii="Arial" w:cs="Arial" w:eastAsia="Arial" w:hAnsi="Arial"/>
          <w:sz w:val="22"/>
          <w:szCs w:val="22"/>
          <w:color w:val="auto"/>
        </w:rPr>
      </w:pPr>
    </w:p>
    <w:p>
      <w:pPr>
        <w:jc w:val="both"/>
        <w:ind w:left="180" w:firstLine="1300"/>
        <w:spacing w:after="0"/>
        <w:tabs>
          <w:tab w:leader="none" w:pos="19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Share</w:t>
      </w:r>
      <w:r>
        <w:rPr>
          <w:rFonts w:ascii="Arial" w:cs="Arial" w:eastAsia="Arial" w:hAnsi="Arial"/>
          <w:sz w:val="22"/>
          <w:szCs w:val="22"/>
          <w:color w:val="auto"/>
        </w:rPr>
        <w:t>” means an Award denominated in Shares which may be earned in whole or in part upon attainment of performance goals or other vesting criteria as the Administrator may determine pursuant to Section 10.</w:t>
      </w:r>
    </w:p>
    <w:p>
      <w:pPr>
        <w:spacing w:after="0" w:line="186" w:lineRule="exact"/>
        <w:rPr>
          <w:rFonts w:ascii="Arial" w:cs="Arial" w:eastAsia="Arial" w:hAnsi="Arial"/>
          <w:sz w:val="22"/>
          <w:szCs w:val="22"/>
          <w:color w:val="auto"/>
        </w:rPr>
      </w:pPr>
    </w:p>
    <w:p>
      <w:pPr>
        <w:jc w:val="both"/>
        <w:ind w:left="180" w:firstLine="1300"/>
        <w:spacing w:after="0" w:line="238" w:lineRule="auto"/>
        <w:tabs>
          <w:tab w:leader="none" w:pos="1917"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Unit</w:t>
      </w:r>
      <w:r>
        <w:rPr>
          <w:rFonts w:ascii="Arial" w:cs="Arial" w:eastAsia="Arial" w:hAnsi="Arial"/>
          <w:sz w:val="22"/>
          <w:szCs w:val="22"/>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84" w:lineRule="exact"/>
        <w:rPr>
          <w:rFonts w:ascii="Arial" w:cs="Arial" w:eastAsia="Arial" w:hAnsi="Arial"/>
          <w:sz w:val="22"/>
          <w:szCs w:val="22"/>
          <w:color w:val="auto"/>
        </w:rPr>
      </w:pPr>
    </w:p>
    <w:p>
      <w:pPr>
        <w:jc w:val="both"/>
        <w:ind w:left="180" w:firstLine="1300"/>
        <w:spacing w:after="0" w:line="287" w:lineRule="auto"/>
        <w:tabs>
          <w:tab w:leader="none" w:pos="19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Period of Restriction</w:t>
      </w:r>
      <w:r>
        <w:rPr>
          <w:rFonts w:ascii="Arial" w:cs="Arial" w:eastAsia="Arial" w:hAnsi="Arial"/>
          <w:sz w:val="19"/>
          <w:szCs w:val="19"/>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42" w:lineRule="exact"/>
        <w:rPr>
          <w:rFonts w:ascii="Arial" w:cs="Arial" w:eastAsia="Arial" w:hAnsi="Arial"/>
          <w:sz w:val="19"/>
          <w:szCs w:val="19"/>
          <w:color w:val="auto"/>
        </w:rPr>
      </w:pPr>
    </w:p>
    <w:p>
      <w:pPr>
        <w:ind w:left="1960" w:hanging="480"/>
        <w:spacing w:after="0"/>
        <w:tabs>
          <w:tab w:leader="none" w:pos="1960" w:val="left"/>
        </w:tabs>
        <w:numPr>
          <w:ilvl w:val="0"/>
          <w:numId w:val="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this Omniome Equity Incentive Plan of Pacific Biosciences of</w:t>
      </w:r>
    </w:p>
    <w:p>
      <w:pPr>
        <w:spacing w:after="0" w:line="19" w:lineRule="exact"/>
        <w:rPr>
          <w:rFonts w:ascii="Arial" w:cs="Arial" w:eastAsia="Arial" w:hAnsi="Arial"/>
          <w:sz w:val="21"/>
          <w:szCs w:val="21"/>
          <w:color w:val="auto"/>
        </w:rPr>
      </w:pPr>
    </w:p>
    <w:p>
      <w:pPr>
        <w:ind w:left="180"/>
        <w:spacing w:after="0"/>
        <w:rPr>
          <w:rFonts w:ascii="Arial" w:cs="Arial" w:eastAsia="Arial" w:hAnsi="Arial"/>
          <w:sz w:val="21"/>
          <w:szCs w:val="21"/>
          <w:color w:val="auto"/>
        </w:rPr>
      </w:pPr>
      <w:r>
        <w:rPr>
          <w:rFonts w:ascii="Arial" w:cs="Arial" w:eastAsia="Arial" w:hAnsi="Arial"/>
          <w:sz w:val="22"/>
          <w:szCs w:val="22"/>
          <w:color w:val="auto"/>
        </w:rPr>
        <w:t>California, Inc..</w:t>
      </w:r>
    </w:p>
    <w:p>
      <w:pPr>
        <w:spacing w:after="0" w:line="188" w:lineRule="exact"/>
        <w:rPr>
          <w:rFonts w:ascii="Arial" w:cs="Arial" w:eastAsia="Arial" w:hAnsi="Arial"/>
          <w:sz w:val="21"/>
          <w:szCs w:val="21"/>
          <w:color w:val="auto"/>
        </w:rPr>
      </w:pPr>
    </w:p>
    <w:p>
      <w:pPr>
        <w:ind w:left="180" w:firstLine="1300"/>
        <w:spacing w:after="0" w:line="250" w:lineRule="auto"/>
        <w:tabs>
          <w:tab w:leader="none" w:pos="1944"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Shares issued pursuant to a Restricted Stock award under Section 7 of the Plan, or issued pursuant to the early exercise of an Option.</w:t>
      </w:r>
    </w:p>
    <w:p>
      <w:pPr>
        <w:spacing w:after="0" w:line="174" w:lineRule="exact"/>
        <w:rPr>
          <w:rFonts w:ascii="Arial" w:cs="Arial" w:eastAsia="Arial" w:hAnsi="Arial"/>
          <w:sz w:val="22"/>
          <w:szCs w:val="22"/>
          <w:color w:val="auto"/>
        </w:rPr>
      </w:pPr>
    </w:p>
    <w:p>
      <w:pPr>
        <w:jc w:val="both"/>
        <w:ind w:left="180" w:firstLine="1300"/>
        <w:spacing w:after="0"/>
        <w:tabs>
          <w:tab w:leader="none" w:pos="1917"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 bookkeeping entry representing an amount equal to the Fair Market Value of one Share, granted pursuant to Section 8. Each Restricted Stock Unit represents an unfunded and unsecured obligation of the Company.</w:t>
      </w:r>
    </w:p>
    <w:p>
      <w:pPr>
        <w:spacing w:after="0" w:line="186" w:lineRule="exact"/>
        <w:rPr>
          <w:rFonts w:ascii="Arial" w:cs="Arial" w:eastAsia="Arial" w:hAnsi="Arial"/>
          <w:sz w:val="22"/>
          <w:szCs w:val="22"/>
          <w:color w:val="auto"/>
        </w:rPr>
      </w:pPr>
    </w:p>
    <w:p>
      <w:pPr>
        <w:ind w:left="180" w:firstLine="1300"/>
        <w:spacing w:after="0" w:line="250" w:lineRule="auto"/>
        <w:tabs>
          <w:tab w:leader="none" w:pos="1902"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16b-3</w:t>
      </w:r>
      <w:r>
        <w:rPr>
          <w:rFonts w:ascii="Arial" w:cs="Arial" w:eastAsia="Arial" w:hAnsi="Arial"/>
          <w:sz w:val="22"/>
          <w:szCs w:val="22"/>
          <w:color w:val="auto"/>
        </w:rPr>
        <w:t>” means Rule 16b-3 of the Exchange Act or any successor to Rule 16b-3, as in effect when discretion is being exercised with respect to the Plan.</w:t>
      </w:r>
    </w:p>
    <w:p>
      <w:pPr>
        <w:spacing w:after="0" w:line="174" w:lineRule="exact"/>
        <w:rPr>
          <w:rFonts w:ascii="Arial" w:cs="Arial" w:eastAsia="Arial" w:hAnsi="Arial"/>
          <w:sz w:val="22"/>
          <w:szCs w:val="22"/>
          <w:color w:val="auto"/>
        </w:rPr>
      </w:pPr>
    </w:p>
    <w:p>
      <w:pPr>
        <w:ind w:left="1880" w:hanging="400"/>
        <w:spacing w:after="0"/>
        <w:tabs>
          <w:tab w:leader="none" w:pos="18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16(b)</w:t>
      </w:r>
      <w:r>
        <w:rPr>
          <w:rFonts w:ascii="Arial" w:cs="Arial" w:eastAsia="Arial" w:hAnsi="Arial"/>
          <w:sz w:val="22"/>
          <w:szCs w:val="22"/>
          <w:color w:val="auto"/>
        </w:rPr>
        <w:t>” means Section 16(b) of the Exchange Act.</w:t>
      </w:r>
    </w:p>
    <w:p>
      <w:pPr>
        <w:spacing w:after="0" w:line="206" w:lineRule="exact"/>
        <w:rPr>
          <w:rFonts w:ascii="Arial" w:cs="Arial" w:eastAsia="Arial" w:hAnsi="Arial"/>
          <w:sz w:val="22"/>
          <w:szCs w:val="22"/>
          <w:color w:val="auto"/>
        </w:rPr>
      </w:pPr>
    </w:p>
    <w:p>
      <w:pPr>
        <w:jc w:val="both"/>
        <w:ind w:left="180" w:firstLine="1300"/>
        <w:spacing w:after="0" w:line="238" w:lineRule="auto"/>
        <w:tabs>
          <w:tab w:leader="none" w:pos="193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as it has been and may be amended from time to time, and any proposed or final Treasury Regulations and Internal Revenue Service guidance that has been promulgated or may be promulgated thereunder from time to time, or any state law equivalent.</w:t>
      </w:r>
    </w:p>
    <w:p>
      <w:pPr>
        <w:spacing w:after="0" w:line="184" w:lineRule="exact"/>
        <w:rPr>
          <w:rFonts w:ascii="Arial" w:cs="Arial" w:eastAsia="Arial" w:hAnsi="Arial"/>
          <w:sz w:val="22"/>
          <w:szCs w:val="22"/>
          <w:color w:val="auto"/>
        </w:rPr>
      </w:pPr>
    </w:p>
    <w:p>
      <w:pPr>
        <w:ind w:left="1960" w:hanging="480"/>
        <w:spacing w:after="0"/>
        <w:tabs>
          <w:tab w:leader="none" w:pos="19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w:t>
      </w:r>
    </w:p>
    <w:p>
      <w:pPr>
        <w:spacing w:after="0" w:line="206" w:lineRule="exact"/>
        <w:rPr>
          <w:rFonts w:ascii="Arial" w:cs="Arial" w:eastAsia="Arial" w:hAnsi="Arial"/>
          <w:sz w:val="22"/>
          <w:szCs w:val="22"/>
          <w:color w:val="auto"/>
        </w:rPr>
      </w:pPr>
    </w:p>
    <w:p>
      <w:pPr>
        <w:ind w:left="2020" w:hanging="540"/>
        <w:spacing w:after="0"/>
        <w:tabs>
          <w:tab w:leader="none" w:pos="20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Provider</w:t>
      </w:r>
      <w:r>
        <w:rPr>
          <w:rFonts w:ascii="Arial" w:cs="Arial" w:eastAsia="Arial" w:hAnsi="Arial"/>
          <w:sz w:val="22"/>
          <w:szCs w:val="22"/>
          <w:color w:val="auto"/>
        </w:rPr>
        <w:t>” means an Employee, Director or Consultant.</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74" w:name="page75"/>
    <w:bookmarkEnd w:id="74"/>
    <w:p>
      <w:pPr>
        <w:ind w:left="180" w:firstLine="1300"/>
        <w:spacing w:after="0" w:line="251" w:lineRule="auto"/>
        <w:tabs>
          <w:tab w:leader="none" w:pos="1944" w:val="left"/>
        </w:tabs>
        <w:numPr>
          <w:ilvl w:val="1"/>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means a share of the Common Stock, as adjusted in accordance with Section 14 of the Plan.</w:t>
      </w:r>
    </w:p>
    <w:p>
      <w:pPr>
        <w:spacing w:after="0" w:line="173" w:lineRule="exact"/>
        <w:rPr>
          <w:rFonts w:ascii="Arial" w:cs="Arial" w:eastAsia="Arial" w:hAnsi="Arial"/>
          <w:sz w:val="22"/>
          <w:szCs w:val="22"/>
          <w:color w:val="auto"/>
        </w:rPr>
      </w:pPr>
    </w:p>
    <w:p>
      <w:pPr>
        <w:ind w:left="180" w:firstLine="1300"/>
        <w:spacing w:after="0" w:line="274" w:lineRule="auto"/>
        <w:tabs>
          <w:tab w:leader="none" w:pos="1903" w:val="left"/>
        </w:tabs>
        <w:numPr>
          <w:ilvl w:val="1"/>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 Appreciation Right</w:t>
      </w:r>
      <w:r>
        <w:rPr>
          <w:rFonts w:ascii="Arial" w:cs="Arial" w:eastAsia="Arial" w:hAnsi="Arial"/>
          <w:sz w:val="21"/>
          <w:szCs w:val="21"/>
          <w:color w:val="auto"/>
        </w:rPr>
        <w:t>” means an Award, granted alone or in connection with an Option, that pursuant to Section 9 is designated as a Stock Appreciation Right.</w:t>
      </w:r>
    </w:p>
    <w:p>
      <w:pPr>
        <w:spacing w:after="0" w:line="150" w:lineRule="exact"/>
        <w:rPr>
          <w:rFonts w:ascii="Arial" w:cs="Arial" w:eastAsia="Arial" w:hAnsi="Arial"/>
          <w:sz w:val="21"/>
          <w:szCs w:val="21"/>
          <w:color w:val="auto"/>
        </w:rPr>
      </w:pPr>
    </w:p>
    <w:p>
      <w:pPr>
        <w:ind w:left="180" w:firstLine="1300"/>
        <w:spacing w:after="0" w:line="250" w:lineRule="auto"/>
        <w:tabs>
          <w:tab w:leader="none" w:pos="1890" w:val="left"/>
        </w:tabs>
        <w:numPr>
          <w:ilvl w:val="1"/>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 “subsidiary corporation,” whether now or hereafter existing, as defined in Code Section 424(f).</w:t>
      </w:r>
    </w:p>
    <w:p>
      <w:pPr>
        <w:spacing w:after="0" w:line="174" w:lineRule="exact"/>
        <w:rPr>
          <w:rFonts w:ascii="Arial" w:cs="Arial" w:eastAsia="Arial" w:hAnsi="Arial"/>
          <w:sz w:val="22"/>
          <w:szCs w:val="22"/>
          <w:color w:val="auto"/>
        </w:rPr>
      </w:pPr>
    </w:p>
    <w:p>
      <w:pPr>
        <w:jc w:val="both"/>
        <w:ind w:left="180" w:firstLine="1300"/>
        <w:spacing w:after="0"/>
        <w:tabs>
          <w:tab w:leader="none" w:pos="1930" w:val="left"/>
        </w:tabs>
        <w:numPr>
          <w:ilvl w:val="1"/>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that the primary stock exchange, national market system, or other trading platform, as applicable, upon which the Common Stock is listed, is open for trading.</w:t>
      </w:r>
    </w:p>
    <w:p>
      <w:pPr>
        <w:spacing w:after="0" w:line="186" w:lineRule="exact"/>
        <w:rPr>
          <w:rFonts w:ascii="Arial" w:cs="Arial" w:eastAsia="Arial" w:hAnsi="Arial"/>
          <w:sz w:val="22"/>
          <w:szCs w:val="22"/>
          <w:color w:val="auto"/>
        </w:rPr>
      </w:pPr>
    </w:p>
    <w:p>
      <w:pPr>
        <w:ind w:left="1180" w:hanging="348"/>
        <w:spacing w:after="0"/>
        <w:tabs>
          <w:tab w:leader="none" w:pos="118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60" w:hanging="380"/>
        <w:spacing w:after="0"/>
        <w:tabs>
          <w:tab w:leader="none" w:pos="1860"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Stock Subject to the Plan</w:t>
      </w:r>
      <w:r>
        <w:rPr>
          <w:rFonts w:ascii="Arial" w:cs="Arial" w:eastAsia="Arial" w:hAnsi="Arial"/>
          <w:sz w:val="19"/>
          <w:szCs w:val="19"/>
          <w:color w:val="auto"/>
        </w:rPr>
        <w:t>. Subject to the provisions of Section 14 of the Plan, the</w:t>
      </w:r>
    </w:p>
    <w:p>
      <w:pPr>
        <w:spacing w:after="0" w:line="33" w:lineRule="exact"/>
        <w:rPr>
          <w:sz w:val="20"/>
          <w:szCs w:val="20"/>
          <w:color w:val="auto"/>
        </w:rPr>
      </w:pPr>
    </w:p>
    <w:p>
      <w:pPr>
        <w:ind w:left="180"/>
        <w:spacing w:after="0"/>
        <w:tabs>
          <w:tab w:leader="none" w:pos="1300" w:val="left"/>
          <w:tab w:leader="none" w:pos="2400" w:val="left"/>
          <w:tab w:leader="none" w:pos="3320" w:val="left"/>
          <w:tab w:leader="none" w:pos="3760" w:val="left"/>
          <w:tab w:leader="none" w:pos="4580" w:val="left"/>
          <w:tab w:leader="none" w:pos="5180" w:val="left"/>
          <w:tab w:leader="none" w:pos="5800" w:val="left"/>
          <w:tab w:leader="none" w:pos="6260" w:val="left"/>
          <w:tab w:leader="none" w:pos="7060" w:val="left"/>
          <w:tab w:leader="none" w:pos="7820" w:val="left"/>
          <w:tab w:leader="none" w:pos="8340" w:val="left"/>
          <w:tab w:leader="none" w:pos="8980" w:val="left"/>
        </w:tabs>
        <w:rPr>
          <w:sz w:val="20"/>
          <w:szCs w:val="20"/>
          <w:color w:val="auto"/>
        </w:rPr>
      </w:pPr>
      <w:r>
        <w:rPr>
          <w:rFonts w:ascii="Arial" w:cs="Arial" w:eastAsia="Arial" w:hAnsi="Arial"/>
          <w:sz w:val="22"/>
          <w:szCs w:val="22"/>
          <w:color w:val="auto"/>
        </w:rPr>
        <w:t>maximum</w:t>
        <w:tab/>
        <w:t>aggregate</w:t>
        <w:tab/>
        <w:t>number</w:t>
        <w:tab/>
        <w:t>of</w:t>
        <w:tab/>
        <w:t>Shares</w:t>
        <w:tab/>
        <w:t>that</w:t>
        <w:tab/>
        <w:t>may</w:t>
        <w:tab/>
        <w:t>be</w:t>
        <w:tab/>
        <w:t>issued</w:t>
        <w:tab/>
        <w:t>under</w:t>
        <w:tab/>
        <w:t>the</w:t>
        <w:tab/>
        <w:t>Plan</w:t>
      </w:r>
      <w:r>
        <w:rPr>
          <w:sz w:val="20"/>
          <w:szCs w:val="20"/>
          <w:color w:val="auto"/>
        </w:rPr>
        <w:tab/>
      </w:r>
      <w:r>
        <w:rPr>
          <w:rFonts w:ascii="Arial" w:cs="Arial" w:eastAsia="Arial" w:hAnsi="Arial"/>
          <w:sz w:val="19"/>
          <w:szCs w:val="19"/>
          <w:color w:val="auto"/>
        </w:rPr>
        <w:t>is</w:t>
      </w:r>
    </w:p>
    <w:p>
      <w:pPr>
        <w:jc w:val="both"/>
        <w:ind w:left="180" w:firstLine="58"/>
        <w:spacing w:after="0" w:line="243" w:lineRule="auto"/>
        <w:tabs>
          <w:tab w:leader="none" w:pos="492" w:val="left"/>
        </w:tabs>
        <w:numPr>
          <w:ilvl w:val="0"/>
          <w:numId w:val="20"/>
        </w:numPr>
        <w:rPr>
          <w:rFonts w:ascii="Arial" w:cs="Arial" w:eastAsia="Arial" w:hAnsi="Arial"/>
          <w:sz w:val="21"/>
          <w:szCs w:val="21"/>
          <w:color w:val="auto"/>
        </w:rPr>
      </w:pPr>
      <w:r>
        <w:rPr>
          <w:rFonts w:ascii="Arial" w:cs="Arial" w:eastAsia="Arial" w:hAnsi="Arial"/>
          <w:sz w:val="21"/>
          <w:szCs w:val="21"/>
          <w:color w:val="auto"/>
        </w:rPr>
        <w:t>1,851,043 Shares, which is the number of shares of common stock of Omniome that were reserved but not issued or subject to outstanding equity awards under Omniome’s 2014 Equity Incentive Plan, as amended (the “</w:t>
      </w:r>
      <w:r>
        <w:rPr>
          <w:rFonts w:ascii="Arial" w:cs="Arial" w:eastAsia="Arial" w:hAnsi="Arial"/>
          <w:sz w:val="21"/>
          <w:szCs w:val="21"/>
          <w:u w:val="single" w:color="auto"/>
          <w:color w:val="auto"/>
        </w:rPr>
        <w:t>Omniome Plan</w:t>
      </w:r>
      <w:r>
        <w:rPr>
          <w:rFonts w:ascii="Arial" w:cs="Arial" w:eastAsia="Arial" w:hAnsi="Arial"/>
          <w:sz w:val="21"/>
          <w:szCs w:val="21"/>
          <w:color w:val="auto"/>
        </w:rPr>
        <w:t>”), as of the consummation of the Merger and as adjusted to reflect the Merger, plus (ii) any Shares subject to stock options granted under the Omniome Plan that were assumed by the Company in connection with the Merger that terminate and are cancelled without being exercised, and that if such termination and cancellation had occurred prior to the Merger otherwise would have returned to the Omniome Plan. In addition, Shares may become available for issuance under the Plan pursuant to Sections 3(b) and 3(c). The Shares may be authorized, but unissued, or reacquired Common Stock.</w:t>
      </w:r>
    </w:p>
    <w:p>
      <w:pPr>
        <w:spacing w:after="0" w:line="184" w:lineRule="exact"/>
        <w:rPr>
          <w:rFonts w:ascii="Arial" w:cs="Arial" w:eastAsia="Arial" w:hAnsi="Arial"/>
          <w:sz w:val="21"/>
          <w:szCs w:val="21"/>
          <w:color w:val="auto"/>
        </w:rPr>
      </w:pPr>
    </w:p>
    <w:p>
      <w:pPr>
        <w:jc w:val="both"/>
        <w:ind w:left="180" w:firstLine="1300"/>
        <w:spacing w:after="0" w:line="271" w:lineRule="auto"/>
        <w:tabs>
          <w:tab w:leader="none" w:pos="1890"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Lapsed Awards</w:t>
      </w:r>
      <w:r>
        <w:rPr>
          <w:rFonts w:ascii="Arial" w:cs="Arial" w:eastAsia="Arial" w:hAnsi="Arial"/>
          <w:sz w:val="19"/>
          <w:szCs w:val="19"/>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that are settled in Shares, the gross number of Shares covered by the portion of the Award so exercised will cease to be available under the Plan.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of an Award or to satisfy the tax withholding obligations related to an Award will not become available for future grant or sale under the Plan. To the extent an Award under the Plan is paid out in cash rather than Shares, the cash payment will not result in reducing the number of Shares available for issuance under the Plan.</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75" w:name="page76"/>
    <w:bookmarkEnd w:id="75"/>
    <w:p>
      <w:pPr>
        <w:ind w:left="180" w:firstLine="1300"/>
        <w:spacing w:after="0" w:line="329" w:lineRule="auto"/>
        <w:tabs>
          <w:tab w:leader="none" w:pos="1851"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Share Reserve</w:t>
      </w:r>
      <w:r>
        <w:rPr>
          <w:rFonts w:ascii="Arial" w:cs="Arial" w:eastAsia="Arial" w:hAnsi="Arial"/>
          <w:sz w:val="19"/>
          <w:szCs w:val="19"/>
          <w:color w:val="auto"/>
        </w:rPr>
        <w:t>. The Company, at all times during the term of this Plan, will reserve and keep available such number of Shares as will be sufficient to satisfy the requirements of the Plan.</w:t>
      </w:r>
    </w:p>
    <w:p>
      <w:pPr>
        <w:spacing w:after="0" w:line="103" w:lineRule="exact"/>
        <w:rPr>
          <w:rFonts w:ascii="Arial" w:cs="Arial" w:eastAsia="Arial" w:hAnsi="Arial"/>
          <w:sz w:val="19"/>
          <w:szCs w:val="19"/>
          <w:color w:val="auto"/>
        </w:rPr>
      </w:pPr>
    </w:p>
    <w:p>
      <w:pPr>
        <w:ind w:left="1180" w:hanging="348"/>
        <w:spacing w:after="0"/>
        <w:tabs>
          <w:tab w:leader="none" w:pos="118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60" w:hanging="380"/>
        <w:spacing w:after="0"/>
        <w:tabs>
          <w:tab w:leader="none" w:pos="186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0" w:firstLine="2092"/>
        <w:spacing w:after="0" w:line="250" w:lineRule="auto"/>
        <w:tabs>
          <w:tab w:leader="none" w:pos="2863" w:val="left"/>
        </w:tabs>
        <w:numPr>
          <w:ilvl w:val="2"/>
          <w:numId w:val="22"/>
        </w:numPr>
        <w:rPr>
          <w:rFonts w:ascii="Arial" w:cs="Arial" w:eastAsia="Arial" w:hAnsi="Arial"/>
          <w:sz w:val="22"/>
          <w:szCs w:val="22"/>
          <w:color w:val="auto"/>
        </w:rPr>
      </w:pPr>
      <w:r>
        <w:rPr>
          <w:rFonts w:ascii="Arial" w:cs="Arial" w:eastAsia="Arial" w:hAnsi="Arial"/>
          <w:sz w:val="22"/>
          <w:szCs w:val="22"/>
          <w:u w:val="single" w:color="auto"/>
          <w:color w:val="auto"/>
        </w:rPr>
        <w:t>Multiple Administrative Bodies</w:t>
      </w:r>
      <w:r>
        <w:rPr>
          <w:rFonts w:ascii="Arial" w:cs="Arial" w:eastAsia="Arial" w:hAnsi="Arial"/>
          <w:sz w:val="22"/>
          <w:szCs w:val="22"/>
          <w:color w:val="auto"/>
        </w:rPr>
        <w:t>. Different Committees with respect to different groups of Service Providers may administer the Plan.</w:t>
      </w:r>
    </w:p>
    <w:p>
      <w:pPr>
        <w:spacing w:after="0" w:line="175" w:lineRule="exact"/>
        <w:rPr>
          <w:sz w:val="20"/>
          <w:szCs w:val="20"/>
          <w:color w:val="auto"/>
        </w:rPr>
      </w:pPr>
    </w:p>
    <w:p>
      <w:pPr>
        <w:jc w:val="both"/>
        <w:ind w:left="180" w:firstLine="2056"/>
        <w:spacing w:after="0"/>
        <w:tabs>
          <w:tab w:leader="none" w:pos="287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Rule 16b-3</w:t>
      </w:r>
      <w:r>
        <w:rPr>
          <w:rFonts w:ascii="Arial" w:cs="Arial" w:eastAsia="Arial" w:hAnsi="Arial"/>
          <w:sz w:val="22"/>
          <w:szCs w:val="22"/>
          <w:color w:val="auto"/>
        </w:rPr>
        <w:t>. To the extent desirable to qualify transactions hereunder as exempt under Rule 16b-3, the transactions contemplated hereunder will be structured to satisfy the requirements for exemption under Rule 16b-3.</w:t>
      </w:r>
    </w:p>
    <w:p>
      <w:pPr>
        <w:spacing w:after="0" w:line="186" w:lineRule="exact"/>
        <w:rPr>
          <w:sz w:val="20"/>
          <w:szCs w:val="20"/>
          <w:color w:val="auto"/>
        </w:rPr>
      </w:pPr>
    </w:p>
    <w:p>
      <w:pPr>
        <w:jc w:val="both"/>
        <w:ind w:left="180" w:firstLine="2020"/>
        <w:spacing w:after="0"/>
        <w:tabs>
          <w:tab w:leader="none" w:pos="2911"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Other Administration</w:t>
      </w:r>
      <w:r>
        <w:rPr>
          <w:rFonts w:ascii="Arial" w:cs="Arial" w:eastAsia="Arial" w:hAnsi="Arial"/>
          <w:sz w:val="22"/>
          <w:szCs w:val="22"/>
          <w:color w:val="auto"/>
        </w:rPr>
        <w:t>. Other than as provided above, the Plan will be administered by (A) the Board or (B) a Committee, which committee will be constituted to satisfy Applicable Laws.</w:t>
      </w:r>
    </w:p>
    <w:p>
      <w:pPr>
        <w:spacing w:after="0" w:line="186" w:lineRule="exact"/>
        <w:rPr>
          <w:rFonts w:ascii="Arial" w:cs="Arial" w:eastAsia="Arial" w:hAnsi="Arial"/>
          <w:sz w:val="22"/>
          <w:szCs w:val="22"/>
          <w:color w:val="auto"/>
        </w:rPr>
      </w:pPr>
    </w:p>
    <w:p>
      <w:pPr>
        <w:jc w:val="both"/>
        <w:ind w:left="180" w:firstLine="1300"/>
        <w:spacing w:after="0"/>
        <w:tabs>
          <w:tab w:leader="none" w:pos="1863"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Powers of the Administrator</w:t>
      </w:r>
      <w:r>
        <w:rPr>
          <w:rFonts w:ascii="Arial" w:cs="Arial" w:eastAsia="Arial" w:hAnsi="Arial"/>
          <w:sz w:val="22"/>
          <w:szCs w:val="22"/>
          <w:color w:val="auto"/>
        </w:rPr>
        <w:t>. Subject to the provisions of the Plan, and in the case of a Committee, the specific duties delegated by the Board to such Committee, the Administrator will have the authority, in its discretion:</w:t>
      </w:r>
    </w:p>
    <w:p>
      <w:pPr>
        <w:spacing w:after="0" w:line="186" w:lineRule="exact"/>
        <w:rPr>
          <w:sz w:val="20"/>
          <w:szCs w:val="20"/>
          <w:color w:val="auto"/>
        </w:rPr>
      </w:pPr>
    </w:p>
    <w:p>
      <w:pPr>
        <w:ind w:left="2860" w:hanging="588"/>
        <w:spacing w:after="0"/>
        <w:tabs>
          <w:tab w:leader="none" w:pos="28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 determine the Fair Market Value;</w:t>
      </w:r>
    </w:p>
    <w:p>
      <w:pPr>
        <w:spacing w:after="0" w:line="206" w:lineRule="exact"/>
        <w:rPr>
          <w:sz w:val="20"/>
          <w:szCs w:val="20"/>
          <w:color w:val="auto"/>
        </w:rPr>
      </w:pPr>
    </w:p>
    <w:p>
      <w:pPr>
        <w:ind w:left="2240"/>
        <w:spacing w:after="0"/>
        <w:tabs>
          <w:tab w:leader="none" w:pos="2920" w:val="left"/>
        </w:tabs>
        <w:rPr>
          <w:sz w:val="20"/>
          <w:szCs w:val="20"/>
          <w:color w:val="auto"/>
        </w:rPr>
      </w:pPr>
      <w:r>
        <w:rPr>
          <w:rFonts w:ascii="Arial" w:cs="Arial" w:eastAsia="Arial" w:hAnsi="Arial"/>
          <w:sz w:val="21"/>
          <w:szCs w:val="21"/>
          <w:color w:val="auto"/>
        </w:rPr>
        <w:t>(ii)</w:t>
      </w:r>
      <w:r>
        <w:rPr>
          <w:sz w:val="20"/>
          <w:szCs w:val="20"/>
          <w:color w:val="auto"/>
        </w:rPr>
        <w:tab/>
      </w:r>
      <w:r>
        <w:rPr>
          <w:rFonts w:ascii="Arial" w:cs="Arial" w:eastAsia="Arial" w:hAnsi="Arial"/>
          <w:sz w:val="21"/>
          <w:szCs w:val="21"/>
          <w:color w:val="auto"/>
        </w:rPr>
        <w:t>to select the Service Providers to whom Awards may be granted</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hereunder;</w:t>
      </w:r>
    </w:p>
    <w:p>
      <w:pPr>
        <w:spacing w:after="0" w:line="188" w:lineRule="exact"/>
        <w:rPr>
          <w:sz w:val="20"/>
          <w:szCs w:val="20"/>
          <w:color w:val="auto"/>
        </w:rPr>
      </w:pPr>
    </w:p>
    <w:p>
      <w:pPr>
        <w:ind w:left="2900" w:hanging="700"/>
        <w:spacing w:after="0"/>
        <w:tabs>
          <w:tab w:leader="none" w:pos="29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to determine the number of Shares to be covered by each Award granted</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hereunder;</w:t>
      </w:r>
    </w:p>
    <w:p>
      <w:pPr>
        <w:spacing w:after="0" w:line="188" w:lineRule="exact"/>
        <w:rPr>
          <w:sz w:val="20"/>
          <w:szCs w:val="20"/>
          <w:color w:val="auto"/>
        </w:rPr>
      </w:pPr>
    </w:p>
    <w:p>
      <w:pPr>
        <w:ind w:left="2880" w:hanging="680"/>
        <w:spacing w:after="0"/>
        <w:tabs>
          <w:tab w:leader="none" w:pos="28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to approve forms of Award Agreement for use under the Plan;</w:t>
      </w:r>
    </w:p>
    <w:p>
      <w:pPr>
        <w:spacing w:after="0" w:line="206" w:lineRule="exact"/>
        <w:rPr>
          <w:sz w:val="20"/>
          <w:szCs w:val="20"/>
          <w:color w:val="auto"/>
        </w:rPr>
      </w:pPr>
    </w:p>
    <w:p>
      <w:pPr>
        <w:jc w:val="both"/>
        <w:ind w:left="180" w:firstLine="2038"/>
        <w:spacing w:after="0" w:line="235" w:lineRule="auto"/>
        <w:tabs>
          <w:tab w:leader="none" w:pos="28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to 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8" w:lineRule="exact"/>
        <w:rPr>
          <w:sz w:val="20"/>
          <w:szCs w:val="20"/>
          <w:color w:val="auto"/>
        </w:rPr>
      </w:pPr>
    </w:p>
    <w:p>
      <w:pPr>
        <w:jc w:val="both"/>
        <w:ind w:left="180" w:firstLine="2020"/>
        <w:spacing w:after="0" w:line="297" w:lineRule="auto"/>
        <w:tabs>
          <w:tab w:leader="none" w:pos="2913" w:val="left"/>
        </w:tabs>
        <w:numPr>
          <w:ilvl w:val="0"/>
          <w:numId w:val="30"/>
        </w:numPr>
        <w:rPr>
          <w:rFonts w:ascii="Arial" w:cs="Arial" w:eastAsia="Arial" w:hAnsi="Arial"/>
          <w:sz w:val="19"/>
          <w:szCs w:val="19"/>
          <w:color w:val="auto"/>
        </w:rPr>
      </w:pPr>
      <w:r>
        <w:rPr>
          <w:rFonts w:ascii="Arial" w:cs="Arial" w:eastAsia="Arial" w:hAnsi="Arial"/>
          <w:sz w:val="19"/>
          <w:szCs w:val="19"/>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134" w:lineRule="exact"/>
        <w:rPr>
          <w:sz w:val="20"/>
          <w:szCs w:val="20"/>
          <w:color w:val="auto"/>
        </w:rPr>
      </w:pPr>
    </w:p>
    <w:p>
      <w:pPr>
        <w:ind w:left="2160"/>
        <w:spacing w:after="0"/>
        <w:tabs>
          <w:tab w:leader="none" w:pos="2940" w:val="left"/>
        </w:tabs>
        <w:rPr>
          <w:sz w:val="20"/>
          <w:szCs w:val="20"/>
          <w:color w:val="auto"/>
        </w:rPr>
      </w:pPr>
      <w:r>
        <w:rPr>
          <w:rFonts w:ascii="Arial" w:cs="Arial" w:eastAsia="Arial" w:hAnsi="Arial"/>
          <w:sz w:val="19"/>
          <w:szCs w:val="19"/>
          <w:color w:val="auto"/>
        </w:rPr>
        <w:t>(vii)</w:t>
      </w:r>
      <w:r>
        <w:rPr>
          <w:sz w:val="20"/>
          <w:szCs w:val="20"/>
          <w:color w:val="auto"/>
        </w:rPr>
        <w:tab/>
      </w:r>
      <w:r>
        <w:rPr>
          <w:rFonts w:ascii="Arial" w:cs="Arial" w:eastAsia="Arial" w:hAnsi="Arial"/>
          <w:sz w:val="19"/>
          <w:szCs w:val="19"/>
          <w:color w:val="auto"/>
        </w:rPr>
        <w:t>to construe and interpret the terms of the Plan and Awards granted</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under the Plan;</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76" w:name="page77"/>
    <w:bookmarkEnd w:id="76"/>
    <w:p>
      <w:pPr>
        <w:jc w:val="both"/>
        <w:ind w:left="180" w:firstLine="1948"/>
        <w:spacing w:after="0" w:line="238" w:lineRule="auto"/>
        <w:tabs>
          <w:tab w:leader="none" w:pos="2934" w:val="left"/>
        </w:tabs>
        <w:numPr>
          <w:ilvl w:val="0"/>
          <w:numId w:val="31"/>
        </w:numPr>
        <w:rPr>
          <w:rFonts w:ascii="Arial" w:cs="Arial" w:eastAsia="Arial" w:hAnsi="Arial"/>
          <w:sz w:val="22"/>
          <w:szCs w:val="22"/>
          <w:color w:val="auto"/>
        </w:rPr>
      </w:pPr>
      <w:r>
        <w:rPr>
          <w:rFonts w:ascii="Arial" w:cs="Arial" w:eastAsia="Arial" w:hAnsi="Arial"/>
          <w:sz w:val="22"/>
          <w:szCs w:val="22"/>
          <w:color w:val="auto"/>
        </w:rPr>
        <w:t>to modify or amend each Award (subject to Section 19(c) of the Plan), including without limitation the discretionary authority to extend the post-termination exercisability period of Awards; provided, however, that in no event will the term of an Option or Stock Appreciation Right be extended beyond its original maximum term;</w:t>
      </w:r>
    </w:p>
    <w:p>
      <w:pPr>
        <w:spacing w:after="0" w:line="185" w:lineRule="exact"/>
        <w:rPr>
          <w:sz w:val="20"/>
          <w:szCs w:val="20"/>
          <w:color w:val="auto"/>
        </w:rPr>
      </w:pPr>
    </w:p>
    <w:p>
      <w:pPr>
        <w:ind w:left="180" w:firstLine="2020"/>
        <w:spacing w:after="0" w:line="250" w:lineRule="auto"/>
        <w:tabs>
          <w:tab w:leader="none" w:pos="2886" w:val="left"/>
        </w:tabs>
        <w:numPr>
          <w:ilvl w:val="0"/>
          <w:numId w:val="32"/>
        </w:numPr>
        <w:rPr>
          <w:rFonts w:ascii="Arial" w:cs="Arial" w:eastAsia="Arial" w:hAnsi="Arial"/>
          <w:sz w:val="22"/>
          <w:szCs w:val="22"/>
          <w:color w:val="auto"/>
        </w:rPr>
      </w:pPr>
      <w:r>
        <w:rPr>
          <w:rFonts w:ascii="Arial" w:cs="Arial" w:eastAsia="Arial" w:hAnsi="Arial"/>
          <w:sz w:val="22"/>
          <w:szCs w:val="22"/>
          <w:color w:val="auto"/>
        </w:rPr>
        <w:t>to allow Participants to satisfy tax withholding obligations in a manner prescribed in Section 15 of the Plan;</w:t>
      </w:r>
    </w:p>
    <w:p>
      <w:pPr>
        <w:spacing w:after="0" w:line="175" w:lineRule="exact"/>
        <w:rPr>
          <w:sz w:val="20"/>
          <w:szCs w:val="20"/>
          <w:color w:val="auto"/>
        </w:rPr>
      </w:pPr>
    </w:p>
    <w:p>
      <w:pPr>
        <w:ind w:left="180" w:firstLine="2038"/>
        <w:spacing w:after="0" w:line="274" w:lineRule="auto"/>
        <w:tabs>
          <w:tab w:leader="none" w:pos="2898" w:val="left"/>
        </w:tabs>
        <w:numPr>
          <w:ilvl w:val="0"/>
          <w:numId w:val="33"/>
        </w:numPr>
        <w:rPr>
          <w:rFonts w:ascii="Arial" w:cs="Arial" w:eastAsia="Arial" w:hAnsi="Arial"/>
          <w:sz w:val="21"/>
          <w:szCs w:val="21"/>
          <w:color w:val="auto"/>
        </w:rPr>
      </w:pPr>
      <w:r>
        <w:rPr>
          <w:rFonts w:ascii="Arial" w:cs="Arial" w:eastAsia="Arial" w:hAnsi="Arial"/>
          <w:sz w:val="21"/>
          <w:szCs w:val="21"/>
          <w:color w:val="auto"/>
        </w:rPr>
        <w:t>to authorize any person to execute on behalf of the Company any instrument required to effect the grant of an Award previously granted by the Administrator;</w:t>
      </w:r>
    </w:p>
    <w:p>
      <w:pPr>
        <w:spacing w:after="0" w:line="151" w:lineRule="exact"/>
        <w:rPr>
          <w:sz w:val="20"/>
          <w:szCs w:val="20"/>
          <w:color w:val="auto"/>
        </w:rPr>
      </w:pPr>
    </w:p>
    <w:p>
      <w:pPr>
        <w:ind w:left="180" w:firstLine="2020"/>
        <w:spacing w:after="0" w:line="328" w:lineRule="auto"/>
        <w:tabs>
          <w:tab w:leader="none" w:pos="2994" w:val="left"/>
        </w:tabs>
        <w:numPr>
          <w:ilvl w:val="0"/>
          <w:numId w:val="34"/>
        </w:numPr>
        <w:rPr>
          <w:rFonts w:ascii="Arial" w:cs="Arial" w:eastAsia="Arial" w:hAnsi="Arial"/>
          <w:sz w:val="19"/>
          <w:szCs w:val="19"/>
          <w:color w:val="auto"/>
        </w:rPr>
      </w:pPr>
      <w:r>
        <w:rPr>
          <w:rFonts w:ascii="Arial" w:cs="Arial" w:eastAsia="Arial" w:hAnsi="Arial"/>
          <w:sz w:val="19"/>
          <w:szCs w:val="19"/>
          <w:color w:val="auto"/>
        </w:rPr>
        <w:t>to temporarily suspend the exercisability of an Award if the Administrator deems such suspension to be necessary or appropriate for administrative purposes;</w:t>
      </w:r>
    </w:p>
    <w:p>
      <w:pPr>
        <w:spacing w:after="0" w:line="105" w:lineRule="exact"/>
        <w:rPr>
          <w:sz w:val="20"/>
          <w:szCs w:val="20"/>
          <w:color w:val="auto"/>
        </w:rPr>
      </w:pPr>
    </w:p>
    <w:p>
      <w:pPr>
        <w:ind w:left="2920" w:hanging="756"/>
        <w:spacing w:after="0"/>
        <w:tabs>
          <w:tab w:leader="none" w:pos="29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to allow a Participant to defer the receipt of the payment of cash or the</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delivery of Shares that otherwise would be due to the Participant under an Award; and</w:t>
      </w:r>
    </w:p>
    <w:p>
      <w:pPr>
        <w:spacing w:after="0" w:line="188" w:lineRule="exact"/>
        <w:rPr>
          <w:sz w:val="20"/>
          <w:szCs w:val="20"/>
          <w:color w:val="auto"/>
        </w:rPr>
      </w:pPr>
    </w:p>
    <w:p>
      <w:pPr>
        <w:ind w:left="2960" w:hanging="832"/>
        <w:spacing w:after="0"/>
        <w:tabs>
          <w:tab w:leader="none" w:pos="2960" w:val="left"/>
        </w:tabs>
        <w:numPr>
          <w:ilvl w:val="1"/>
          <w:numId w:val="36"/>
        </w:numPr>
        <w:rPr>
          <w:rFonts w:ascii="Arial" w:cs="Arial" w:eastAsia="Arial" w:hAnsi="Arial"/>
          <w:sz w:val="19"/>
          <w:szCs w:val="19"/>
          <w:color w:val="auto"/>
        </w:rPr>
      </w:pPr>
      <w:r>
        <w:rPr>
          <w:rFonts w:ascii="Arial" w:cs="Arial" w:eastAsia="Arial" w:hAnsi="Arial"/>
          <w:sz w:val="19"/>
          <w:szCs w:val="19"/>
          <w:color w:val="auto"/>
        </w:rPr>
        <w:t>to make all other determinations deemed necessary or advisable for</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administering the Plan.</w:t>
      </w:r>
    </w:p>
    <w:p>
      <w:pPr>
        <w:spacing w:after="0" w:line="188" w:lineRule="exact"/>
        <w:rPr>
          <w:rFonts w:ascii="Arial" w:cs="Arial" w:eastAsia="Arial" w:hAnsi="Arial"/>
          <w:sz w:val="19"/>
          <w:szCs w:val="19"/>
          <w:color w:val="auto"/>
        </w:rPr>
      </w:pPr>
    </w:p>
    <w:p>
      <w:pPr>
        <w:jc w:val="both"/>
        <w:ind w:left="180" w:firstLine="1300"/>
        <w:spacing w:after="0"/>
        <w:tabs>
          <w:tab w:leader="none" w:pos="193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No Exchange Program or Repricing</w:t>
      </w:r>
      <w:r>
        <w:rPr>
          <w:rFonts w:ascii="Arial" w:cs="Arial" w:eastAsia="Arial" w:hAnsi="Arial"/>
          <w:sz w:val="22"/>
          <w:szCs w:val="22"/>
          <w:color w:val="auto"/>
        </w:rPr>
        <w:t>. Notwithstanding the powers of the Administrator set forth herein, the Administrator will not be permitted to implement an Exchange Program.</w:t>
      </w:r>
    </w:p>
    <w:p>
      <w:pPr>
        <w:spacing w:after="0" w:line="186" w:lineRule="exact"/>
        <w:rPr>
          <w:rFonts w:ascii="Arial" w:cs="Arial" w:eastAsia="Arial" w:hAnsi="Arial"/>
          <w:sz w:val="22"/>
          <w:szCs w:val="22"/>
          <w:color w:val="auto"/>
        </w:rPr>
      </w:pPr>
    </w:p>
    <w:p>
      <w:pPr>
        <w:jc w:val="both"/>
        <w:ind w:left="180" w:firstLine="1300"/>
        <w:spacing w:after="0" w:line="269" w:lineRule="auto"/>
        <w:tabs>
          <w:tab w:leader="none" w:pos="187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Dividends</w:t>
      </w:r>
      <w:r>
        <w:rPr>
          <w:rFonts w:ascii="Arial" w:cs="Arial" w:eastAsia="Arial" w:hAnsi="Arial"/>
          <w:sz w:val="19"/>
          <w:szCs w:val="19"/>
          <w:color w:val="auto"/>
        </w:rPr>
        <w:t>. With respect to any Options and Stock Appreciation Rights, until the Shares are issued (as evidenced by the appropriate entry on the books of the Company or of a duly authorized transfer agent of the Company) thereunder, no right to receive dividends or any other rights as a stockholder will exist with respect to the Shares subject to such Award, including without limitation notwithstanding any exercise of such Award. Further, no adjustment will be made for a dividend or other right for which the record date is prior to the date the Shares are issued under an Option or Stock Appreciation Right, except as provided in Section 14 of the Plan. During any applicable Period of Restriction, Service Providers holding Shares of Restricted Stock will be entitled to receive all dividends and other distributions paid with respect to such Shares, unless the Administrator provides otherwise; provided, however, that any such dividends or distributions payable with respect to such Shares will be subject to the same restrictions on transferability and/or forfeitability as the Shares of Restricted Stock with respect to which they were paid. With respect to Awards of Restricted Stock Units, Performance Units and Performance Shares, until the Shares are issued (as evidenced by the appropriate entry on the books of the Company or a duly authorized transfer agent of the Company), no right to receive dividends or any other rights as a stockholder will exist with respect to the Shares subject to such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 For the avoidance of doubt, the number of Shares available for issuance under the Plan will not be reduced to reflect any dividends or other distributions that are reinvested into additional Shares or credited as additional Shares subject to or paid with respect to an Award.</w:t>
      </w: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77" w:name="page78"/>
    <w:bookmarkEnd w:id="77"/>
    <w:p>
      <w:pPr>
        <w:jc w:val="both"/>
        <w:ind w:left="180" w:firstLine="1300"/>
        <w:spacing w:after="0" w:line="241" w:lineRule="auto"/>
        <w:tabs>
          <w:tab w:leader="none" w:pos="1864"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Effect of Administrator’s Decision</w:t>
      </w:r>
      <w:r>
        <w:rPr>
          <w:rFonts w:ascii="Arial" w:cs="Arial" w:eastAsia="Arial" w:hAnsi="Arial"/>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83" w:lineRule="exact"/>
        <w:rPr>
          <w:rFonts w:ascii="Arial" w:cs="Arial" w:eastAsia="Arial" w:hAnsi="Arial"/>
          <w:sz w:val="22"/>
          <w:szCs w:val="22"/>
          <w:color w:val="auto"/>
        </w:rPr>
      </w:pPr>
    </w:p>
    <w:p>
      <w:pPr>
        <w:jc w:val="both"/>
        <w:ind w:left="180" w:firstLine="652"/>
        <w:spacing w:after="0" w:line="252" w:lineRule="auto"/>
        <w:tabs>
          <w:tab w:leader="none" w:pos="1179"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Subject to compliance with Nasdaq Listing Rule 5635(c), all Service Providers who were not employed by the Company or a Parent or Subsidiary of the Company as of September 20, 2021, may be granted Nonstatutory Stock Options, Stock Appreciation Rights, Restricted Stock, Restricted Stock Units, Performance Shares and Performance Units.</w:t>
      </w:r>
    </w:p>
    <w:p>
      <w:pPr>
        <w:spacing w:after="0" w:line="173" w:lineRule="exact"/>
        <w:rPr>
          <w:rFonts w:ascii="Arial" w:cs="Arial" w:eastAsia="Arial" w:hAnsi="Arial"/>
          <w:sz w:val="21"/>
          <w:szCs w:val="21"/>
          <w:color w:val="auto"/>
        </w:rPr>
      </w:pPr>
    </w:p>
    <w:p>
      <w:pPr>
        <w:ind w:left="1180" w:hanging="348"/>
        <w:spacing w:after="0"/>
        <w:tabs>
          <w:tab w:leader="none" w:pos="118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tabs>
          <w:tab w:leader="none" w:pos="1932"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Grant of Options</w:t>
      </w:r>
      <w:r>
        <w:rPr>
          <w:rFonts w:ascii="Arial" w:cs="Arial" w:eastAsia="Arial" w:hAnsi="Arial"/>
          <w:sz w:val="22"/>
          <w:szCs w:val="22"/>
          <w:color w:val="auto"/>
        </w:rPr>
        <w:t>. Subject to the terms and provisions of the Plan, the Administrator, at any time and from time to time, may grant Options to Service Providers in such amounts as the Administrator, in its sole discretion, will determine.</w:t>
      </w:r>
    </w:p>
    <w:p>
      <w:pPr>
        <w:spacing w:after="0" w:line="186" w:lineRule="exact"/>
        <w:rPr>
          <w:rFonts w:ascii="Arial" w:cs="Arial" w:eastAsia="Arial" w:hAnsi="Arial"/>
          <w:sz w:val="22"/>
          <w:szCs w:val="22"/>
          <w:color w:val="auto"/>
        </w:rPr>
      </w:pPr>
    </w:p>
    <w:p>
      <w:pPr>
        <w:jc w:val="both"/>
        <w:ind w:left="180" w:firstLine="1300"/>
        <w:spacing w:after="0" w:line="238" w:lineRule="auto"/>
        <w:tabs>
          <w:tab w:leader="none" w:pos="1863"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Stock Option Agreement</w:t>
      </w:r>
      <w:r>
        <w:rPr>
          <w:rFonts w:ascii="Arial" w:cs="Arial" w:eastAsia="Arial" w:hAnsi="Arial"/>
          <w:sz w:val="22"/>
          <w:szCs w:val="22"/>
          <w:color w:val="auto"/>
        </w:rPr>
        <w:t>. Each Award of an Option will be evidenced by an Award Agreement that will specify the exercise price, the number of Shares subject to the Option, the exercise restrictions, if any, applicable to the Option, and such other terms and conditions as the Administrator, in its sole discretion, will determine.</w:t>
      </w:r>
    </w:p>
    <w:p>
      <w:pPr>
        <w:spacing w:after="0" w:line="184" w:lineRule="exact"/>
        <w:rPr>
          <w:rFonts w:ascii="Arial" w:cs="Arial" w:eastAsia="Arial" w:hAnsi="Arial"/>
          <w:sz w:val="22"/>
          <w:szCs w:val="22"/>
          <w:color w:val="auto"/>
        </w:rPr>
      </w:pPr>
    </w:p>
    <w:p>
      <w:pPr>
        <w:ind w:left="180" w:firstLine="1300"/>
        <w:spacing w:after="0" w:line="250" w:lineRule="auto"/>
        <w:tabs>
          <w:tab w:leader="none" w:pos="1905"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Limitations</w:t>
      </w:r>
      <w:r>
        <w:rPr>
          <w:rFonts w:ascii="Arial" w:cs="Arial" w:eastAsia="Arial" w:hAnsi="Arial"/>
          <w:sz w:val="22"/>
          <w:szCs w:val="22"/>
          <w:color w:val="auto"/>
        </w:rPr>
        <w:t>. Each Option will be designated in the Award Agreement as a Nonstatutory Stock Option.</w:t>
      </w:r>
    </w:p>
    <w:p>
      <w:pPr>
        <w:spacing w:after="0" w:line="174" w:lineRule="exact"/>
        <w:rPr>
          <w:rFonts w:ascii="Arial" w:cs="Arial" w:eastAsia="Arial" w:hAnsi="Arial"/>
          <w:sz w:val="22"/>
          <w:szCs w:val="22"/>
          <w:color w:val="auto"/>
        </w:rPr>
      </w:pPr>
    </w:p>
    <w:p>
      <w:pPr>
        <w:ind w:left="1860" w:hanging="380"/>
        <w:spacing w:after="0"/>
        <w:tabs>
          <w:tab w:leader="none" w:pos="1860"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Term of Option</w:t>
      </w:r>
      <w:r>
        <w:rPr>
          <w:rFonts w:ascii="Arial" w:cs="Arial" w:eastAsia="Arial" w:hAnsi="Arial"/>
          <w:sz w:val="19"/>
          <w:szCs w:val="19"/>
          <w:color w:val="auto"/>
        </w:rPr>
        <w:t>. The term of each Option will be stated in the Award Agreement.</w:t>
      </w:r>
    </w:p>
    <w:p>
      <w:pPr>
        <w:spacing w:after="0" w:line="240" w:lineRule="exact"/>
        <w:rPr>
          <w:rFonts w:ascii="Arial" w:cs="Arial" w:eastAsia="Arial" w:hAnsi="Arial"/>
          <w:sz w:val="19"/>
          <w:szCs w:val="19"/>
          <w:color w:val="auto"/>
        </w:rPr>
      </w:pPr>
    </w:p>
    <w:p>
      <w:pPr>
        <w:ind w:left="1860" w:hanging="380"/>
        <w:spacing w:after="0"/>
        <w:tabs>
          <w:tab w:leader="none" w:pos="1860"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Option Exercise Price and Consideration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0" w:firstLine="2092"/>
        <w:spacing w:after="0" w:line="328" w:lineRule="auto"/>
        <w:tabs>
          <w:tab w:leader="none" w:pos="2850" w:val="left"/>
        </w:tabs>
        <w:numPr>
          <w:ilvl w:val="2"/>
          <w:numId w:val="39"/>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per share exercise price for the Shares to be issued pursuant to exercise of an Option will be determined by the Administrator, subject to the following:</w:t>
      </w:r>
    </w:p>
    <w:p>
      <w:pPr>
        <w:spacing w:after="0" w:line="104" w:lineRule="exact"/>
        <w:rPr>
          <w:rFonts w:ascii="Arial" w:cs="Arial" w:eastAsia="Arial" w:hAnsi="Arial"/>
          <w:sz w:val="19"/>
          <w:szCs w:val="19"/>
          <w:color w:val="auto"/>
        </w:rPr>
      </w:pPr>
    </w:p>
    <w:p>
      <w:pPr>
        <w:ind w:left="3180" w:hanging="404"/>
        <w:spacing w:after="0"/>
        <w:tabs>
          <w:tab w:leader="none" w:pos="3180" w:val="left"/>
        </w:tabs>
        <w:numPr>
          <w:ilvl w:val="3"/>
          <w:numId w:val="39"/>
        </w:numPr>
        <w:rPr>
          <w:rFonts w:ascii="Arial" w:cs="Arial" w:eastAsia="Arial" w:hAnsi="Arial"/>
          <w:sz w:val="19"/>
          <w:szCs w:val="19"/>
          <w:color w:val="auto"/>
        </w:rPr>
      </w:pPr>
      <w:r>
        <w:rPr>
          <w:rFonts w:ascii="Arial" w:cs="Arial" w:eastAsia="Arial" w:hAnsi="Arial"/>
          <w:sz w:val="19"/>
          <w:szCs w:val="19"/>
          <w:color w:val="auto"/>
        </w:rPr>
        <w:t>The per Share exercise price of an Option will be no less than one</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hundred percent (100%) of the Fair Market Value per Share on the date of grant.</w:t>
      </w:r>
    </w:p>
    <w:p>
      <w:pPr>
        <w:spacing w:after="0" w:line="188" w:lineRule="exact"/>
        <w:rPr>
          <w:rFonts w:ascii="Arial" w:cs="Arial" w:eastAsia="Arial" w:hAnsi="Arial"/>
          <w:sz w:val="19"/>
          <w:szCs w:val="19"/>
          <w:color w:val="auto"/>
        </w:rPr>
      </w:pPr>
    </w:p>
    <w:p>
      <w:pPr>
        <w:jc w:val="both"/>
        <w:ind w:left="180" w:firstLine="2596"/>
        <w:spacing w:after="0" w:line="238" w:lineRule="auto"/>
        <w:tabs>
          <w:tab w:leader="none" w:pos="3172" w:val="left"/>
        </w:tabs>
        <w:numPr>
          <w:ilvl w:val="3"/>
          <w:numId w:val="39"/>
        </w:numPr>
        <w:rPr>
          <w:rFonts w:ascii="Arial" w:cs="Arial" w:eastAsia="Arial" w:hAnsi="Arial"/>
          <w:sz w:val="22"/>
          <w:szCs w:val="22"/>
          <w:color w:val="auto"/>
        </w:rPr>
      </w:pPr>
      <w:r>
        <w:rPr>
          <w:rFonts w:ascii="Arial" w:cs="Arial" w:eastAsia="Arial" w:hAnsi="Arial"/>
          <w:sz w:val="22"/>
          <w:szCs w:val="22"/>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2116455</wp:posOffset>
            </wp:positionH>
            <wp:positionV relativeFrom="paragraph">
              <wp:posOffset>-2705735</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5" w:lineRule="exact"/>
        <w:rPr>
          <w:sz w:val="20"/>
          <w:szCs w:val="20"/>
          <w:color w:val="auto"/>
        </w:rPr>
      </w:pPr>
    </w:p>
    <w:p>
      <w:pPr>
        <w:jc w:val="both"/>
        <w:ind w:left="180" w:firstLine="2056"/>
        <w:spacing w:after="0"/>
        <w:tabs>
          <w:tab w:leader="none" w:pos="2887"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Waiting Period and Exercise Dates</w:t>
      </w:r>
      <w:r>
        <w:rPr>
          <w:rFonts w:ascii="Arial" w:cs="Arial" w:eastAsia="Arial" w:hAnsi="Arial"/>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86" w:lineRule="exact"/>
        <w:rPr>
          <w:sz w:val="20"/>
          <w:szCs w:val="20"/>
          <w:color w:val="auto"/>
        </w:rPr>
      </w:pPr>
    </w:p>
    <w:p>
      <w:pPr>
        <w:jc w:val="both"/>
        <w:ind w:left="180" w:firstLine="2020"/>
        <w:spacing w:after="0" w:line="282" w:lineRule="auto"/>
        <w:tabs>
          <w:tab w:leader="none" w:pos="299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Form of Consideration</w:t>
      </w:r>
      <w:r>
        <w:rPr>
          <w:rFonts w:ascii="Arial" w:cs="Arial" w:eastAsia="Arial" w:hAnsi="Arial"/>
          <w:sz w:val="19"/>
          <w:szCs w:val="19"/>
          <w:color w:val="auto"/>
        </w:rPr>
        <w:t>. The Administrator will determine the acceptable form of consideration for exercising an Option, including the method of payment.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78" w:name="page79"/>
    <w:bookmarkEnd w:id="78"/>
    <w:p>
      <w:pPr>
        <w:jc w:val="both"/>
        <w:ind w:left="180"/>
        <w:spacing w:after="0" w:line="279" w:lineRule="auto"/>
        <w:rPr>
          <w:sz w:val="20"/>
          <w:szCs w:val="20"/>
          <w:color w:val="auto"/>
        </w:rPr>
      </w:pPr>
      <w:r>
        <w:rPr>
          <w:rFonts w:ascii="Arial" w:cs="Arial" w:eastAsia="Arial" w:hAnsi="Arial"/>
          <w:sz w:val="19"/>
          <w:szCs w:val="19"/>
          <w:color w:val="auto"/>
        </w:rPr>
        <w:t>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51" w:lineRule="exact"/>
        <w:rPr>
          <w:sz w:val="20"/>
          <w:szCs w:val="20"/>
          <w:color w:val="auto"/>
        </w:rPr>
      </w:pPr>
    </w:p>
    <w:p>
      <w:pPr>
        <w:ind w:left="1880" w:hanging="400"/>
        <w:spacing w:after="0"/>
        <w:tabs>
          <w:tab w:leader="none" w:pos="188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2092"/>
        <w:spacing w:after="0" w:line="238" w:lineRule="auto"/>
        <w:tabs>
          <w:tab w:leader="none" w:pos="2863"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Procedure for Exercise; Rights as a Stockholder</w:t>
      </w:r>
      <w:r>
        <w:rPr>
          <w:rFonts w:ascii="Arial" w:cs="Arial" w:eastAsia="Arial" w:hAnsi="Arial"/>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5"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An Option will be deemed exercised when the Company receives:</w:t>
      </w:r>
    </w:p>
    <w:p>
      <w:pPr>
        <w:spacing w:after="0" w:line="20" w:lineRule="exact"/>
        <w:rPr>
          <w:sz w:val="20"/>
          <w:szCs w:val="20"/>
          <w:color w:val="auto"/>
        </w:rPr>
      </w:pPr>
    </w:p>
    <w:p>
      <w:pPr>
        <w:jc w:val="both"/>
        <w:ind w:left="180" w:firstLine="4"/>
        <w:spacing w:after="0" w:line="243" w:lineRule="auto"/>
        <w:tabs>
          <w:tab w:leader="none" w:pos="446" w:val="left"/>
        </w:tabs>
        <w:numPr>
          <w:ilvl w:val="0"/>
          <w:numId w:val="43"/>
        </w:numPr>
        <w:rPr>
          <w:rFonts w:ascii="Arial" w:cs="Arial" w:eastAsia="Arial" w:hAnsi="Arial"/>
          <w:sz w:val="21"/>
          <w:szCs w:val="21"/>
          <w:color w:val="auto"/>
        </w:rPr>
      </w:pPr>
      <w:r>
        <w:rPr>
          <w:rFonts w:ascii="Arial" w:cs="Arial" w:eastAsia="Arial" w:hAnsi="Arial"/>
          <w:sz w:val="21"/>
          <w:szCs w:val="21"/>
          <w:color w:val="auto"/>
        </w:rPr>
        <w:t>notice of exercise (in accordance with the procedures that the Administrator may specify from time to time) from the person entitled to exercise the Option, and (ii) full payment for the Shares with respect to which the Option is exercised (together with any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The Company will issue (or cause to be issued) such Shares promptly after the Option is exercised.</w:t>
      </w:r>
    </w:p>
    <w:p>
      <w:pPr>
        <w:spacing w:after="0" w:line="186" w:lineRule="exact"/>
        <w:rPr>
          <w:sz w:val="20"/>
          <w:szCs w:val="20"/>
          <w:color w:val="auto"/>
        </w:rPr>
      </w:pPr>
    </w:p>
    <w:p>
      <w:pPr>
        <w:jc w:val="both"/>
        <w:ind w:left="180" w:firstLine="1944"/>
        <w:spacing w:after="0"/>
        <w:rPr>
          <w:sz w:val="20"/>
          <w:szCs w:val="20"/>
          <w:color w:val="auto"/>
        </w:rPr>
      </w:pPr>
      <w:r>
        <w:rPr>
          <w:rFonts w:ascii="Arial" w:cs="Arial" w:eastAsia="Arial" w:hAnsi="Arial"/>
          <w:sz w:val="22"/>
          <w:szCs w:val="22"/>
          <w:color w:val="auto"/>
        </w:rPr>
        <w:t>Exercising an Option in any manner will decrease the number of Shares thereafter available, both for purposes of the Plan and for sale under the Option, by the number of Shares as to which the Option is exercised.</w:t>
      </w:r>
    </w:p>
    <w:p>
      <w:pPr>
        <w:spacing w:after="0" w:line="186" w:lineRule="exact"/>
        <w:rPr>
          <w:sz w:val="20"/>
          <w:szCs w:val="20"/>
          <w:color w:val="auto"/>
        </w:rPr>
      </w:pPr>
    </w:p>
    <w:p>
      <w:pPr>
        <w:jc w:val="both"/>
        <w:ind w:left="180" w:firstLine="2056"/>
        <w:spacing w:after="0" w:line="272" w:lineRule="auto"/>
        <w:tabs>
          <w:tab w:leader="none" w:pos="2914"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Termination of Relationship as a Service Provider</w:t>
      </w:r>
      <w:r>
        <w:rPr>
          <w:rFonts w:ascii="Arial" w:cs="Arial" w:eastAsia="Arial" w:hAnsi="Arial"/>
          <w:sz w:val="19"/>
          <w:szCs w:val="19"/>
          <w:color w:val="auto"/>
        </w:rPr>
        <w:t>.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three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by the Administrator, the Option will terminate, and the Shares covered by such Option will revert to the Plan.</w:t>
      </w:r>
    </w:p>
    <w:p>
      <w:pPr>
        <w:spacing w:after="0" w:line="200" w:lineRule="exact"/>
        <w:rPr>
          <w:sz w:val="20"/>
          <w:szCs w:val="20"/>
          <w:color w:val="auto"/>
        </w:rPr>
      </w:pPr>
    </w:p>
    <w:p>
      <w:pPr>
        <w:spacing w:after="0" w:line="204" w:lineRule="exact"/>
        <w:rPr>
          <w:sz w:val="20"/>
          <w:szCs w:val="20"/>
          <w:color w:val="auto"/>
        </w:rPr>
      </w:pPr>
    </w:p>
    <w:p>
      <w:pPr>
        <w:jc w:val="both"/>
        <w:ind w:left="180" w:firstLine="2020"/>
        <w:spacing w:after="0" w:line="282" w:lineRule="auto"/>
        <w:tabs>
          <w:tab w:leader="none" w:pos="295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Disability of Participant</w:t>
      </w:r>
      <w:r>
        <w:rPr>
          <w:rFonts w:ascii="Arial" w:cs="Arial" w:eastAsia="Arial" w:hAnsi="Arial"/>
          <w:sz w:val="19"/>
          <w:szCs w:val="19"/>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79" w:name="page80"/>
    <w:bookmarkEnd w:id="79"/>
    <w:p>
      <w:pPr>
        <w:jc w:val="both"/>
        <w:ind w:left="180"/>
        <w:spacing w:after="0" w:line="247" w:lineRule="auto"/>
        <w:rPr>
          <w:sz w:val="20"/>
          <w:szCs w:val="20"/>
          <w:color w:val="auto"/>
        </w:rPr>
      </w:pPr>
      <w:r>
        <w:rPr>
          <w:rFonts w:ascii="Arial" w:cs="Arial" w:eastAsia="Arial" w:hAnsi="Arial"/>
          <w:sz w:val="21"/>
          <w:szCs w:val="21"/>
          <w:color w:val="auto"/>
        </w:rPr>
        <w:t>Award Agreement, the Option will remain exercisable for twelve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herein, the Option will terminate, and the Shares covered by such Option will revert to the Plan.</w:t>
      </w:r>
    </w:p>
    <w:p>
      <w:pPr>
        <w:spacing w:after="0" w:line="178" w:lineRule="exact"/>
        <w:rPr>
          <w:sz w:val="20"/>
          <w:szCs w:val="20"/>
          <w:color w:val="auto"/>
        </w:rPr>
      </w:pPr>
    </w:p>
    <w:p>
      <w:pPr>
        <w:jc w:val="both"/>
        <w:ind w:left="180" w:firstLine="2020"/>
        <w:spacing w:after="0" w:line="243" w:lineRule="auto"/>
        <w:tabs>
          <w:tab w:leader="none" w:pos="2886"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Death of Participant</w:t>
      </w:r>
      <w:r>
        <w:rPr>
          <w:rFonts w:ascii="Arial" w:cs="Arial" w:eastAsia="Arial" w:hAnsi="Arial"/>
          <w:sz w:val="21"/>
          <w:szCs w:val="21"/>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93" w:lineRule="exact"/>
        <w:rPr>
          <w:sz w:val="20"/>
          <w:szCs w:val="20"/>
          <w:color w:val="auto"/>
        </w:rPr>
      </w:pPr>
    </w:p>
    <w:p>
      <w:pPr>
        <w:ind w:left="2220"/>
        <w:spacing w:after="0"/>
        <w:tabs>
          <w:tab w:leader="none" w:pos="2820" w:val="left"/>
        </w:tabs>
        <w:rPr>
          <w:sz w:val="20"/>
          <w:szCs w:val="20"/>
          <w:color w:val="auto"/>
        </w:rPr>
      </w:pPr>
      <w:r>
        <w:rPr>
          <w:rFonts w:ascii="Arial" w:cs="Arial" w:eastAsia="Arial" w:hAnsi="Arial"/>
          <w:sz w:val="19"/>
          <w:szCs w:val="19"/>
          <w:color w:val="auto"/>
        </w:rPr>
        <w:t>(v)</w:t>
      </w:r>
      <w:r>
        <w:rPr>
          <w:sz w:val="20"/>
          <w:szCs w:val="20"/>
          <w:color w:val="auto"/>
        </w:rPr>
        <w:tab/>
      </w:r>
      <w:r>
        <w:rPr>
          <w:rFonts w:ascii="Arial" w:cs="Arial" w:eastAsia="Arial" w:hAnsi="Arial"/>
          <w:sz w:val="19"/>
          <w:szCs w:val="19"/>
          <w:u w:val="single" w:color="auto"/>
          <w:color w:val="auto"/>
        </w:rPr>
        <w:t>Tolling Expiration</w:t>
      </w:r>
      <w:r>
        <w:rPr>
          <w:rFonts w:ascii="Arial" w:cs="Arial" w:eastAsia="Arial" w:hAnsi="Arial"/>
          <w:sz w:val="19"/>
          <w:szCs w:val="19"/>
          <w:color w:val="auto"/>
        </w:rPr>
        <w:t>. A Participant’s Award Agreement also may provide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that:</w:t>
      </w:r>
    </w:p>
    <w:p>
      <w:pPr>
        <w:spacing w:after="0" w:line="188" w:lineRule="exact"/>
        <w:rPr>
          <w:sz w:val="20"/>
          <w:szCs w:val="20"/>
          <w:color w:val="auto"/>
        </w:rPr>
      </w:pPr>
    </w:p>
    <w:p>
      <w:pPr>
        <w:jc w:val="both"/>
        <w:ind w:left="180" w:firstLine="2596"/>
        <w:spacing w:after="0" w:line="265" w:lineRule="auto"/>
        <w:tabs>
          <w:tab w:leader="none" w:pos="3159" w:val="left"/>
        </w:tabs>
        <w:numPr>
          <w:ilvl w:val="2"/>
          <w:numId w:val="47"/>
        </w:numPr>
        <w:rPr>
          <w:rFonts w:ascii="Arial" w:cs="Arial" w:eastAsia="Arial" w:hAnsi="Arial"/>
          <w:sz w:val="20"/>
          <w:szCs w:val="20"/>
          <w:color w:val="auto"/>
        </w:rPr>
      </w:pPr>
      <w:r>
        <w:rPr>
          <w:rFonts w:ascii="Arial" w:cs="Arial" w:eastAsia="Arial" w:hAnsi="Arial"/>
          <w:sz w:val="20"/>
          <w:szCs w:val="20"/>
          <w:color w:val="auto"/>
        </w:rPr>
        <w:t>if the exercise of the Option following the cessation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Arial" w:cs="Arial" w:eastAsia="Arial" w:hAnsi="Arial"/>
          <w:sz w:val="10"/>
          <w:szCs w:val="10"/>
          <w:color w:val="auto"/>
        </w:rPr>
        <w:t>th</w:t>
      </w:r>
      <w:r>
        <w:rPr>
          <w:rFonts w:ascii="Arial" w:cs="Arial" w:eastAsia="Arial" w:hAnsi="Arial"/>
          <w:sz w:val="20"/>
          <w:szCs w:val="20"/>
          <w:color w:val="auto"/>
        </w:rPr>
        <w:t>) day after the last date on which such exercise would result in liability under Section 16(b); or</w:t>
      </w:r>
    </w:p>
    <w:p>
      <w:pPr>
        <w:spacing w:after="0" w:line="161" w:lineRule="exact"/>
        <w:rPr>
          <w:rFonts w:ascii="Arial" w:cs="Arial" w:eastAsia="Arial" w:hAnsi="Arial"/>
          <w:sz w:val="20"/>
          <w:szCs w:val="20"/>
          <w:color w:val="auto"/>
        </w:rPr>
      </w:pPr>
    </w:p>
    <w:p>
      <w:pPr>
        <w:jc w:val="both"/>
        <w:ind w:left="180" w:firstLine="2596"/>
        <w:spacing w:after="0" w:line="234" w:lineRule="auto"/>
        <w:tabs>
          <w:tab w:leader="none" w:pos="3240" w:val="left"/>
        </w:tabs>
        <w:numPr>
          <w:ilvl w:val="2"/>
          <w:numId w:val="47"/>
        </w:numPr>
        <w:rPr>
          <w:rFonts w:ascii="Arial" w:cs="Arial" w:eastAsia="Arial" w:hAnsi="Arial"/>
          <w:sz w:val="22"/>
          <w:szCs w:val="22"/>
          <w:color w:val="auto"/>
        </w:rPr>
      </w:pPr>
      <w:r>
        <w:rPr>
          <w:rFonts w:ascii="Arial" w:cs="Arial" w:eastAsia="Arial" w:hAnsi="Arial"/>
          <w:sz w:val="22"/>
          <w:szCs w:val="22"/>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 days after the cessation of the Participant’s status as a Service Provider during which the exercise of the Option would not be in violation of such registration requirements.</w:t>
      </w:r>
    </w:p>
    <w:p>
      <w:pPr>
        <w:spacing w:after="0" w:line="190" w:lineRule="exact"/>
        <w:rPr>
          <w:rFonts w:ascii="Arial" w:cs="Arial" w:eastAsia="Arial" w:hAnsi="Arial"/>
          <w:sz w:val="22"/>
          <w:szCs w:val="22"/>
          <w:color w:val="auto"/>
        </w:rPr>
      </w:pPr>
    </w:p>
    <w:p>
      <w:pPr>
        <w:ind w:left="1180" w:hanging="348"/>
        <w:spacing w:after="0"/>
        <w:tabs>
          <w:tab w:leader="none" w:pos="118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57" w:lineRule="auto"/>
        <w:tabs>
          <w:tab w:leader="none" w:pos="1878"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Grant of Restricted Stock</w:t>
      </w:r>
      <w:r>
        <w:rPr>
          <w:rFonts w:ascii="Arial" w:cs="Arial" w:eastAsia="Arial" w:hAnsi="Arial"/>
          <w:sz w:val="21"/>
          <w:szCs w:val="21"/>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80" w:name="page81"/>
    <w:bookmarkEnd w:id="80"/>
    <w:p>
      <w:pPr>
        <w:jc w:val="both"/>
        <w:ind w:left="180" w:firstLine="1300"/>
        <w:spacing w:after="0" w:line="249" w:lineRule="auto"/>
        <w:tabs>
          <w:tab w:leader="none" w:pos="1863"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Restricted Stock Agreement</w:t>
      </w:r>
      <w:r>
        <w:rPr>
          <w:rFonts w:ascii="Arial" w:cs="Arial" w:eastAsia="Arial" w:hAnsi="Arial"/>
          <w:sz w:val="21"/>
          <w:szCs w:val="21"/>
          <w:color w:val="auto"/>
        </w:rPr>
        <w:t>. Each Award of Restricted Stock will be evidenced by an Award Agreement that will specify any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8" w:lineRule="exact"/>
        <w:rPr>
          <w:rFonts w:ascii="Arial" w:cs="Arial" w:eastAsia="Arial" w:hAnsi="Arial"/>
          <w:sz w:val="21"/>
          <w:szCs w:val="21"/>
          <w:color w:val="auto"/>
        </w:rPr>
      </w:pPr>
    </w:p>
    <w:p>
      <w:pPr>
        <w:jc w:val="both"/>
        <w:ind w:left="180" w:firstLine="1300"/>
        <w:spacing w:after="0"/>
        <w:tabs>
          <w:tab w:leader="none" w:pos="1878"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Except as provided in this Section 7 or the Award Agreement, Shares of Restricted Stock may not be sold, transferred, pledged, assigned, or otherwise alienated or hypothecated until the end of any applicable Period of Restriction.</w:t>
      </w:r>
    </w:p>
    <w:p>
      <w:pPr>
        <w:spacing w:after="0" w:line="186" w:lineRule="exact"/>
        <w:rPr>
          <w:rFonts w:ascii="Arial" w:cs="Arial" w:eastAsia="Arial" w:hAnsi="Arial"/>
          <w:sz w:val="22"/>
          <w:szCs w:val="22"/>
          <w:color w:val="auto"/>
        </w:rPr>
      </w:pPr>
    </w:p>
    <w:p>
      <w:pPr>
        <w:ind w:left="180" w:firstLine="1300"/>
        <w:spacing w:after="0" w:line="274" w:lineRule="auto"/>
        <w:tabs>
          <w:tab w:leader="none" w:pos="1903"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Other Restrictions</w:t>
      </w:r>
      <w:r>
        <w:rPr>
          <w:rFonts w:ascii="Arial" w:cs="Arial" w:eastAsia="Arial" w:hAnsi="Arial"/>
          <w:sz w:val="21"/>
          <w:szCs w:val="21"/>
          <w:color w:val="auto"/>
        </w:rPr>
        <w:t>. The Administrator, in its sole discretion, may impose such other restrictions on Shares of Restricted Stock as it may deem advisable or appropriate.</w:t>
      </w:r>
    </w:p>
    <w:p>
      <w:pPr>
        <w:spacing w:after="0" w:line="150" w:lineRule="exact"/>
        <w:rPr>
          <w:rFonts w:ascii="Arial" w:cs="Arial" w:eastAsia="Arial" w:hAnsi="Arial"/>
          <w:sz w:val="21"/>
          <w:szCs w:val="21"/>
          <w:color w:val="auto"/>
        </w:rPr>
      </w:pPr>
    </w:p>
    <w:p>
      <w:pPr>
        <w:jc w:val="both"/>
        <w:ind w:left="180" w:firstLine="1300"/>
        <w:spacing w:after="0" w:line="249" w:lineRule="auto"/>
        <w:tabs>
          <w:tab w:leader="none" w:pos="1851"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Removal of Restrictions</w:t>
      </w:r>
      <w:r>
        <w:rPr>
          <w:rFonts w:ascii="Arial" w:cs="Arial" w:eastAsia="Arial" w:hAnsi="Arial"/>
          <w:sz w:val="21"/>
          <w:szCs w:val="21"/>
          <w:color w:val="auto"/>
        </w:rPr>
        <w:t>.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The Administrator, in its discretion, may accelerate the time at which any restrictions will lapse or be removed.</w:t>
      </w:r>
    </w:p>
    <w:p>
      <w:pPr>
        <w:spacing w:after="0" w:line="178" w:lineRule="exact"/>
        <w:rPr>
          <w:rFonts w:ascii="Arial" w:cs="Arial" w:eastAsia="Arial" w:hAnsi="Arial"/>
          <w:sz w:val="21"/>
          <w:szCs w:val="21"/>
          <w:color w:val="auto"/>
        </w:rPr>
      </w:pPr>
    </w:p>
    <w:p>
      <w:pPr>
        <w:jc w:val="both"/>
        <w:ind w:left="180" w:firstLine="1300"/>
        <w:spacing w:after="0"/>
        <w:tabs>
          <w:tab w:leader="none" w:pos="1908"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 During any applicable Period of Restriction, Service Providers holding Shares of Restricted Stock granted hereunder may exercise full voting rights with respect to those Shares, unless the Administrator determines otherwise.</w:t>
      </w:r>
    </w:p>
    <w:p>
      <w:pPr>
        <w:spacing w:after="0" w:line="186" w:lineRule="exact"/>
        <w:rPr>
          <w:rFonts w:ascii="Arial" w:cs="Arial" w:eastAsia="Arial" w:hAnsi="Arial"/>
          <w:sz w:val="22"/>
          <w:szCs w:val="22"/>
          <w:color w:val="auto"/>
        </w:rPr>
      </w:pPr>
    </w:p>
    <w:p>
      <w:pPr>
        <w:jc w:val="both"/>
        <w:ind w:left="180" w:firstLine="1300"/>
        <w:spacing w:after="0"/>
        <w:tabs>
          <w:tab w:leader="none" w:pos="1903"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Return of Restricted Stock to Company</w:t>
      </w:r>
      <w:r>
        <w:rPr>
          <w:rFonts w:ascii="Arial" w:cs="Arial" w:eastAsia="Arial" w:hAnsi="Arial"/>
          <w:sz w:val="22"/>
          <w:szCs w:val="22"/>
          <w:color w:val="auto"/>
        </w:rPr>
        <w:t>. On the date set forth in the Award Agreement, the Restricted Stock for which restrictions have not lapsed will revert to the Company and again will become available for grant under the Plan.</w:t>
      </w:r>
    </w:p>
    <w:p>
      <w:pPr>
        <w:spacing w:after="0" w:line="186" w:lineRule="exact"/>
        <w:rPr>
          <w:rFonts w:ascii="Arial" w:cs="Arial" w:eastAsia="Arial" w:hAnsi="Arial"/>
          <w:sz w:val="22"/>
          <w:szCs w:val="22"/>
          <w:color w:val="auto"/>
        </w:rPr>
      </w:pPr>
    </w:p>
    <w:p>
      <w:pPr>
        <w:ind w:left="1180" w:hanging="348"/>
        <w:spacing w:after="0"/>
        <w:tabs>
          <w:tab w:leader="none" w:pos="118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87" w:lineRule="auto"/>
        <w:tabs>
          <w:tab w:leader="none" w:pos="1851"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42" w:lineRule="exact"/>
        <w:rPr>
          <w:rFonts w:ascii="Arial" w:cs="Arial" w:eastAsia="Arial" w:hAnsi="Arial"/>
          <w:sz w:val="19"/>
          <w:szCs w:val="19"/>
          <w:color w:val="auto"/>
        </w:rPr>
      </w:pPr>
    </w:p>
    <w:p>
      <w:pPr>
        <w:jc w:val="both"/>
        <w:ind w:left="180" w:firstLine="1300"/>
        <w:spacing w:after="0" w:line="279" w:lineRule="auto"/>
        <w:tabs>
          <w:tab w:leader="none" w:pos="1863"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Vesting Criteria and Other Terms</w:t>
      </w:r>
      <w:r>
        <w:rPr>
          <w:rFonts w:ascii="Arial" w:cs="Arial" w:eastAsia="Arial" w:hAnsi="Arial"/>
          <w:sz w:val="19"/>
          <w:szCs w:val="19"/>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50" w:lineRule="exact"/>
        <w:rPr>
          <w:rFonts w:ascii="Arial" w:cs="Arial" w:eastAsia="Arial" w:hAnsi="Arial"/>
          <w:sz w:val="19"/>
          <w:szCs w:val="19"/>
          <w:color w:val="auto"/>
        </w:rPr>
      </w:pPr>
    </w:p>
    <w:p>
      <w:pPr>
        <w:jc w:val="both"/>
        <w:ind w:left="180" w:firstLine="1300"/>
        <w:spacing w:after="0" w:line="287" w:lineRule="auto"/>
        <w:tabs>
          <w:tab w:leader="none" w:pos="1864"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Earning Restricted Stock Units</w:t>
      </w:r>
      <w:r>
        <w:rPr>
          <w:rFonts w:ascii="Arial" w:cs="Arial" w:eastAsia="Arial" w:hAnsi="Arial"/>
          <w:sz w:val="19"/>
          <w:szCs w:val="19"/>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42" w:lineRule="exact"/>
        <w:rPr>
          <w:rFonts w:ascii="Arial" w:cs="Arial" w:eastAsia="Arial" w:hAnsi="Arial"/>
          <w:sz w:val="19"/>
          <w:szCs w:val="19"/>
          <w:color w:val="auto"/>
        </w:rPr>
      </w:pPr>
    </w:p>
    <w:p>
      <w:pPr>
        <w:ind w:left="180" w:firstLine="1300"/>
        <w:spacing w:after="0" w:line="328" w:lineRule="auto"/>
        <w:tabs>
          <w:tab w:leader="none" w:pos="1876"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Form and Timing of Payment</w:t>
      </w:r>
      <w:r>
        <w:rPr>
          <w:rFonts w:ascii="Arial" w:cs="Arial" w:eastAsia="Arial" w:hAnsi="Arial"/>
          <w:sz w:val="19"/>
          <w:szCs w:val="19"/>
          <w:color w:val="auto"/>
        </w:rPr>
        <w:t>. Payment of earned Restricted Stock Units will be made as soon as practicable after the date(s) determined by the Administrator and set forth in the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81" w:name="page82"/>
    <w:bookmarkEnd w:id="81"/>
    <w:p>
      <w:pPr>
        <w:ind w:left="180"/>
        <w:spacing w:after="0" w:line="251" w:lineRule="auto"/>
        <w:rPr>
          <w:sz w:val="20"/>
          <w:szCs w:val="20"/>
          <w:color w:val="auto"/>
        </w:rPr>
      </w:pPr>
      <w:r>
        <w:rPr>
          <w:rFonts w:ascii="Arial" w:cs="Arial" w:eastAsia="Arial" w:hAnsi="Arial"/>
          <w:sz w:val="22"/>
          <w:szCs w:val="22"/>
          <w:color w:val="auto"/>
        </w:rPr>
        <w:t>Award Agreement. The Administrator, in its sole discretion, may settle earned Restricted Stock Units only in cash, Shares, or a combination of both.</w:t>
      </w:r>
    </w:p>
    <w:p>
      <w:pPr>
        <w:spacing w:after="0" w:line="173" w:lineRule="exact"/>
        <w:rPr>
          <w:sz w:val="20"/>
          <w:szCs w:val="20"/>
          <w:color w:val="auto"/>
        </w:rPr>
      </w:pPr>
    </w:p>
    <w:p>
      <w:pPr>
        <w:ind w:left="180" w:firstLine="1300"/>
        <w:spacing w:after="0" w:line="250" w:lineRule="auto"/>
        <w:tabs>
          <w:tab w:leader="none" w:pos="1918"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Cancellation</w:t>
      </w:r>
      <w:r>
        <w:rPr>
          <w:rFonts w:ascii="Arial" w:cs="Arial" w:eastAsia="Arial" w:hAnsi="Arial"/>
          <w:sz w:val="22"/>
          <w:szCs w:val="22"/>
          <w:color w:val="auto"/>
        </w:rPr>
        <w:t>. On the date set forth in the Award Agreement, all unearned Restricted Stock Units will be forfeited to the Company.</w:t>
      </w:r>
    </w:p>
    <w:p>
      <w:pPr>
        <w:spacing w:after="0" w:line="174" w:lineRule="exact"/>
        <w:rPr>
          <w:rFonts w:ascii="Arial" w:cs="Arial" w:eastAsia="Arial" w:hAnsi="Arial"/>
          <w:sz w:val="22"/>
          <w:szCs w:val="22"/>
          <w:color w:val="auto"/>
        </w:rPr>
      </w:pPr>
    </w:p>
    <w:p>
      <w:pPr>
        <w:ind w:left="1180" w:hanging="348"/>
        <w:spacing w:after="0"/>
        <w:tabs>
          <w:tab w:leader="none" w:pos="11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tabs>
          <w:tab w:leader="none" w:pos="1878"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Grant of Stock Appreciation Rights</w:t>
      </w:r>
      <w:r>
        <w:rPr>
          <w:rFonts w:ascii="Arial" w:cs="Arial" w:eastAsia="Arial" w:hAnsi="Arial"/>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86" w:lineRule="exact"/>
        <w:rPr>
          <w:rFonts w:ascii="Arial" w:cs="Arial" w:eastAsia="Arial" w:hAnsi="Arial"/>
          <w:sz w:val="22"/>
          <w:szCs w:val="22"/>
          <w:color w:val="auto"/>
        </w:rPr>
      </w:pPr>
    </w:p>
    <w:p>
      <w:pPr>
        <w:ind w:left="180" w:firstLine="1300"/>
        <w:spacing w:after="0" w:line="250" w:lineRule="auto"/>
        <w:tabs>
          <w:tab w:leader="none" w:pos="1876"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 The Administrator will have complete discretion to determine the number of Stock Appreciation Rights granted to any Service Provider.</w:t>
      </w:r>
    </w:p>
    <w:p>
      <w:pPr>
        <w:spacing w:after="0" w:line="174" w:lineRule="exact"/>
        <w:rPr>
          <w:rFonts w:ascii="Arial" w:cs="Arial" w:eastAsia="Arial" w:hAnsi="Arial"/>
          <w:sz w:val="22"/>
          <w:szCs w:val="22"/>
          <w:color w:val="auto"/>
        </w:rPr>
      </w:pPr>
    </w:p>
    <w:p>
      <w:pPr>
        <w:jc w:val="both"/>
        <w:ind w:left="180" w:firstLine="1300"/>
        <w:spacing w:after="0" w:line="282" w:lineRule="auto"/>
        <w:tabs>
          <w:tab w:leader="none" w:pos="1864"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Exercise Price and Other Terms</w:t>
      </w:r>
      <w:r>
        <w:rPr>
          <w:rFonts w:ascii="Arial" w:cs="Arial" w:eastAsia="Arial" w:hAnsi="Arial"/>
          <w:sz w:val="19"/>
          <w:szCs w:val="19"/>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47" w:lineRule="exact"/>
        <w:rPr>
          <w:rFonts w:ascii="Arial" w:cs="Arial" w:eastAsia="Arial" w:hAnsi="Arial"/>
          <w:sz w:val="19"/>
          <w:szCs w:val="19"/>
          <w:color w:val="auto"/>
        </w:rPr>
      </w:pPr>
    </w:p>
    <w:p>
      <w:pPr>
        <w:jc w:val="both"/>
        <w:ind w:left="180" w:firstLine="1300"/>
        <w:spacing w:after="0" w:line="238" w:lineRule="auto"/>
        <w:tabs>
          <w:tab w:leader="none" w:pos="1863"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Stock Appreciation Right Agreement</w:t>
      </w:r>
      <w:r>
        <w:rPr>
          <w:rFonts w:ascii="Arial" w:cs="Arial" w:eastAsia="Arial" w:hAnsi="Arial"/>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84" w:lineRule="exact"/>
        <w:rPr>
          <w:rFonts w:ascii="Arial" w:cs="Arial" w:eastAsia="Arial" w:hAnsi="Arial"/>
          <w:sz w:val="22"/>
          <w:szCs w:val="22"/>
          <w:color w:val="auto"/>
        </w:rPr>
      </w:pPr>
    </w:p>
    <w:p>
      <w:pPr>
        <w:jc w:val="both"/>
        <w:ind w:left="180" w:firstLine="1300"/>
        <w:spacing w:after="0" w:line="238" w:lineRule="auto"/>
        <w:tabs>
          <w:tab w:leader="none" w:pos="1891"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Expiration of Stock Appreciation Rights</w:t>
      </w:r>
      <w:r>
        <w:rPr>
          <w:rFonts w:ascii="Arial" w:cs="Arial" w:eastAsia="Arial" w:hAnsi="Arial"/>
          <w:sz w:val="22"/>
          <w:szCs w:val="22"/>
          <w:color w:val="auto"/>
        </w:rPr>
        <w:t>. A Stock Appreciation Right granted under the Plan will expire upon the date as determined by the Administrator, in its sole discretion, and set forth in the Award Agreement. Notwithstanding the foregoing, the rules of Section 6(f) relating to exercise also will apply to Stock Appreciation Rights.</w:t>
      </w:r>
    </w:p>
    <w:p>
      <w:pPr>
        <w:spacing w:after="0" w:line="184" w:lineRule="exact"/>
        <w:rPr>
          <w:rFonts w:ascii="Arial" w:cs="Arial" w:eastAsia="Arial" w:hAnsi="Arial"/>
          <w:sz w:val="22"/>
          <w:szCs w:val="22"/>
          <w:color w:val="auto"/>
        </w:rPr>
      </w:pPr>
    </w:p>
    <w:p>
      <w:pPr>
        <w:jc w:val="both"/>
        <w:ind w:left="180" w:firstLine="1300"/>
        <w:spacing w:after="0"/>
        <w:tabs>
          <w:tab w:leader="none" w:pos="1935"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Payment of Stock Appreciation Right Amount</w:t>
      </w:r>
      <w:r>
        <w:rPr>
          <w:rFonts w:ascii="Arial" w:cs="Arial" w:eastAsia="Arial" w:hAnsi="Arial"/>
          <w:sz w:val="22"/>
          <w:szCs w:val="22"/>
          <w:color w:val="auto"/>
        </w:rPr>
        <w:t>. Upon exercise of a Stock Appreciation Right, a Participant will be entitled to receive payment from the Company in an amount determined as the product of:</w:t>
      </w:r>
    </w:p>
    <w:p>
      <w:pPr>
        <w:spacing w:after="0" w:line="186" w:lineRule="exact"/>
        <w:rPr>
          <w:sz w:val="20"/>
          <w:szCs w:val="20"/>
          <w:color w:val="auto"/>
        </w:rPr>
      </w:pPr>
    </w:p>
    <w:p>
      <w:pPr>
        <w:ind w:left="180" w:firstLine="2092"/>
        <w:spacing w:after="0" w:line="250" w:lineRule="auto"/>
        <w:tabs>
          <w:tab w:leader="none" w:pos="285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difference between the Fair Market Value of a Share on the date of exercise over the exercise price; and</w:t>
      </w:r>
    </w:p>
    <w:p>
      <w:pPr>
        <w:spacing w:after="0" w:line="175" w:lineRule="exact"/>
        <w:rPr>
          <w:sz w:val="20"/>
          <w:szCs w:val="20"/>
          <w:color w:val="auto"/>
        </w:rPr>
      </w:pPr>
    </w:p>
    <w:p>
      <w:pPr>
        <w:ind w:left="2900" w:hanging="664"/>
        <w:spacing w:after="0"/>
        <w:tabs>
          <w:tab w:leader="none" w:pos="29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number of Shares with respect to which the Stock Appreciation</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Right is exercised.</w:t>
      </w:r>
    </w:p>
    <w:p>
      <w:pPr>
        <w:spacing w:after="0" w:line="188" w:lineRule="exact"/>
        <w:rPr>
          <w:sz w:val="20"/>
          <w:szCs w:val="20"/>
          <w:color w:val="auto"/>
        </w:rPr>
      </w:pPr>
    </w:p>
    <w:p>
      <w:pPr>
        <w:ind w:left="180" w:firstLine="648"/>
        <w:spacing w:after="0" w:line="274" w:lineRule="auto"/>
        <w:rPr>
          <w:sz w:val="20"/>
          <w:szCs w:val="20"/>
          <w:color w:val="auto"/>
        </w:rPr>
      </w:pPr>
      <w:r>
        <w:rPr>
          <w:rFonts w:ascii="Arial" w:cs="Arial" w:eastAsia="Arial" w:hAnsi="Arial"/>
          <w:sz w:val="21"/>
          <w:szCs w:val="21"/>
          <w:color w:val="auto"/>
        </w:rPr>
        <w:t>At the discretion of the Administrator, the payment upon exercise of a Stock Appreciation Right may be in cash, in Shares of equivalent value, or in some combination of both.</w:t>
      </w:r>
    </w:p>
    <w:p>
      <w:pPr>
        <w:spacing w:after="0" w:line="151" w:lineRule="exact"/>
        <w:rPr>
          <w:sz w:val="20"/>
          <w:szCs w:val="20"/>
          <w:color w:val="auto"/>
        </w:rPr>
      </w:pPr>
    </w:p>
    <w:p>
      <w:pPr>
        <w:ind w:left="1220" w:hanging="388"/>
        <w:spacing w:after="0"/>
        <w:tabs>
          <w:tab w:leader="none" w:pos="122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Performance Units and Performance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0" w:firstLine="1300"/>
        <w:spacing w:after="0" w:line="328" w:lineRule="auto"/>
        <w:tabs>
          <w:tab w:leader="none" w:pos="1878"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Grant of Performance Units/Shares</w:t>
      </w:r>
      <w:r>
        <w:rPr>
          <w:rFonts w:ascii="Arial" w:cs="Arial" w:eastAsia="Arial" w:hAnsi="Arial"/>
          <w:sz w:val="19"/>
          <w:szCs w:val="19"/>
          <w:color w:val="auto"/>
        </w:rPr>
        <w:t>. Performance Units and Performance Shares may be granted to Service Providers at any time and from time to time, as will be determined</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82" w:name="page83"/>
    <w:bookmarkEnd w:id="82"/>
    <w:p>
      <w:pPr>
        <w:ind w:left="180"/>
        <w:spacing w:after="0" w:line="329" w:lineRule="auto"/>
        <w:rPr>
          <w:sz w:val="20"/>
          <w:szCs w:val="20"/>
          <w:color w:val="auto"/>
        </w:rPr>
      </w:pPr>
      <w:r>
        <w:rPr>
          <w:rFonts w:ascii="Arial" w:cs="Arial" w:eastAsia="Arial" w:hAnsi="Arial"/>
          <w:sz w:val="19"/>
          <w:szCs w:val="19"/>
          <w:color w:val="auto"/>
        </w:rPr>
        <w:t>by the Administrator, in its sole discretion. The Administrator will have complete discretion in determining the number of Performance Units and Performance Shares granted to each Participant.</w:t>
      </w:r>
    </w:p>
    <w:p>
      <w:pPr>
        <w:spacing w:after="0" w:line="104" w:lineRule="exact"/>
        <w:rPr>
          <w:sz w:val="20"/>
          <w:szCs w:val="20"/>
          <w:color w:val="auto"/>
        </w:rPr>
      </w:pPr>
    </w:p>
    <w:p>
      <w:pPr>
        <w:jc w:val="both"/>
        <w:ind w:left="180" w:firstLine="1300"/>
        <w:spacing w:after="0" w:line="297" w:lineRule="auto"/>
        <w:tabs>
          <w:tab w:leader="none" w:pos="1890"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Value of Performance Units/Shares</w:t>
      </w:r>
      <w:r>
        <w:rPr>
          <w:rFonts w:ascii="Arial" w:cs="Arial" w:eastAsia="Arial" w:hAnsi="Arial"/>
          <w:sz w:val="19"/>
          <w:szCs w:val="19"/>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33" w:lineRule="exact"/>
        <w:rPr>
          <w:rFonts w:ascii="Arial" w:cs="Arial" w:eastAsia="Arial" w:hAnsi="Arial"/>
          <w:sz w:val="19"/>
          <w:szCs w:val="19"/>
          <w:color w:val="auto"/>
        </w:rPr>
      </w:pPr>
    </w:p>
    <w:p>
      <w:pPr>
        <w:jc w:val="both"/>
        <w:ind w:left="180" w:firstLine="1300"/>
        <w:spacing w:after="0" w:line="273" w:lineRule="auto"/>
        <w:tabs>
          <w:tab w:leader="none" w:pos="1851"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Performance Objectives and Other Terms</w:t>
      </w:r>
      <w:r>
        <w:rPr>
          <w:rFonts w:ascii="Arial" w:cs="Arial" w:eastAsia="Arial" w:hAnsi="Arial"/>
          <w:sz w:val="19"/>
          <w:szCs w:val="19"/>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55" w:lineRule="exact"/>
        <w:rPr>
          <w:rFonts w:ascii="Arial" w:cs="Arial" w:eastAsia="Arial" w:hAnsi="Arial"/>
          <w:sz w:val="19"/>
          <w:szCs w:val="19"/>
          <w:color w:val="auto"/>
        </w:rPr>
      </w:pPr>
    </w:p>
    <w:p>
      <w:pPr>
        <w:jc w:val="both"/>
        <w:ind w:left="180" w:firstLine="1300"/>
        <w:spacing w:after="0" w:line="246" w:lineRule="auto"/>
        <w:tabs>
          <w:tab w:leader="none" w:pos="1863"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Earning of Performance Units/Shares</w:t>
      </w:r>
      <w:r>
        <w:rPr>
          <w:rFonts w:ascii="Arial" w:cs="Arial" w:eastAsia="Arial" w:hAnsi="Arial"/>
          <w:sz w:val="21"/>
          <w:szCs w:val="21"/>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4" w:lineRule="exact"/>
        <w:rPr>
          <w:rFonts w:ascii="Arial" w:cs="Arial" w:eastAsia="Arial" w:hAnsi="Arial"/>
          <w:sz w:val="21"/>
          <w:szCs w:val="21"/>
          <w:color w:val="auto"/>
        </w:rPr>
      </w:pPr>
    </w:p>
    <w:p>
      <w:pPr>
        <w:jc w:val="both"/>
        <w:ind w:left="180" w:firstLine="1300"/>
        <w:spacing w:after="0" w:line="235" w:lineRule="auto"/>
        <w:tabs>
          <w:tab w:leader="none" w:pos="1878"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 of Performance Units/Shares</w:t>
      </w:r>
      <w:r>
        <w:rPr>
          <w:rFonts w:ascii="Arial" w:cs="Arial" w:eastAsia="Arial" w:hAnsi="Arial"/>
          <w:sz w:val="22"/>
          <w:szCs w:val="22"/>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87" w:lineRule="exact"/>
        <w:rPr>
          <w:rFonts w:ascii="Arial" w:cs="Arial" w:eastAsia="Arial" w:hAnsi="Arial"/>
          <w:sz w:val="22"/>
          <w:szCs w:val="22"/>
          <w:color w:val="auto"/>
        </w:rPr>
      </w:pPr>
    </w:p>
    <w:p>
      <w:pPr>
        <w:jc w:val="both"/>
        <w:ind w:left="180" w:firstLine="1300"/>
        <w:spacing w:after="0"/>
        <w:tabs>
          <w:tab w:leader="none" w:pos="1908"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Cancellation of Performance Units/Shares</w:t>
      </w:r>
      <w:r>
        <w:rPr>
          <w:rFonts w:ascii="Arial" w:cs="Arial" w:eastAsia="Arial" w:hAnsi="Arial"/>
          <w:sz w:val="22"/>
          <w:szCs w:val="22"/>
          <w:color w:val="auto"/>
        </w:rPr>
        <w:t>. On the date set forth in the Award Agreement, all unearned or unvested Performance Units/Shares will be forfeited to the Company, and again will be available for grant under the Plan.</w:t>
      </w:r>
    </w:p>
    <w:p>
      <w:pPr>
        <w:spacing w:after="0" w:line="186" w:lineRule="exact"/>
        <w:rPr>
          <w:rFonts w:ascii="Arial" w:cs="Arial" w:eastAsia="Arial" w:hAnsi="Arial"/>
          <w:sz w:val="22"/>
          <w:szCs w:val="22"/>
          <w:color w:val="auto"/>
        </w:rPr>
      </w:pPr>
    </w:p>
    <w:p>
      <w:pPr>
        <w:jc w:val="both"/>
        <w:ind w:left="180" w:firstLine="652"/>
        <w:spacing w:after="0" w:line="246" w:lineRule="auto"/>
        <w:tabs>
          <w:tab w:leader="none" w:pos="1225"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Outside Director Award Limitations</w:t>
      </w:r>
      <w:r>
        <w:rPr>
          <w:rFonts w:ascii="Arial" w:cs="Arial" w:eastAsia="Arial" w:hAnsi="Arial"/>
          <w:sz w:val="21"/>
          <w:szCs w:val="21"/>
          <w:color w:val="auto"/>
        </w:rPr>
        <w:t>. No Outside Director may be granted, in any Fiscal Year, Awards (the value of which will be based on their grant date fair value determined in accordance with U.S. generally accepted accounting principles) and any other compensation (including without limitation any cash retainers or fees) that, in the aggregate, exceed $500,000, provided that such amount is increased to $1,000,000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 11.</w:t>
      </w:r>
    </w:p>
    <w:p>
      <w:pPr>
        <w:spacing w:after="0" w:line="18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83" w:name="page84"/>
    <w:bookmarkEnd w:id="83"/>
    <w:p>
      <w:pPr>
        <w:jc w:val="both"/>
        <w:ind w:left="180" w:firstLine="652"/>
        <w:spacing w:after="0" w:line="236" w:lineRule="auto"/>
        <w:tabs>
          <w:tab w:leader="none" w:pos="1273"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Leaves of Absence/Transfer Between Locations</w:t>
      </w:r>
      <w:r>
        <w:rPr>
          <w:rFonts w:ascii="Arial" w:cs="Arial" w:eastAsia="Arial" w:hAnsi="Arial"/>
          <w:sz w:val="22"/>
          <w:szCs w:val="22"/>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of its Subsidiaries.</w:t>
      </w:r>
    </w:p>
    <w:p>
      <w:pPr>
        <w:spacing w:after="0" w:line="187" w:lineRule="exact"/>
        <w:rPr>
          <w:rFonts w:ascii="Arial" w:cs="Arial" w:eastAsia="Arial" w:hAnsi="Arial"/>
          <w:sz w:val="22"/>
          <w:szCs w:val="22"/>
          <w:color w:val="auto"/>
        </w:rPr>
      </w:pPr>
    </w:p>
    <w:p>
      <w:pPr>
        <w:jc w:val="both"/>
        <w:ind w:left="180" w:firstLine="652"/>
        <w:spacing w:after="0" w:line="282" w:lineRule="auto"/>
        <w:tabs>
          <w:tab w:leader="none" w:pos="1233"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Transferability of Awards</w:t>
      </w:r>
      <w:r>
        <w:rPr>
          <w:rFonts w:ascii="Arial" w:cs="Arial" w:eastAsia="Arial" w:hAnsi="Arial"/>
          <w:sz w:val="19"/>
          <w:szCs w:val="19"/>
          <w:color w:val="auto"/>
        </w:rPr>
        <w:t>. Unless determined otherwise by the Administrator, an Award may not be sold, pledged, assigned, hypothecated, transferred, or disposed of in any manner other than by will or by the laws of descent and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47" w:lineRule="exact"/>
        <w:rPr>
          <w:rFonts w:ascii="Arial" w:cs="Arial" w:eastAsia="Arial" w:hAnsi="Arial"/>
          <w:sz w:val="19"/>
          <w:szCs w:val="19"/>
          <w:color w:val="auto"/>
        </w:rPr>
      </w:pPr>
    </w:p>
    <w:p>
      <w:pPr>
        <w:ind w:left="1220" w:hanging="388"/>
        <w:spacing w:after="0"/>
        <w:tabs>
          <w:tab w:leader="none" w:pos="122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Adjustments; Dissolution or Liquidation; Merger or Change in Control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33" w:lineRule="auto"/>
        <w:tabs>
          <w:tab w:leader="none" w:pos="1864" w:val="left"/>
        </w:tabs>
        <w:numPr>
          <w:ilvl w:val="1"/>
          <w:numId w:val="58"/>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Sections 3 and 11 of the Plan.</w:t>
      </w:r>
    </w:p>
    <w:p>
      <w:pPr>
        <w:spacing w:after="0" w:line="190" w:lineRule="exact"/>
        <w:rPr>
          <w:rFonts w:ascii="Arial" w:cs="Arial" w:eastAsia="Arial" w:hAnsi="Arial"/>
          <w:sz w:val="22"/>
          <w:szCs w:val="22"/>
          <w:color w:val="auto"/>
        </w:rPr>
      </w:pPr>
    </w:p>
    <w:p>
      <w:pPr>
        <w:jc w:val="both"/>
        <w:ind w:left="180" w:firstLine="1300"/>
        <w:spacing w:after="0" w:line="252" w:lineRule="auto"/>
        <w:tabs>
          <w:tab w:leader="none" w:pos="1863"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Dissolution or Liquidation</w:t>
      </w:r>
      <w:r>
        <w:rPr>
          <w:rFonts w:ascii="Arial" w:cs="Arial" w:eastAsia="Arial" w:hAnsi="Arial"/>
          <w:sz w:val="21"/>
          <w:szCs w:val="21"/>
          <w:color w:val="auto"/>
        </w:rPr>
        <w:t>.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3" w:lineRule="exact"/>
        <w:rPr>
          <w:rFonts w:ascii="Arial" w:cs="Arial" w:eastAsia="Arial" w:hAnsi="Arial"/>
          <w:sz w:val="21"/>
          <w:szCs w:val="21"/>
          <w:color w:val="auto"/>
        </w:rPr>
      </w:pPr>
    </w:p>
    <w:p>
      <w:pPr>
        <w:jc w:val="both"/>
        <w:ind w:left="180" w:firstLine="1300"/>
        <w:spacing w:after="0" w:line="270" w:lineRule="auto"/>
        <w:tabs>
          <w:tab w:leader="none" w:pos="1851"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w:t>
      </w:r>
    </w:p>
    <w:p>
      <w:pPr>
        <w:spacing w:after="0" w:line="16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84" w:name="page85"/>
    <w:bookmarkEnd w:id="84"/>
    <w:p>
      <w:pPr>
        <w:jc w:val="both"/>
        <w:ind w:left="180" w:firstLine="4"/>
        <w:spacing w:after="0" w:line="252" w:lineRule="auto"/>
        <w:tabs>
          <w:tab w:leader="none" w:pos="544"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replacement of such Award with other rights or property selected by the Administrator in its sole discretion; or (v) any combination of the foregoing. In taking any of the actions permitted under this Section 14(c), the Administrator will not be obligated to treat all Awards, all Awards held by a Participant, all Awards of the same type, or all portions of Awards, similarly.</w:t>
      </w:r>
    </w:p>
    <w:p>
      <w:pPr>
        <w:spacing w:after="0" w:line="174" w:lineRule="exact"/>
        <w:rPr>
          <w:sz w:val="20"/>
          <w:szCs w:val="20"/>
          <w:color w:val="auto"/>
        </w:rPr>
      </w:pPr>
    </w:p>
    <w:p>
      <w:pPr>
        <w:jc w:val="both"/>
        <w:ind w:left="180" w:firstLine="1296"/>
        <w:spacing w:after="0" w:line="271" w:lineRule="auto"/>
        <w:rPr>
          <w:sz w:val="20"/>
          <w:szCs w:val="20"/>
          <w:color w:val="auto"/>
        </w:rPr>
      </w:pPr>
      <w:r>
        <w:rPr>
          <w:rFonts w:ascii="Arial" w:cs="Arial" w:eastAsia="Arial" w:hAnsi="Arial"/>
          <w:sz w:val="19"/>
          <w:szCs w:val="19"/>
          <w:color w:val="auto"/>
        </w:rPr>
        <w:t>In the event that the successor corporation does not assume or substitute for the Award (or portion thereof), the Participant will fully vest in and have the right to exercise the Participant’s outstanding Option and Stock Appreciation Right (or portion thereof) that is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200" w:lineRule="exact"/>
        <w:rPr>
          <w:sz w:val="20"/>
          <w:szCs w:val="20"/>
          <w:color w:val="auto"/>
        </w:rPr>
      </w:pPr>
    </w:p>
    <w:p>
      <w:pPr>
        <w:spacing w:after="0" w:line="203" w:lineRule="exact"/>
        <w:rPr>
          <w:sz w:val="20"/>
          <w:szCs w:val="20"/>
          <w:color w:val="auto"/>
        </w:rPr>
      </w:pPr>
    </w:p>
    <w:p>
      <w:pPr>
        <w:jc w:val="both"/>
        <w:ind w:left="180" w:firstLine="1296"/>
        <w:spacing w:after="0" w:line="271" w:lineRule="auto"/>
        <w:rPr>
          <w:sz w:val="20"/>
          <w:szCs w:val="20"/>
          <w:color w:val="auto"/>
        </w:rPr>
      </w:pPr>
      <w:r>
        <w:rPr>
          <w:rFonts w:ascii="Arial" w:cs="Arial" w:eastAsia="Arial" w:hAnsi="Arial"/>
          <w:sz w:val="19"/>
          <w:szCs w:val="19"/>
          <w:color w:val="auto"/>
        </w:rPr>
        <w:t>For the purposes of this subsection (c) (and subsection (d)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200" w:lineRule="exact"/>
        <w:rPr>
          <w:sz w:val="20"/>
          <w:szCs w:val="20"/>
          <w:color w:val="auto"/>
        </w:rPr>
      </w:pPr>
    </w:p>
    <w:p>
      <w:pPr>
        <w:spacing w:after="0" w:line="211" w:lineRule="exact"/>
        <w:rPr>
          <w:sz w:val="20"/>
          <w:szCs w:val="20"/>
          <w:color w:val="auto"/>
        </w:rPr>
      </w:pPr>
    </w:p>
    <w:p>
      <w:pPr>
        <w:jc w:val="both"/>
        <w:ind w:left="180" w:firstLine="1296"/>
        <w:spacing w:after="0" w:line="234" w:lineRule="auto"/>
        <w:rPr>
          <w:sz w:val="20"/>
          <w:szCs w:val="20"/>
          <w:color w:val="auto"/>
        </w:rPr>
      </w:pPr>
      <w:r>
        <w:rPr>
          <w:rFonts w:ascii="Arial" w:cs="Arial" w:eastAsia="Arial" w:hAnsi="Arial"/>
          <w:sz w:val="22"/>
          <w:szCs w:val="22"/>
          <w:color w:val="auto"/>
        </w:rPr>
        <w:t>Notwithstanding anything in this subsection (c)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85" w:name="page86"/>
    <w:bookmarkEnd w:id="85"/>
    <w:p>
      <w:pPr>
        <w:jc w:val="both"/>
        <w:ind w:left="180" w:firstLine="1296"/>
        <w:spacing w:after="0" w:line="234" w:lineRule="auto"/>
        <w:rPr>
          <w:sz w:val="20"/>
          <w:szCs w:val="20"/>
          <w:color w:val="auto"/>
        </w:rPr>
      </w:pPr>
      <w:r>
        <w:rPr>
          <w:rFonts w:ascii="Arial" w:cs="Arial" w:eastAsia="Arial" w:hAnsi="Arial"/>
          <w:sz w:val="22"/>
          <w:szCs w:val="22"/>
          <w:color w:val="auto"/>
        </w:rPr>
        <w:t>Notwithstanding anything in this subsection (c) to the contrary, if a payment under an Award Agreement is subject to Section 409A and if the change in control definition contained in the Award Agreement or other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w:t>
      </w:r>
    </w:p>
    <w:p>
      <w:pPr>
        <w:spacing w:after="0" w:line="191" w:lineRule="exact"/>
        <w:rPr>
          <w:sz w:val="20"/>
          <w:szCs w:val="20"/>
          <w:color w:val="auto"/>
        </w:rPr>
      </w:pPr>
    </w:p>
    <w:p>
      <w:pPr>
        <w:jc w:val="both"/>
        <w:ind w:left="180" w:firstLine="1300"/>
        <w:spacing w:after="0" w:line="277" w:lineRule="auto"/>
        <w:tabs>
          <w:tab w:leader="none" w:pos="1876"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Outside Director Awards</w:t>
      </w:r>
      <w:r>
        <w:rPr>
          <w:rFonts w:ascii="Arial" w:cs="Arial" w:eastAsia="Arial" w:hAnsi="Arial"/>
          <w:sz w:val="19"/>
          <w:szCs w:val="19"/>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as of such date of termination, the Participant’s Awards will be treated as described in the second paragraph of Section 14(c) above with respect to vesting acceleration (for clarity, as though the Awards were not assumed or substituted).</w:t>
      </w:r>
    </w:p>
    <w:p>
      <w:pPr>
        <w:spacing w:after="0" w:line="151" w:lineRule="exact"/>
        <w:rPr>
          <w:rFonts w:ascii="Arial" w:cs="Arial" w:eastAsia="Arial" w:hAnsi="Arial"/>
          <w:sz w:val="19"/>
          <w:szCs w:val="19"/>
          <w:color w:val="auto"/>
        </w:rPr>
      </w:pPr>
    </w:p>
    <w:p>
      <w:pPr>
        <w:ind w:left="1220" w:hanging="388"/>
        <w:spacing w:after="0"/>
        <w:tabs>
          <w:tab w:leader="none" w:pos="122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Tax</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34" w:lineRule="auto"/>
        <w:tabs>
          <w:tab w:leader="none" w:pos="1851"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Withholding Requirements</w:t>
      </w:r>
      <w:r>
        <w:rPr>
          <w:rFonts w:ascii="Arial" w:cs="Arial" w:eastAsia="Arial" w:hAnsi="Arial"/>
          <w:sz w:val="22"/>
          <w:szCs w:val="22"/>
          <w:color w:val="auto"/>
        </w:rPr>
        <w:t>. Prior to the delivery of any Shares or cash pursuant to an Award (or exercise thereof) or such earlier time as any tax withholding obligations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U.S. federal, state, and local, non-U.S., and other taxes (including the Participant’s FICA obligation) required to be withheld with respect to such Award (or exercise thereof).</w:t>
      </w:r>
    </w:p>
    <w:p>
      <w:pPr>
        <w:spacing w:after="0" w:line="186" w:lineRule="exact"/>
        <w:rPr>
          <w:rFonts w:ascii="Arial" w:cs="Arial" w:eastAsia="Arial" w:hAnsi="Arial"/>
          <w:sz w:val="22"/>
          <w:szCs w:val="22"/>
          <w:color w:val="auto"/>
        </w:rPr>
      </w:pPr>
    </w:p>
    <w:p>
      <w:pPr>
        <w:jc w:val="both"/>
        <w:ind w:left="180" w:firstLine="1300"/>
        <w:spacing w:after="0" w:line="270" w:lineRule="auto"/>
        <w:tabs>
          <w:tab w:leader="none" w:pos="1876"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Withholding Arrangements</w:t>
      </w:r>
      <w:r>
        <w:rPr>
          <w:rFonts w:ascii="Arial" w:cs="Arial" w:eastAsia="Arial" w:hAnsi="Arial"/>
          <w:sz w:val="19"/>
          <w:szCs w:val="19"/>
          <w:color w:val="auto"/>
        </w:rPr>
        <w:t>. The Administrator, in its sole discretion and pursuant to such procedures as it may specify from time to time, may permit a Participant to satisfy such tax withholding obligation, in whole or in part by (without limitation) (i) paying cash,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(v)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334" w:right="1319" w:bottom="1440" w:gutter="0" w:footer="0" w:header="0"/>
        </w:sectPr>
      </w:pPr>
    </w:p>
    <w:bookmarkStart w:id="86" w:name="page87"/>
    <w:bookmarkEnd w:id="86"/>
    <w:p>
      <w:pPr>
        <w:ind w:left="180"/>
        <w:spacing w:after="0" w:line="251" w:lineRule="auto"/>
        <w:rPr>
          <w:sz w:val="20"/>
          <w:szCs w:val="20"/>
          <w:color w:val="auto"/>
        </w:rPr>
      </w:pPr>
      <w:r>
        <w:rPr>
          <w:rFonts w:ascii="Arial" w:cs="Arial" w:eastAsia="Arial" w:hAnsi="Arial"/>
          <w:sz w:val="22"/>
          <w:szCs w:val="22"/>
          <w:color w:val="auto"/>
        </w:rPr>
        <w:t>determines in its sole discretion. The fair market value of the Shares to be withheld or delivered will be determined as of the date that the taxes are required to be withheld.</w:t>
      </w:r>
    </w:p>
    <w:p>
      <w:pPr>
        <w:spacing w:after="0" w:line="173" w:lineRule="exact"/>
        <w:rPr>
          <w:sz w:val="20"/>
          <w:szCs w:val="20"/>
          <w:color w:val="auto"/>
        </w:rPr>
      </w:pPr>
    </w:p>
    <w:p>
      <w:pPr>
        <w:jc w:val="both"/>
        <w:ind w:left="180" w:firstLine="1300"/>
        <w:spacing w:after="0" w:line="271" w:lineRule="auto"/>
        <w:tabs>
          <w:tab w:leader="none" w:pos="1864"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w:t>
      </w:r>
    </w:p>
    <w:p>
      <w:pPr>
        <w:spacing w:after="0" w:line="3" w:lineRule="exact"/>
        <w:rPr>
          <w:sz w:val="20"/>
          <w:szCs w:val="20"/>
          <w:color w:val="auto"/>
        </w:rPr>
      </w:pPr>
    </w:p>
    <w:p>
      <w:pPr>
        <w:jc w:val="both"/>
        <w:ind w:left="180"/>
        <w:spacing w:after="0" w:line="271" w:lineRule="auto"/>
        <w:rPr>
          <w:sz w:val="20"/>
          <w:szCs w:val="20"/>
          <w:color w:val="auto"/>
        </w:rPr>
      </w:pPr>
      <w:r>
        <w:rPr>
          <w:rFonts w:ascii="Arial" w:cs="Arial" w:eastAsia="Arial" w:hAnsi="Arial"/>
          <w:sz w:val="19"/>
          <w:szCs w:val="19"/>
          <w:color w:val="auto"/>
        </w:rPr>
        <w:t>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w:t>
      </w:r>
    </w:p>
    <w:p>
      <w:pPr>
        <w:spacing w:after="0" w:line="161" w:lineRule="exact"/>
        <w:rPr>
          <w:sz w:val="20"/>
          <w:szCs w:val="20"/>
          <w:color w:val="auto"/>
        </w:rPr>
      </w:pPr>
    </w:p>
    <w:p>
      <w:pPr>
        <w:jc w:val="both"/>
        <w:ind w:left="180" w:firstLine="652"/>
        <w:spacing w:after="0" w:line="236" w:lineRule="auto"/>
        <w:tabs>
          <w:tab w:leader="none" w:pos="1219"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No Effect on Employment or Service</w:t>
      </w:r>
      <w:r>
        <w:rPr>
          <w:rFonts w:ascii="Arial" w:cs="Arial" w:eastAsia="Arial" w:hAnsi="Arial"/>
          <w:sz w:val="22"/>
          <w:szCs w:val="22"/>
          <w:color w:val="auto"/>
        </w:rPr>
        <w:t>.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w:t>
      </w:r>
    </w:p>
    <w:p>
      <w:pPr>
        <w:spacing w:after="0" w:line="187" w:lineRule="exact"/>
        <w:rPr>
          <w:rFonts w:ascii="Arial" w:cs="Arial" w:eastAsia="Arial" w:hAnsi="Arial"/>
          <w:sz w:val="22"/>
          <w:szCs w:val="22"/>
          <w:color w:val="auto"/>
        </w:rPr>
      </w:pPr>
    </w:p>
    <w:p>
      <w:pPr>
        <w:jc w:val="both"/>
        <w:ind w:left="180" w:firstLine="652"/>
        <w:spacing w:after="0" w:line="238" w:lineRule="auto"/>
        <w:tabs>
          <w:tab w:leader="none" w:pos="1219"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Date of Grant</w:t>
      </w:r>
      <w:r>
        <w:rPr>
          <w:rFonts w:ascii="Arial" w:cs="Arial" w:eastAsia="Arial" w:hAnsi="Arial"/>
          <w:sz w:val="22"/>
          <w:szCs w:val="22"/>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84" w:lineRule="exact"/>
        <w:rPr>
          <w:rFonts w:ascii="Arial" w:cs="Arial" w:eastAsia="Arial" w:hAnsi="Arial"/>
          <w:sz w:val="22"/>
          <w:szCs w:val="22"/>
          <w:color w:val="auto"/>
        </w:rPr>
      </w:pPr>
    </w:p>
    <w:p>
      <w:pPr>
        <w:ind w:left="180" w:firstLine="652"/>
        <w:spacing w:after="0" w:line="250" w:lineRule="auto"/>
        <w:tabs>
          <w:tab w:leader="none" w:pos="124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Subject to Section 22 of the Plan, the Plan will continue in effect until January 6, 2031, unless terminated earlier under Section 19 of the Plan.</w:t>
      </w:r>
    </w:p>
    <w:p>
      <w:pPr>
        <w:spacing w:after="0" w:line="174" w:lineRule="exact"/>
        <w:rPr>
          <w:rFonts w:ascii="Arial" w:cs="Arial" w:eastAsia="Arial" w:hAnsi="Arial"/>
          <w:sz w:val="22"/>
          <w:szCs w:val="22"/>
          <w:color w:val="auto"/>
        </w:rPr>
      </w:pPr>
    </w:p>
    <w:p>
      <w:pPr>
        <w:ind w:left="1220" w:hanging="388"/>
        <w:spacing w:after="0"/>
        <w:tabs>
          <w:tab w:leader="none" w:pos="122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0" w:firstLine="1300"/>
        <w:spacing w:after="0" w:line="250" w:lineRule="auto"/>
        <w:tabs>
          <w:tab w:leader="none" w:pos="1864"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The Administrator, at any time, may amend, alter, suspend or terminate the Plan.</w:t>
      </w:r>
    </w:p>
    <w:p>
      <w:pPr>
        <w:spacing w:after="0" w:line="174" w:lineRule="exact"/>
        <w:rPr>
          <w:rFonts w:ascii="Arial" w:cs="Arial" w:eastAsia="Arial" w:hAnsi="Arial"/>
          <w:sz w:val="22"/>
          <w:szCs w:val="22"/>
          <w:color w:val="auto"/>
        </w:rPr>
      </w:pPr>
    </w:p>
    <w:p>
      <w:pPr>
        <w:ind w:left="180" w:firstLine="1300"/>
        <w:spacing w:after="0" w:line="274" w:lineRule="auto"/>
        <w:tabs>
          <w:tab w:leader="none" w:pos="1863"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Stockholder Approval</w:t>
      </w:r>
      <w:r>
        <w:rPr>
          <w:rFonts w:ascii="Arial" w:cs="Arial" w:eastAsia="Arial" w:hAnsi="Arial"/>
          <w:sz w:val="21"/>
          <w:szCs w:val="21"/>
          <w:color w:val="auto"/>
        </w:rPr>
        <w:t>. The Company will obtain stockholder approval of any Plan amendment to the extent necessary and desirable to comply with Applicable Laws.</w:t>
      </w:r>
    </w:p>
    <w:p>
      <w:pPr>
        <w:spacing w:after="0" w:line="150" w:lineRule="exact"/>
        <w:rPr>
          <w:rFonts w:ascii="Arial" w:cs="Arial" w:eastAsia="Arial" w:hAnsi="Arial"/>
          <w:sz w:val="21"/>
          <w:szCs w:val="21"/>
          <w:color w:val="auto"/>
        </w:rPr>
      </w:pPr>
    </w:p>
    <w:p>
      <w:pPr>
        <w:jc w:val="both"/>
        <w:ind w:left="180" w:firstLine="1300"/>
        <w:spacing w:after="0" w:line="248" w:lineRule="auto"/>
        <w:tabs>
          <w:tab w:leader="none" w:pos="1878"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Effect of Amendment or Termination</w:t>
      </w:r>
      <w:r>
        <w:rPr>
          <w:rFonts w:ascii="Arial" w:cs="Arial" w:eastAsia="Arial" w:hAnsi="Arial"/>
          <w:sz w:val="21"/>
          <w:szCs w:val="21"/>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87" w:name="page88"/>
    <w:bookmarkEnd w:id="87"/>
    <w:p>
      <w:pPr>
        <w:ind w:left="1220" w:hanging="388"/>
        <w:spacing w:after="0"/>
        <w:tabs>
          <w:tab w:leader="none" w:pos="122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38" w:lineRule="auto"/>
        <w:tabs>
          <w:tab w:leader="none" w:pos="1851"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Legal Compliance</w:t>
      </w:r>
      <w:r>
        <w:rPr>
          <w:rFonts w:ascii="Arial" w:cs="Arial" w:eastAsia="Arial" w:hAnsi="Arial"/>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84" w:lineRule="exact"/>
        <w:rPr>
          <w:rFonts w:ascii="Arial" w:cs="Arial" w:eastAsia="Arial" w:hAnsi="Arial"/>
          <w:sz w:val="22"/>
          <w:szCs w:val="22"/>
          <w:color w:val="auto"/>
        </w:rPr>
      </w:pPr>
    </w:p>
    <w:p>
      <w:pPr>
        <w:jc w:val="both"/>
        <w:ind w:left="180" w:firstLine="1300"/>
        <w:spacing w:after="0" w:line="236" w:lineRule="auto"/>
        <w:tabs>
          <w:tab w:leader="none" w:pos="1903"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7" w:lineRule="exact"/>
        <w:rPr>
          <w:rFonts w:ascii="Arial" w:cs="Arial" w:eastAsia="Arial" w:hAnsi="Arial"/>
          <w:sz w:val="22"/>
          <w:szCs w:val="22"/>
          <w:color w:val="auto"/>
        </w:rPr>
      </w:pPr>
    </w:p>
    <w:p>
      <w:pPr>
        <w:jc w:val="both"/>
        <w:ind w:left="180" w:firstLine="652"/>
        <w:spacing w:after="0" w:line="274" w:lineRule="auto"/>
        <w:tabs>
          <w:tab w:leader="none" w:pos="1233"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Inability to Obtain Authority</w:t>
      </w:r>
      <w:r>
        <w:rPr>
          <w:rFonts w:ascii="Arial" w:cs="Arial" w:eastAsia="Arial" w:hAnsi="Arial"/>
          <w:sz w:val="19"/>
          <w:szCs w:val="19"/>
          <w:color w:val="auto"/>
        </w:rPr>
        <w:t>. 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58" w:lineRule="exact"/>
        <w:rPr>
          <w:rFonts w:ascii="Arial" w:cs="Arial" w:eastAsia="Arial" w:hAnsi="Arial"/>
          <w:sz w:val="19"/>
          <w:szCs w:val="19"/>
          <w:color w:val="auto"/>
        </w:rPr>
      </w:pPr>
    </w:p>
    <w:p>
      <w:pPr>
        <w:jc w:val="both"/>
        <w:ind w:left="180" w:firstLine="652"/>
        <w:spacing w:after="0" w:line="297" w:lineRule="auto"/>
        <w:tabs>
          <w:tab w:leader="none" w:pos="124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Stockholder Approval</w:t>
      </w:r>
      <w:r>
        <w:rPr>
          <w:rFonts w:ascii="Arial" w:cs="Arial" w:eastAsia="Arial" w:hAnsi="Arial"/>
          <w:sz w:val="19"/>
          <w:szCs w:val="19"/>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33" w:lineRule="exact"/>
        <w:rPr>
          <w:rFonts w:ascii="Arial" w:cs="Arial" w:eastAsia="Arial" w:hAnsi="Arial"/>
          <w:sz w:val="19"/>
          <w:szCs w:val="19"/>
          <w:color w:val="auto"/>
        </w:rPr>
      </w:pPr>
    </w:p>
    <w:p>
      <w:pPr>
        <w:jc w:val="both"/>
        <w:ind w:left="180" w:firstLine="652"/>
        <w:spacing w:after="0" w:line="245" w:lineRule="exact"/>
        <w:tabs>
          <w:tab w:leader="none" w:pos="126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Forfeiture Events</w:t>
      </w:r>
      <w:r>
        <w:rPr>
          <w:rFonts w:ascii="Arial" w:cs="Arial" w:eastAsia="Arial" w:hAnsi="Arial"/>
          <w:sz w:val="19"/>
          <w:szCs w:val="19"/>
          <w:color w:val="auto"/>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will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r>
      <w:r>
        <w:rPr>
          <w:rFonts w:ascii="MS PGothic" w:cs="MS PGothic" w:eastAsia="MS PGothic" w:hAnsi="MS PGothic"/>
          <w:sz w:val="19"/>
          <w:szCs w:val="19"/>
          <w:color w:val="auto"/>
        </w:rPr>
        <w:t>‑</w:t>
      </w:r>
      <w:r>
        <w:rPr>
          <w:rFonts w:ascii="Arial" w:cs="Arial" w:eastAsia="Arial" w:hAnsi="Arial"/>
          <w:sz w:val="19"/>
          <w:szCs w:val="19"/>
          <w:color w:val="auto"/>
        </w:rPr>
        <w:t>Frank Wall Street Reform and Consumer Protection Act) (the “</w:t>
      </w:r>
      <w:r>
        <w:rPr>
          <w:rFonts w:ascii="Arial" w:cs="Arial" w:eastAsia="Arial" w:hAnsi="Arial"/>
          <w:sz w:val="19"/>
          <w:szCs w:val="19"/>
          <w:u w:val="single" w:color="auto"/>
          <w:color w:val="auto"/>
        </w:rPr>
        <w:t>Clawback Policy</w:t>
      </w:r>
      <w:r>
        <w:rPr>
          <w:rFonts w:ascii="Arial" w:cs="Arial" w:eastAsia="Arial" w:hAnsi="Arial"/>
          <w:sz w:val="19"/>
          <w:szCs w:val="19"/>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23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85" w:lineRule="exact"/>
        <w:rPr>
          <w:rFonts w:ascii="Arial" w:cs="Arial" w:eastAsia="Arial" w:hAnsi="Arial"/>
          <w:sz w:val="19"/>
          <w:szCs w:val="19"/>
          <w:color w:val="auto"/>
        </w:rPr>
      </w:pPr>
    </w:p>
    <w:p>
      <w:pPr>
        <w:ind w:left="396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88" w:name="page89"/>
    <w:bookmarkEnd w:id="88"/>
    <w:p>
      <w:pPr>
        <w:ind w:left="2360"/>
        <w:spacing w:after="0"/>
        <w:rPr>
          <w:sz w:val="20"/>
          <w:szCs w:val="20"/>
          <w:color w:val="auto"/>
        </w:rPr>
      </w:pPr>
      <w:r>
        <w:rPr>
          <w:rFonts w:ascii="Arial" w:cs="Arial" w:eastAsia="Arial" w:hAnsi="Arial"/>
          <w:sz w:val="22"/>
          <w:szCs w:val="22"/>
          <w:b w:val="1"/>
          <w:bCs w:val="1"/>
          <w:color w:val="auto"/>
        </w:rPr>
        <w:t>OMNIOME EQUITY INCENTIVE PLAN OF</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PACIFIC BIOSCIENCES OF CALIFORNIA,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GLOBAL STOCK OPTION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NOTICE OF STOCK OPTION GRANT</w:t>
      </w:r>
    </w:p>
    <w:p>
      <w:pPr>
        <w:spacing w:after="0" w:line="212"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21"/>
          <w:szCs w:val="21"/>
          <w:color w:val="auto"/>
        </w:rPr>
        <w:t xml:space="preserve">Unless otherwise defined herein, the terms defined in the Omniome Equity Incentive Plan of Pacific Biosciences of California, Inc. (the “Plan”) will have the same defined meanings in this Global Stock Option Agreement which includes the Notice of Stock Option Grant (the “Notice of Grant”), the Terms and Conditions of Stock Option Grant,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Exercise Notice,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and all other exhibits, appendices, and addenda attached hereto (together, the “Option Agreement”).</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Participant Name:</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Address:</w:t>
      </w:r>
    </w:p>
    <w:p>
      <w:pPr>
        <w:spacing w:after="0" w:line="215" w:lineRule="exact"/>
        <w:rPr>
          <w:sz w:val="20"/>
          <w:szCs w:val="20"/>
          <w:color w:val="auto"/>
        </w:rPr>
      </w:pPr>
    </w:p>
    <w:p>
      <w:pPr>
        <w:jc w:val="both"/>
        <w:ind w:left="180" w:right="199" w:firstLine="648"/>
        <w:spacing w:after="0"/>
        <w:rPr>
          <w:sz w:val="20"/>
          <w:szCs w:val="20"/>
          <w:color w:val="auto"/>
        </w:rPr>
      </w:pPr>
      <w:r>
        <w:rPr>
          <w:rFonts w:ascii="Arial" w:cs="Arial" w:eastAsia="Arial" w:hAnsi="Arial"/>
          <w:sz w:val="22"/>
          <w:szCs w:val="22"/>
          <w:color w:val="auto"/>
        </w:rPr>
        <w:t>The undersigned Participant has been granted an Option to purchase Common Stock of Biosciences of California, Inc. (the “Company”), subject to the terms and conditions of the Plan and this Option Agreement, as follows:</w:t>
      </w:r>
    </w:p>
    <w:p>
      <w:pPr>
        <w:sectPr>
          <w:pgSz w:w="11900" w:h="16838" w:orient="portrait"/>
          <w:cols w:equalWidth="0" w:num="1">
            <w:col w:w="9019"/>
          </w:cols>
          <w:pgMar w:left="1440" w:top="571" w:right="1440" w:bottom="1440" w:gutter="0" w:footer="0" w:header="0"/>
        </w:sectPr>
      </w:pPr>
    </w:p>
    <w:p>
      <w:pPr>
        <w:spacing w:after="0" w:line="18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Grant Number: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00" w:lineRule="exact"/>
        <w:rPr>
          <w:sz w:val="20"/>
          <w:szCs w:val="20"/>
          <w:color w:val="auto"/>
        </w:rPr>
      </w:pPr>
    </w:p>
    <w:p>
      <w:pPr>
        <w:sectPr>
          <w:pgSz w:w="11900" w:h="16838" w:orient="portrait"/>
          <w:cols w:equalWidth="0" w:num="2">
            <w:col w:w="4660" w:space="720"/>
            <w:col w:w="3639"/>
          </w:cols>
          <w:pgMar w:left="1440" w:top="571" w:right="1440" w:bottom="1440" w:gutter="0" w:footer="0" w:header="0"/>
          <w:type w:val="continuous"/>
        </w:sectPr>
      </w:pPr>
    </w:p>
    <w:p>
      <w:pPr>
        <w:spacing w:after="0" w:line="4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Date of</w:t>
      </w:r>
    </w:p>
    <w:p>
      <w:pPr>
        <w:sectPr>
          <w:pgSz w:w="11900" w:h="16838" w:orient="portrait"/>
          <w:cols w:equalWidth="0" w:num="1">
            <w:col w:w="9019"/>
          </w:cols>
          <w:pgMar w:left="1440" w:top="571" w:right="1440" w:bottom="1440" w:gutter="0" w:footer="0" w:header="0"/>
          <w:type w:val="continuous"/>
        </w:sectPr>
      </w:pPr>
    </w:p>
    <w:p>
      <w:pPr>
        <w:spacing w:after="0" w:line="5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Grant: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00" w:lineRule="exact"/>
        <w:rPr>
          <w:sz w:val="20"/>
          <w:szCs w:val="20"/>
          <w:color w:val="auto"/>
        </w:rPr>
      </w:pPr>
    </w:p>
    <w:p>
      <w:pPr>
        <w:sectPr>
          <w:pgSz w:w="11900" w:h="16838" w:orient="portrait"/>
          <w:cols w:equalWidth="0" w:num="2">
            <w:col w:w="3900" w:space="720"/>
            <w:col w:w="4399"/>
          </w:cols>
          <w:pgMar w:left="1440" w:top="571" w:right="1440" w:bottom="1440" w:gutter="0" w:footer="0" w:header="0"/>
          <w:type w:val="continuous"/>
        </w:sectPr>
      </w:pPr>
    </w:p>
    <w:p>
      <w:pPr>
        <w:spacing w:after="0" w:line="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______________________________</w:t>
      </w:r>
    </w:p>
    <w:p>
      <w:pPr>
        <w:spacing w:after="0" w:line="200" w:lineRule="exact"/>
        <w:rPr>
          <w:sz w:val="20"/>
          <w:szCs w:val="20"/>
          <w:color w:val="auto"/>
        </w:rPr>
      </w:pPr>
    </w:p>
    <w:p>
      <w:pPr>
        <w:sectPr>
          <w:pgSz w:w="11900" w:h="16838" w:orient="portrait"/>
          <w:cols w:equalWidth="0" w:num="2">
            <w:col w:w="4700" w:space="720"/>
            <w:col w:w="3599"/>
          </w:cols>
          <w:pgMar w:left="1440" w:top="571" w:right="1440" w:bottom="1440" w:gutter="0" w:footer="0" w:header="0"/>
          <w:type w:val="continuous"/>
        </w:sectPr>
      </w:pPr>
    </w:p>
    <w:p>
      <w:pPr>
        <w:spacing w:after="0" w:line="4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Exercise Price per Share (in U.S.</w:t>
      </w:r>
    </w:p>
    <w:p>
      <w:pPr>
        <w:spacing w:after="0" w:line="8" w:lineRule="exact"/>
        <w:rPr>
          <w:sz w:val="20"/>
          <w:szCs w:val="20"/>
          <w:color w:val="auto"/>
        </w:rPr>
      </w:pPr>
    </w:p>
    <w:p>
      <w:pPr>
        <w:ind w:left="180"/>
        <w:spacing w:after="0"/>
        <w:tabs>
          <w:tab w:leader="none" w:pos="2220" w:val="left"/>
        </w:tabs>
        <w:rPr>
          <w:sz w:val="20"/>
          <w:szCs w:val="20"/>
          <w:color w:val="auto"/>
        </w:rPr>
      </w:pPr>
      <w:r>
        <w:rPr>
          <w:rFonts w:ascii="Arial" w:cs="Arial" w:eastAsia="Arial" w:hAnsi="Arial"/>
          <w:sz w:val="19"/>
          <w:szCs w:val="19"/>
          <w:color w:val="auto"/>
        </w:rPr>
        <w:t>Dollars):</w:t>
      </w:r>
      <w:r>
        <w:rPr>
          <w:sz w:val="20"/>
          <w:szCs w:val="20"/>
          <w:color w:val="auto"/>
        </w:rPr>
        <w:tab/>
      </w:r>
      <w:r>
        <w:rPr>
          <w:rFonts w:ascii="Arial" w:cs="Arial" w:eastAsia="Arial" w:hAnsi="Arial"/>
          <w:sz w:val="19"/>
          <w:szCs w:val="19"/>
          <w:color w:val="auto"/>
        </w:rPr>
        <w:t>$_____________________________</w:t>
      </w:r>
    </w:p>
    <w:p>
      <w:pPr>
        <w:sectPr>
          <w:pgSz w:w="11900" w:h="16838" w:orient="portrait"/>
          <w:cols w:equalWidth="0" w:num="1">
            <w:col w:w="9019"/>
          </w:cols>
          <w:pgMar w:left="1440" w:top="571" w:right="1440" w:bottom="1440" w:gutter="0" w:footer="0" w:header="0"/>
          <w:type w:val="continuous"/>
        </w:sectPr>
      </w:pPr>
    </w:p>
    <w:p>
      <w:pPr>
        <w:spacing w:after="0" w:line="22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Total Number of Shares Subject to Option:</w:t>
      </w:r>
    </w:p>
    <w:p>
      <w:pPr>
        <w:spacing w:after="0" w:line="8" w:lineRule="exact"/>
        <w:rPr>
          <w:sz w:val="20"/>
          <w:szCs w:val="20"/>
          <w:color w:val="auto"/>
        </w:rPr>
      </w:pPr>
    </w:p>
    <w:tbl>
      <w:tblPr>
        <w:tblLayout w:type="fixed"/>
        <w:tblInd w:w="840" w:type="dxa"/>
        <w:tblCellMar>
          <w:top w:w="0" w:type="dxa"/>
          <w:left w:w="0" w:type="dxa"/>
          <w:bottom w:w="0" w:type="dxa"/>
          <w:right w:w="0" w:type="dxa"/>
        </w:tblCellMar>
      </w:tblPr>
      <w:tr>
        <w:trPr>
          <w:trHeight w:val="274"/>
        </w:trPr>
        <w:tc>
          <w:tcPr>
            <w:tcW w:w="4200" w:type="dxa"/>
            <w:vAlign w:val="bottom"/>
            <w:gridSpan w:val="2"/>
          </w:tcPr>
          <w:p>
            <w:pPr>
              <w:ind w:left="640"/>
              <w:spacing w:after="0"/>
              <w:rPr>
                <w:sz w:val="20"/>
                <w:szCs w:val="20"/>
                <w:color w:val="auto"/>
              </w:rPr>
            </w:pPr>
            <w:r>
              <w:rPr>
                <w:rFonts w:ascii="Arial" w:cs="Arial" w:eastAsia="Arial" w:hAnsi="Arial"/>
                <w:sz w:val="22"/>
                <w:szCs w:val="22"/>
                <w:color w:val="auto"/>
                <w:w w:val="96"/>
              </w:rPr>
              <w:t>______________________________</w:t>
            </w:r>
          </w:p>
        </w:tc>
        <w:tc>
          <w:tcPr>
            <w:tcW w:w="3620" w:type="dxa"/>
            <w:vAlign w:val="bottom"/>
          </w:tcPr>
          <w:p>
            <w:pPr>
              <w:spacing w:after="0"/>
              <w:rPr>
                <w:sz w:val="23"/>
                <w:szCs w:val="23"/>
                <w:color w:val="auto"/>
              </w:rPr>
            </w:pPr>
          </w:p>
        </w:tc>
      </w:tr>
      <w:tr>
        <w:trPr>
          <w:trHeight w:val="441"/>
        </w:trPr>
        <w:tc>
          <w:tcPr>
            <w:tcW w:w="4200" w:type="dxa"/>
            <w:vAlign w:val="bottom"/>
            <w:gridSpan w:val="2"/>
          </w:tcPr>
          <w:p>
            <w:pPr>
              <w:spacing w:after="0"/>
              <w:rPr>
                <w:sz w:val="20"/>
                <w:szCs w:val="20"/>
                <w:color w:val="auto"/>
              </w:rPr>
            </w:pPr>
            <w:r>
              <w:rPr>
                <w:rFonts w:ascii="Arial" w:cs="Arial" w:eastAsia="Arial" w:hAnsi="Arial"/>
                <w:sz w:val="22"/>
                <w:szCs w:val="22"/>
                <w:color w:val="auto"/>
              </w:rPr>
              <w:t>Total Exercise Price (in U.S. Dollars):</w:t>
            </w:r>
          </w:p>
        </w:tc>
        <w:tc>
          <w:tcPr>
            <w:tcW w:w="3620" w:type="dxa"/>
            <w:vAlign w:val="bottom"/>
          </w:tcPr>
          <w:p>
            <w:pPr>
              <w:jc w:val="right"/>
              <w:spacing w:after="0"/>
              <w:rPr>
                <w:sz w:val="20"/>
                <w:szCs w:val="20"/>
                <w:color w:val="auto"/>
              </w:rPr>
            </w:pPr>
            <w:r>
              <w:rPr>
                <w:rFonts w:ascii="Arial" w:cs="Arial" w:eastAsia="Arial" w:hAnsi="Arial"/>
                <w:sz w:val="22"/>
                <w:szCs w:val="22"/>
                <w:color w:val="auto"/>
                <w:w w:val="98"/>
              </w:rPr>
              <w:t>$_____________________________</w:t>
            </w:r>
          </w:p>
        </w:tc>
      </w:tr>
      <w:tr>
        <w:trPr>
          <w:trHeight w:val="459"/>
        </w:trPr>
        <w:tc>
          <w:tcPr>
            <w:tcW w:w="4200" w:type="dxa"/>
            <w:vAlign w:val="bottom"/>
            <w:gridSpan w:val="2"/>
          </w:tcPr>
          <w:p>
            <w:pPr>
              <w:spacing w:after="0"/>
              <w:rPr>
                <w:sz w:val="20"/>
                <w:szCs w:val="20"/>
                <w:color w:val="auto"/>
              </w:rPr>
            </w:pPr>
            <w:r>
              <w:rPr>
                <w:rFonts w:ascii="Arial" w:cs="Arial" w:eastAsia="Arial" w:hAnsi="Arial"/>
                <w:sz w:val="22"/>
                <w:szCs w:val="22"/>
                <w:color w:val="auto"/>
              </w:rPr>
              <w:t>Type of Option:</w:t>
            </w:r>
          </w:p>
        </w:tc>
        <w:tc>
          <w:tcPr>
            <w:tcW w:w="3620" w:type="dxa"/>
            <w:vAlign w:val="bottom"/>
          </w:tcPr>
          <w:p>
            <w:pPr>
              <w:jc w:val="right"/>
              <w:ind w:right="772"/>
              <w:spacing w:after="0"/>
              <w:rPr>
                <w:sz w:val="20"/>
                <w:szCs w:val="20"/>
                <w:color w:val="auto"/>
              </w:rPr>
            </w:pPr>
            <w:r>
              <w:rPr>
                <w:rFonts w:ascii="Arial" w:cs="Arial" w:eastAsia="Arial" w:hAnsi="Arial"/>
                <w:sz w:val="22"/>
                <w:szCs w:val="22"/>
                <w:color w:val="auto"/>
              </w:rPr>
              <w:t>Nonstatutory Stock Option</w:t>
            </w:r>
          </w:p>
        </w:tc>
      </w:tr>
      <w:tr>
        <w:trPr>
          <w:trHeight w:val="459"/>
        </w:trPr>
        <w:tc>
          <w:tcPr>
            <w:tcW w:w="4200" w:type="dxa"/>
            <w:vAlign w:val="bottom"/>
            <w:gridSpan w:val="2"/>
          </w:tcPr>
          <w:p>
            <w:pPr>
              <w:spacing w:after="0"/>
              <w:rPr>
                <w:sz w:val="20"/>
                <w:szCs w:val="20"/>
                <w:color w:val="auto"/>
              </w:rPr>
            </w:pPr>
            <w:r>
              <w:rPr>
                <w:rFonts w:ascii="Arial" w:cs="Arial" w:eastAsia="Arial" w:hAnsi="Arial"/>
                <w:sz w:val="22"/>
                <w:szCs w:val="22"/>
                <w:color w:val="auto"/>
              </w:rPr>
              <w:t>Term/Expiration Date:</w:t>
            </w:r>
          </w:p>
        </w:tc>
        <w:tc>
          <w:tcPr>
            <w:tcW w:w="3620" w:type="dxa"/>
            <w:vAlign w:val="bottom"/>
          </w:tcPr>
          <w:p>
            <w:pPr>
              <w:jc w:val="right"/>
              <w:spacing w:after="0"/>
              <w:rPr>
                <w:sz w:val="20"/>
                <w:szCs w:val="20"/>
                <w:color w:val="auto"/>
              </w:rPr>
            </w:pPr>
            <w:r>
              <w:rPr>
                <w:rFonts w:ascii="Arial" w:cs="Arial" w:eastAsia="Arial" w:hAnsi="Arial"/>
                <w:sz w:val="22"/>
                <w:szCs w:val="22"/>
                <w:color w:val="auto"/>
                <w:w w:val="97"/>
              </w:rPr>
              <w:t>______________________________</w:t>
            </w:r>
          </w:p>
        </w:tc>
      </w:tr>
      <w:tr>
        <w:trPr>
          <w:trHeight w:val="408"/>
        </w:trPr>
        <w:tc>
          <w:tcPr>
            <w:tcW w:w="4200" w:type="dxa"/>
            <w:vAlign w:val="bottom"/>
            <w:gridSpan w:val="2"/>
          </w:tcPr>
          <w:p>
            <w:pPr>
              <w:spacing w:after="0"/>
              <w:rPr>
                <w:sz w:val="20"/>
                <w:szCs w:val="20"/>
                <w:color w:val="auto"/>
              </w:rPr>
            </w:pPr>
            <w:r>
              <w:rPr>
                <w:rFonts w:ascii="Arial" w:cs="Arial" w:eastAsia="Arial" w:hAnsi="Arial"/>
                <w:sz w:val="22"/>
                <w:szCs w:val="22"/>
                <w:color w:val="auto"/>
              </w:rPr>
              <w:t>Vesting Schedule:</w:t>
            </w:r>
          </w:p>
        </w:tc>
        <w:tc>
          <w:tcPr>
            <w:tcW w:w="3620" w:type="dxa"/>
            <w:vAlign w:val="bottom"/>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180" w:right="199" w:firstLine="648"/>
        <w:spacing w:after="0" w:line="252" w:lineRule="auto"/>
        <w:rPr>
          <w:sz w:val="20"/>
          <w:szCs w:val="20"/>
          <w:color w:val="auto"/>
        </w:rPr>
      </w:pPr>
      <w:r>
        <w:rPr>
          <w:rFonts w:ascii="Arial" w:cs="Arial" w:eastAsia="Arial" w:hAnsi="Arial"/>
          <w:sz w:val="21"/>
          <w:szCs w:val="21"/>
          <w:color w:val="auto"/>
        </w:rPr>
        <w:t>Subject to any acceleration provisions contained in the Plan or this Option Agreement or any other written agreement between Participant and the Company or any applicable Subsidiary of the Company governing the terms of this Option, this Option will be scheduled to vest and be exercisable, in whole or in part, in accordance with the following schedule:</w:t>
      </w:r>
    </w:p>
    <w:p>
      <w:pPr>
        <w:spacing w:after="0" w:line="168" w:lineRule="exact"/>
        <w:rPr>
          <w:sz w:val="20"/>
          <w:szCs w:val="20"/>
          <w:color w:val="auto"/>
        </w:rPr>
      </w:pPr>
    </w:p>
    <w:p>
      <w:pPr>
        <w:jc w:val="both"/>
        <w:ind w:left="180" w:right="199" w:firstLine="648"/>
        <w:spacing w:after="0" w:line="271"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Insert Vesting Schedule, e.g.:</w:t>
      </w:r>
      <w:r>
        <w:rPr>
          <w:rFonts w:ascii="Arial" w:cs="Arial" w:eastAsia="Arial" w:hAnsi="Arial"/>
          <w:sz w:val="20"/>
          <w:szCs w:val="20"/>
          <w:b w:val="1"/>
          <w:bCs w:val="1"/>
          <w:color w:val="auto"/>
        </w:rPr>
        <w:t xml:space="preserve"> Twenty-five percent (25%) of the Total Number of Shares Subject to Option will be scheduled to vest on the one (1) year anniversary of the Vesting Commencement Date, and one forty-eighth (1/48</w:t>
      </w:r>
      <w:r>
        <w:rPr>
          <w:rFonts w:ascii="Arial" w:cs="Arial" w:eastAsia="Arial" w:hAnsi="Arial"/>
          <w:sz w:val="10"/>
          <w:szCs w:val="10"/>
          <w:b w:val="1"/>
          <w:bCs w:val="1"/>
          <w:color w:val="auto"/>
        </w:rPr>
        <w:t>th</w:t>
      </w:r>
      <w:r>
        <w:rPr>
          <w:rFonts w:ascii="Arial" w:cs="Arial" w:eastAsia="Arial" w:hAnsi="Arial"/>
          <w:sz w:val="20"/>
          <w:szCs w:val="20"/>
          <w:b w:val="1"/>
          <w:bCs w:val="1"/>
          <w:color w:val="auto"/>
        </w:rPr>
        <w:t>) of the Total Number of Shares Subject to Option will be scheduled to vest each month thereafter on the same day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322580</wp:posOffset>
            </wp:positionV>
            <wp:extent cx="552894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type w:val="continuous"/>
        </w:sectPr>
      </w:pPr>
    </w:p>
    <w:bookmarkStart w:id="89" w:name="page90"/>
    <w:bookmarkEnd w:id="89"/>
    <w:p>
      <w:pPr>
        <w:jc w:val="both"/>
        <w:ind w:left="180" w:right="199"/>
        <w:spacing w:after="0" w:line="243" w:lineRule="auto"/>
        <w:rPr>
          <w:sz w:val="20"/>
          <w:szCs w:val="20"/>
          <w:color w:val="auto"/>
        </w:rPr>
      </w:pPr>
      <w:r>
        <w:rPr>
          <w:rFonts w:ascii="Arial" w:cs="Arial" w:eastAsia="Arial" w:hAnsi="Arial"/>
          <w:sz w:val="22"/>
          <w:szCs w:val="22"/>
          <w:b w:val="1"/>
          <w:bCs w:val="1"/>
          <w:color w:val="auto"/>
        </w:rPr>
        <w:t>month as the Vesting Commencement Date (and if there is no corresponding day, on the last day of the month), subject to Participant continuing to be a Service Provider through such applicable vesting dates.]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22"/>
          <w:szCs w:val="22"/>
          <w:u w:val="single" w:color="auto"/>
          <w:color w:val="auto"/>
        </w:rPr>
        <w:t>Termination Period</w:t>
      </w:r>
      <w:r>
        <w:rPr>
          <w:rFonts w:ascii="Arial" w:cs="Arial" w:eastAsia="Arial" w:hAnsi="Arial"/>
          <w:sz w:val="22"/>
          <w:szCs w:val="22"/>
          <w:color w:val="auto"/>
        </w:rPr>
        <w:t>:</w:t>
      </w:r>
    </w:p>
    <w:p>
      <w:pPr>
        <w:spacing w:after="0" w:line="206" w:lineRule="exact"/>
        <w:rPr>
          <w:sz w:val="20"/>
          <w:szCs w:val="20"/>
          <w:color w:val="auto"/>
        </w:rPr>
      </w:pPr>
    </w:p>
    <w:p>
      <w:pPr>
        <w:jc w:val="both"/>
        <w:ind w:left="180" w:right="199" w:firstLine="648"/>
        <w:spacing w:after="0" w:line="277" w:lineRule="auto"/>
        <w:rPr>
          <w:sz w:val="20"/>
          <w:szCs w:val="20"/>
          <w:color w:val="auto"/>
        </w:rPr>
      </w:pPr>
      <w:r>
        <w:rPr>
          <w:rFonts w:ascii="Arial" w:cs="Arial" w:eastAsia="Arial" w:hAnsi="Arial"/>
          <w:sz w:val="19"/>
          <w:szCs w:val="19"/>
          <w:color w:val="auto"/>
        </w:rPr>
        <w:t>In the event of cessation of Participant’s status as a Service Provider, this Option will be exercisable, to the extent vested, for a period of [three (3) months] after Participant ceases to be a Service Provider, unless such termination is due to Participant’s death or Disability, in which case the Option shall be exercisable, to the extent vested, for a period of [twelve (12) months] after Participant ceases to be a Service Provider. Notwithstanding the foregoing sentence, in no event may this Option be exercised after the Term/Expiration Date as provided above and this Option may be subject to earlier termination as provided in Section 14 of the Plan.</w:t>
      </w:r>
    </w:p>
    <w:p>
      <w:pPr>
        <w:spacing w:after="0" w:line="152" w:lineRule="exact"/>
        <w:rPr>
          <w:sz w:val="20"/>
          <w:szCs w:val="20"/>
          <w:color w:val="auto"/>
        </w:rPr>
      </w:pPr>
    </w:p>
    <w:p>
      <w:pPr>
        <w:jc w:val="both"/>
        <w:ind w:left="180" w:right="199" w:firstLine="648"/>
        <w:spacing w:after="0" w:line="272" w:lineRule="auto"/>
        <w:rPr>
          <w:sz w:val="20"/>
          <w:szCs w:val="20"/>
          <w:color w:val="auto"/>
        </w:rPr>
      </w:pPr>
      <w:r>
        <w:rPr>
          <w:rFonts w:ascii="Arial" w:cs="Arial" w:eastAsia="Arial" w:hAnsi="Arial"/>
          <w:sz w:val="19"/>
          <w:szCs w:val="19"/>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Exercise Notice,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this Option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the residence address indicated below.</w:t>
      </w:r>
    </w:p>
    <w:p>
      <w:pPr>
        <w:spacing w:after="0" w:line="200" w:lineRule="exact"/>
        <w:rPr>
          <w:sz w:val="20"/>
          <w:szCs w:val="20"/>
          <w:color w:val="auto"/>
        </w:rPr>
      </w:pPr>
    </w:p>
    <w:p>
      <w:pPr>
        <w:spacing w:after="0" w:line="208" w:lineRule="exact"/>
        <w:rPr>
          <w:sz w:val="20"/>
          <w:szCs w:val="20"/>
          <w:color w:val="auto"/>
        </w:rPr>
      </w:pPr>
    </w:p>
    <w:p>
      <w:pPr>
        <w:ind w:left="180"/>
        <w:spacing w:after="0"/>
        <w:tabs>
          <w:tab w:leader="none" w:pos="212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20"/>
          <w:szCs w:val="20"/>
          <w:color w:val="auto"/>
        </w:rPr>
        <w:t>PACIFIC BIOSCIENCES OF CALIFORNIA, INC.</w:t>
      </w:r>
    </w:p>
    <w:p>
      <w:pPr>
        <w:sectPr>
          <w:pgSz w:w="11900" w:h="16838" w:orient="portrait"/>
          <w:cols w:equalWidth="0" w:num="1">
            <w:col w:w="9019"/>
          </w:cols>
          <w:pgMar w:left="1440" w:top="3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Signature</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ectPr>
          <w:pgSz w:w="11900" w:h="16838" w:orient="portrait"/>
          <w:cols w:equalWidth="0" w:num="2">
            <w:col w:w="4460" w:space="720"/>
            <w:col w:w="3839"/>
          </w:cols>
          <w:pgMar w:left="1440" w:top="328" w:right="1440"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Residence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90" w:name="page91"/>
    <w:bookmarkEnd w:id="90"/>
    <w:p>
      <w:pPr>
        <w:jc w:val="center"/>
        <w:ind w:right="-17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TERMS AND CONDITIONS OF STOCK OPTION GRANT</w:t>
      </w:r>
    </w:p>
    <w:p>
      <w:pPr>
        <w:spacing w:after="0" w:line="212" w:lineRule="exact"/>
        <w:rPr>
          <w:sz w:val="20"/>
          <w:szCs w:val="20"/>
          <w:color w:val="auto"/>
        </w:rPr>
      </w:pPr>
    </w:p>
    <w:p>
      <w:pPr>
        <w:ind w:left="1180" w:hanging="348"/>
        <w:spacing w:after="0"/>
        <w:tabs>
          <w:tab w:leader="none" w:pos="118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33" w:lineRule="auto"/>
        <w:tabs>
          <w:tab w:leader="none" w:pos="1851"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The Company hereby grants to the individual (“Participant”) named in the Notice of Stock Option Grant of this Option Agreement (the “Notice of Grant”) an option (the “Option”) to purchase the number of Shares set forth in the Notice of Grant, at the exercise price per Share set forth in the Notice of Grant (the “Exercise Price”), subject to all of the terms and conditions in this Option Agreement, including any country-specific provisions set forth in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and the Plan, which is incorporated herein by this reference. Subject to Section 19(c) of the Plan, in the event of a conflict between the terms and conditions of the Plan and the terms and conditions of this Option Agreement, including any country-specific provisions set forth in </w:t>
      </w:r>
      <w:r>
        <w:rPr>
          <w:rFonts w:ascii="Arial" w:cs="Arial" w:eastAsia="Arial" w:hAnsi="Arial"/>
          <w:sz w:val="22"/>
          <w:szCs w:val="22"/>
          <w:u w:val="single" w:color="auto"/>
          <w:color w:val="auto"/>
        </w:rPr>
        <w:t>Exhibit C</w:t>
      </w:r>
      <w:r>
        <w:rPr>
          <w:rFonts w:ascii="Arial" w:cs="Arial" w:eastAsia="Arial" w:hAnsi="Arial"/>
          <w:sz w:val="22"/>
          <w:szCs w:val="22"/>
          <w:color w:val="auto"/>
        </w:rPr>
        <w:t>, the terms and conditions of the Plan will prevail.</w:t>
      </w:r>
    </w:p>
    <w:p>
      <w:pPr>
        <w:spacing w:after="0" w:line="192" w:lineRule="exact"/>
        <w:rPr>
          <w:rFonts w:ascii="Arial" w:cs="Arial" w:eastAsia="Arial" w:hAnsi="Arial"/>
          <w:sz w:val="22"/>
          <w:szCs w:val="22"/>
          <w:color w:val="auto"/>
        </w:rPr>
      </w:pPr>
    </w:p>
    <w:p>
      <w:pPr>
        <w:ind w:left="1860" w:hanging="380"/>
        <w:spacing w:after="0"/>
        <w:tabs>
          <w:tab w:leader="none" w:pos="18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Option will be designated as a Nonstatutory Stock Option.</w:t>
      </w:r>
    </w:p>
    <w:p>
      <w:pPr>
        <w:spacing w:after="0" w:line="206" w:lineRule="exact"/>
        <w:rPr>
          <w:rFonts w:ascii="Arial" w:cs="Arial" w:eastAsia="Arial" w:hAnsi="Arial"/>
          <w:sz w:val="22"/>
          <w:szCs w:val="22"/>
          <w:color w:val="auto"/>
        </w:rPr>
      </w:pPr>
    </w:p>
    <w:p>
      <w:pPr>
        <w:jc w:val="both"/>
        <w:ind w:left="180" w:firstLine="652"/>
        <w:spacing w:after="0" w:line="273" w:lineRule="auto"/>
        <w:tabs>
          <w:tab w:leader="none" w:pos="120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applicable Subsidiary of the Company governing the terms of this Option,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 The Administrator will have the exclusive discretion to determine when Participant no longer is providing services for purposes of determining Service Provider status under this Option (including without limitation whether Participant will be considered to be providing services while on a leave of absence).</w:t>
      </w:r>
    </w:p>
    <w:p>
      <w:pPr>
        <w:spacing w:after="0" w:line="155" w:lineRule="exact"/>
        <w:rPr>
          <w:rFonts w:ascii="Arial" w:cs="Arial" w:eastAsia="Arial" w:hAnsi="Arial"/>
          <w:sz w:val="19"/>
          <w:szCs w:val="19"/>
          <w:color w:val="auto"/>
        </w:rPr>
      </w:pPr>
    </w:p>
    <w:p>
      <w:pPr>
        <w:jc w:val="both"/>
        <w:ind w:left="180" w:firstLine="652"/>
        <w:spacing w:after="0" w:line="238" w:lineRule="auto"/>
        <w:tabs>
          <w:tab w:leader="none" w:pos="117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Discretionary Acceleration</w:t>
      </w:r>
      <w:r>
        <w:rPr>
          <w:rFonts w:ascii="Arial" w:cs="Arial" w:eastAsia="Arial" w:hAnsi="Arial"/>
          <w:sz w:val="22"/>
          <w:szCs w:val="22"/>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84" w:lineRule="exact"/>
        <w:rPr>
          <w:rFonts w:ascii="Arial" w:cs="Arial" w:eastAsia="Arial" w:hAnsi="Arial"/>
          <w:sz w:val="22"/>
          <w:szCs w:val="22"/>
          <w:color w:val="auto"/>
        </w:rPr>
      </w:pPr>
    </w:p>
    <w:p>
      <w:pPr>
        <w:ind w:left="1180" w:hanging="348"/>
        <w:spacing w:after="0"/>
        <w:tabs>
          <w:tab w:leader="none" w:pos="118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38" w:lineRule="auto"/>
        <w:tabs>
          <w:tab w:leader="none" w:pos="1851"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This Option may be exercised only within the term set out in the Notice of Grant, and may be exercised during such term only in accordance with the Vesting Schedule set out in the Notice of Option Grant and with the applicable provisions of the Plan and the terms of this Option Agreement.</w:t>
      </w:r>
    </w:p>
    <w:p>
      <w:pPr>
        <w:spacing w:after="0" w:line="184" w:lineRule="exact"/>
        <w:rPr>
          <w:rFonts w:ascii="Arial" w:cs="Arial" w:eastAsia="Arial" w:hAnsi="Arial"/>
          <w:sz w:val="22"/>
          <w:szCs w:val="22"/>
          <w:color w:val="auto"/>
        </w:rPr>
      </w:pPr>
    </w:p>
    <w:p>
      <w:pPr>
        <w:jc w:val="both"/>
        <w:ind w:left="180" w:firstLine="1300"/>
        <w:spacing w:after="0" w:line="282" w:lineRule="auto"/>
        <w:tabs>
          <w:tab w:leader="none" w:pos="1876"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xml:space="preserve">. This Option is exercisable by delivery of an exercise notice (the “Exercise Notice”) in the form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Notice of Grant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248920</wp:posOffset>
            </wp:positionV>
            <wp:extent cx="573468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355" w:right="1319" w:bottom="1440" w:gutter="0" w:footer="0" w:header="0"/>
        </w:sectPr>
      </w:pPr>
    </w:p>
    <w:bookmarkStart w:id="91" w:name="page92"/>
    <w:bookmarkEnd w:id="91"/>
    <w:p>
      <w:pPr>
        <w:jc w:val="both"/>
        <w:ind w:left="180"/>
        <w:spacing w:after="0" w:line="282" w:lineRule="auto"/>
        <w:rPr>
          <w:sz w:val="20"/>
          <w:szCs w:val="20"/>
          <w:color w:val="auto"/>
        </w:rPr>
      </w:pPr>
      <w:r>
        <w:rPr>
          <w:rFonts w:ascii="Arial" w:cs="Arial" w:eastAsia="Arial" w:hAnsi="Arial"/>
          <w:sz w:val="19"/>
          <w:szCs w:val="19"/>
          <w:color w:val="auto"/>
        </w:rPr>
        <w:t>Company pursuant to the provisions of the Plan. The Exercise Notice will be completed by Participant and delivered to the Company. The Exercise Notice will be accompanied by payment of the aggregate Exercise Price as to all Exercised Shares and of any Tax Obligations (as defined in Section 6(a)). This Option will be deemed to be exercised upon receipt by the Company of such fully executed Exercise Notice accompanied by the aggregate Exercise Price, together with any applicable Tax Obligations.</w:t>
      </w:r>
    </w:p>
    <w:p>
      <w:pPr>
        <w:spacing w:after="0" w:line="148" w:lineRule="exact"/>
        <w:rPr>
          <w:sz w:val="20"/>
          <w:szCs w:val="20"/>
          <w:color w:val="auto"/>
        </w:rPr>
      </w:pPr>
    </w:p>
    <w:p>
      <w:pPr>
        <w:ind w:left="180" w:firstLine="652"/>
        <w:spacing w:after="0" w:line="250" w:lineRule="auto"/>
        <w:tabs>
          <w:tab w:leader="none" w:pos="121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aggregate Exercise Price will be by any of the following, or a combination thereof, at the election of Participant:</w:t>
      </w:r>
    </w:p>
    <w:p>
      <w:pPr>
        <w:spacing w:after="0" w:line="174" w:lineRule="exact"/>
        <w:rPr>
          <w:rFonts w:ascii="Arial" w:cs="Arial" w:eastAsia="Arial" w:hAnsi="Arial"/>
          <w:sz w:val="22"/>
          <w:szCs w:val="22"/>
          <w:color w:val="auto"/>
        </w:rPr>
      </w:pPr>
    </w:p>
    <w:p>
      <w:pPr>
        <w:ind w:left="1860" w:hanging="380"/>
        <w:spacing w:after="0"/>
        <w:tabs>
          <w:tab w:leader="none" w:pos="18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cash in U.S. dollars;</w:t>
      </w:r>
    </w:p>
    <w:p>
      <w:pPr>
        <w:spacing w:after="0" w:line="206" w:lineRule="exact"/>
        <w:rPr>
          <w:rFonts w:ascii="Arial" w:cs="Arial" w:eastAsia="Arial" w:hAnsi="Arial"/>
          <w:sz w:val="22"/>
          <w:szCs w:val="22"/>
          <w:color w:val="auto"/>
        </w:rPr>
      </w:pPr>
    </w:p>
    <w:p>
      <w:pPr>
        <w:ind w:left="1860" w:hanging="380"/>
        <w:spacing w:after="0"/>
        <w:tabs>
          <w:tab w:leader="none" w:pos="18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check designated in U.S. dollars;</w:t>
      </w:r>
    </w:p>
    <w:p>
      <w:pPr>
        <w:spacing w:after="0" w:line="206" w:lineRule="exact"/>
        <w:rPr>
          <w:rFonts w:ascii="Arial" w:cs="Arial" w:eastAsia="Arial" w:hAnsi="Arial"/>
          <w:sz w:val="22"/>
          <w:szCs w:val="22"/>
          <w:color w:val="auto"/>
        </w:rPr>
      </w:pPr>
    </w:p>
    <w:p>
      <w:pPr>
        <w:ind w:left="180" w:firstLine="1300"/>
        <w:spacing w:after="0" w:line="250" w:lineRule="auto"/>
        <w:tabs>
          <w:tab w:leader="none" w:pos="1864" w:val="left"/>
        </w:tabs>
        <w:numPr>
          <w:ilvl w:val="1"/>
          <w:numId w:val="66"/>
        </w:numPr>
        <w:rPr>
          <w:rFonts w:ascii="Arial" w:cs="Arial" w:eastAsia="Arial" w:hAnsi="Arial"/>
          <w:sz w:val="22"/>
          <w:szCs w:val="22"/>
          <w:color w:val="auto"/>
        </w:rPr>
      </w:pPr>
      <w:r>
        <w:rPr>
          <w:rFonts w:ascii="Arial" w:cs="Arial" w:eastAsia="Arial" w:hAnsi="Arial"/>
          <w:sz w:val="22"/>
          <w:szCs w:val="22"/>
          <w:color w:val="auto"/>
        </w:rPr>
        <w:t>consideration received by the Company under a formal cashless exercise program adopted by the Company in connection with the Plan; or</w:t>
      </w:r>
    </w:p>
    <w:p>
      <w:pPr>
        <w:spacing w:after="0" w:line="174" w:lineRule="exact"/>
        <w:rPr>
          <w:rFonts w:ascii="Arial" w:cs="Arial" w:eastAsia="Arial" w:hAnsi="Arial"/>
          <w:sz w:val="22"/>
          <w:szCs w:val="22"/>
          <w:color w:val="auto"/>
        </w:rPr>
      </w:pPr>
    </w:p>
    <w:p>
      <w:pPr>
        <w:jc w:val="both"/>
        <w:ind w:left="180" w:firstLine="1300"/>
        <w:spacing w:after="0" w:line="236" w:lineRule="auto"/>
        <w:tabs>
          <w:tab w:leader="none" w:pos="1903" w:val="left"/>
        </w:tabs>
        <w:numPr>
          <w:ilvl w:val="1"/>
          <w:numId w:val="66"/>
        </w:numPr>
        <w:rPr>
          <w:rFonts w:ascii="Arial" w:cs="Arial" w:eastAsia="Arial" w:hAnsi="Arial"/>
          <w:sz w:val="22"/>
          <w:szCs w:val="22"/>
          <w:color w:val="auto"/>
        </w:rPr>
      </w:pPr>
      <w:r>
        <w:rPr>
          <w:rFonts w:ascii="Arial" w:cs="Arial" w:eastAsia="Arial" w:hAnsi="Arial"/>
          <w:sz w:val="22"/>
          <w:szCs w:val="22"/>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187" w:lineRule="exact"/>
        <w:rPr>
          <w:rFonts w:ascii="Arial" w:cs="Arial" w:eastAsia="Arial" w:hAnsi="Arial"/>
          <w:sz w:val="22"/>
          <w:szCs w:val="22"/>
          <w:color w:val="auto"/>
        </w:rPr>
      </w:pPr>
    </w:p>
    <w:p>
      <w:pPr>
        <w:ind w:left="1180" w:hanging="348"/>
        <w:spacing w:after="0"/>
        <w:tabs>
          <w:tab w:leader="none" w:pos="118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69" w:lineRule="auto"/>
        <w:tabs>
          <w:tab w:leader="none" w:pos="1864"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regardless of any action taken by the Company or, if different, Participant’s employer (the “Employer”) or any Parent or Subsidiary of the Company to which Participant is providing services (together, the “Service Recipients”),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4700" w:hanging="183"/>
        <w:spacing w:after="0"/>
        <w:tabs>
          <w:tab w:leader="none" w:pos="4700" w:val="left"/>
        </w:tabs>
        <w:numPr>
          <w:ilvl w:val="2"/>
          <w:numId w:val="66"/>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92" w:name="page93"/>
    <w:bookmarkEnd w:id="92"/>
    <w:p>
      <w:pPr>
        <w:jc w:val="both"/>
        <w:ind w:left="180"/>
        <w:spacing w:after="0" w:line="236" w:lineRule="auto"/>
        <w:rPr>
          <w:sz w:val="20"/>
          <w:szCs w:val="20"/>
          <w:color w:val="auto"/>
        </w:rPr>
      </w:pPr>
      <w:r>
        <w:rPr>
          <w:rFonts w:ascii="Arial" w:cs="Arial" w:eastAsia="Arial" w:hAnsi="Arial"/>
          <w:sz w:val="22"/>
          <w:szCs w:val="22"/>
          <w:color w:val="auto"/>
        </w:rPr>
        <w:t>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honor the exercise and/or issue or deliver the Shares.</w:t>
      </w:r>
    </w:p>
    <w:p>
      <w:pPr>
        <w:spacing w:after="0" w:line="188" w:lineRule="exact"/>
        <w:rPr>
          <w:sz w:val="20"/>
          <w:szCs w:val="20"/>
          <w:color w:val="auto"/>
        </w:rPr>
      </w:pPr>
    </w:p>
    <w:p>
      <w:pPr>
        <w:jc w:val="both"/>
        <w:ind w:left="180" w:firstLine="1300"/>
        <w:spacing w:after="0" w:line="270" w:lineRule="auto"/>
        <w:tabs>
          <w:tab w:leader="none" w:pos="1876"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Pursuant to such procedures as the Administrator may specify from time to time, the applicable Service Recipient(s)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w:t>
      </w:r>
    </w:p>
    <w:p>
      <w:pPr>
        <w:spacing w:after="0" w:line="4" w:lineRule="exact"/>
        <w:rPr>
          <w:rFonts w:ascii="Arial" w:cs="Arial" w:eastAsia="Arial" w:hAnsi="Arial"/>
          <w:sz w:val="19"/>
          <w:szCs w:val="19"/>
          <w:color w:val="auto"/>
        </w:rPr>
      </w:pPr>
    </w:p>
    <w:p>
      <w:pPr>
        <w:jc w:val="both"/>
        <w:ind w:left="180" w:firstLine="4"/>
        <w:spacing w:after="0" w:line="268" w:lineRule="auto"/>
        <w:tabs>
          <w:tab w:leader="none" w:pos="439" w:val="left"/>
        </w:tabs>
        <w:numPr>
          <w:ilvl w:val="0"/>
          <w:numId w:val="68"/>
        </w:numPr>
        <w:rPr>
          <w:rFonts w:ascii="Arial" w:cs="Arial" w:eastAsia="Arial" w:hAnsi="Arial"/>
          <w:sz w:val="19"/>
          <w:szCs w:val="19"/>
          <w:color w:val="auto"/>
        </w:rPr>
      </w:pPr>
      <w:r>
        <w:rPr>
          <w:rFonts w:ascii="Arial" w:cs="Arial" w:eastAsia="Arial" w:hAnsi="Arial"/>
          <w:sz w:val="19"/>
          <w:szCs w:val="19"/>
          <w:color w:val="auto"/>
        </w:rPr>
        <w:t>paying cash in U.S. dollars or by check designated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Obligations withheld from Participant’s wages or other cash compensation paid to Participant by the applicable Service Recipient(s), (iv) delivering to the Company Shares that Participant owns and that have vested with a fair market value equal to the minimum withholding requirement for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the Administrator will have the right (but not the obligation) to satisfy any Tax Obligations by reducing the number of Shares otherwise deliverable to Participant. If the Tax Obligations are satisfied by withholding in Shares, for tax purposes, Participant is deemed to have been issued the full number of Exercised Shares, notwithstanding that a number of the Shares are held back solely for the purpose of paying the Tax Obligations. Further, if Participant is subject to tax in more than one jurisdiction between the Date of Grant and a date of any relevant taxable or tax withholding event, as applicable, Participant acknowledges and agrees that the applicable Service Recipient(s) (and/or former employer, as applicable) may be required to withhold or account for tax in more than one jurisdiction.</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left="180" w:firstLine="1300"/>
        <w:spacing w:after="0" w:line="272" w:lineRule="auto"/>
        <w:tabs>
          <w:tab w:leader="none" w:pos="1864"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also may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w:t>
      </w:r>
    </w:p>
    <w:p>
      <w:pPr>
        <w:spacing w:after="0" w:line="160" w:lineRule="exact"/>
        <w:rPr>
          <w:rFonts w:ascii="Arial" w:cs="Arial" w:eastAsia="Arial" w:hAnsi="Arial"/>
          <w:sz w:val="19"/>
          <w:szCs w:val="19"/>
          <w:color w:val="auto"/>
        </w:rPr>
      </w:pPr>
    </w:p>
    <w:p>
      <w:pPr>
        <w:ind w:left="4700" w:hanging="183"/>
        <w:spacing w:after="0"/>
        <w:tabs>
          <w:tab w:leader="none" w:pos="4700" w:val="left"/>
        </w:tabs>
        <w:numPr>
          <w:ilvl w:val="2"/>
          <w:numId w:val="68"/>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93" w:name="page94"/>
    <w:bookmarkEnd w:id="93"/>
    <w:p>
      <w:pPr>
        <w:jc w:val="both"/>
        <w:ind w:left="180"/>
        <w:spacing w:after="0" w:line="249" w:lineRule="auto"/>
        <w:rPr>
          <w:sz w:val="20"/>
          <w:szCs w:val="20"/>
          <w:color w:val="auto"/>
        </w:rPr>
      </w:pPr>
      <w:r>
        <w:rPr>
          <w:rFonts w:ascii="Arial" w:cs="Arial" w:eastAsia="Arial" w:hAnsi="Arial"/>
          <w:sz w:val="21"/>
          <w:szCs w:val="21"/>
          <w:color w:val="auto"/>
        </w:rPr>
        <w:t>Share exercise price that was less than the fair market value of a Share on the date of grant, Participant shall be solely responsible for Participant’s costs related to such a determination. In no event will the Company or any of its Parent or Subsidiaries have any liability, responsibility or obligation to reimburse, indemnify, or hold harmless Participant for any taxes, penalties and interest that may be imposed, or other costs that may be incurred, as a result of Section 409A.</w:t>
      </w:r>
    </w:p>
    <w:p>
      <w:pPr>
        <w:spacing w:after="0" w:line="179" w:lineRule="exact"/>
        <w:rPr>
          <w:sz w:val="20"/>
          <w:szCs w:val="20"/>
          <w:color w:val="auto"/>
        </w:rPr>
      </w:pPr>
    </w:p>
    <w:p>
      <w:pPr>
        <w:jc w:val="both"/>
        <w:ind w:left="180" w:firstLine="652"/>
        <w:spacing w:after="0" w:line="246" w:lineRule="auto"/>
        <w:tabs>
          <w:tab w:leader="none" w:pos="1219"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9" w:lineRule="exact"/>
        <w:rPr>
          <w:rFonts w:ascii="Arial" w:cs="Arial" w:eastAsia="Arial" w:hAnsi="Arial"/>
          <w:sz w:val="21"/>
          <w:szCs w:val="21"/>
          <w:color w:val="auto"/>
        </w:rPr>
      </w:pPr>
    </w:p>
    <w:p>
      <w:pPr>
        <w:jc w:val="both"/>
        <w:ind w:left="180" w:firstLine="652"/>
        <w:spacing w:after="0" w:line="270" w:lineRule="auto"/>
        <w:tabs>
          <w:tab w:leader="none" w:pos="1179"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No Guarantee of Continued Service</w:t>
      </w:r>
      <w:r>
        <w:rPr>
          <w:rFonts w:ascii="Arial" w:cs="Arial" w:eastAsia="Arial" w:hAnsi="Arial"/>
          <w:sz w:val="19"/>
          <w:szCs w:val="19"/>
          <w:color w:val="auto"/>
        </w:rPr>
        <w:t>. PARTICIPANT ACKNOWLEDGES AND AGREES THAT THE VESTING OF SHARES PURSUANT TO THE VESTING SCHEDULE HEREOF IS EARNED ONLY BY CONTINUING AS A SERVICE PROVIDER, WHICH UNLESS PROVIDED OTHERWISE UNDER APPLICABLE LAW IS AT THE WILL OF THE APPLICABLE SERVICE RECIPIENT AND NOT THROUGH THE ACT OF BEING HIRED, BEING GRANTED THIS</w:t>
      </w:r>
    </w:p>
    <w:p>
      <w:pPr>
        <w:spacing w:after="0" w:line="4" w:lineRule="exact"/>
        <w:rPr>
          <w:rFonts w:ascii="Arial" w:cs="Arial" w:eastAsia="Arial" w:hAnsi="Arial"/>
          <w:sz w:val="19"/>
          <w:szCs w:val="19"/>
          <w:color w:val="auto"/>
        </w:rPr>
      </w:pPr>
    </w:p>
    <w:p>
      <w:pPr>
        <w:jc w:val="both"/>
        <w:ind w:left="180"/>
        <w:spacing w:after="0" w:line="231" w:lineRule="auto"/>
        <w:rPr>
          <w:rFonts w:ascii="Arial" w:cs="Arial" w:eastAsia="Arial" w:hAnsi="Arial"/>
          <w:sz w:val="19"/>
          <w:szCs w:val="19"/>
          <w:color w:val="auto"/>
        </w:rPr>
      </w:pPr>
      <w:r>
        <w:rPr>
          <w:rFonts w:ascii="Arial" w:cs="Arial" w:eastAsia="Arial" w:hAnsi="Arial"/>
          <w:sz w:val="22"/>
          <w:szCs w:val="22"/>
          <w:color w:val="auto"/>
        </w:rPr>
        <w:t>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93" w:lineRule="exact"/>
        <w:rPr>
          <w:rFonts w:ascii="Arial" w:cs="Arial" w:eastAsia="Arial" w:hAnsi="Arial"/>
          <w:sz w:val="19"/>
          <w:szCs w:val="19"/>
          <w:color w:val="auto"/>
        </w:rPr>
      </w:pPr>
    </w:p>
    <w:p>
      <w:pPr>
        <w:jc w:val="both"/>
        <w:ind w:left="180" w:firstLine="652"/>
        <w:spacing w:after="0"/>
        <w:tabs>
          <w:tab w:leader="none" w:pos="1192"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Option is Not Transferable</w:t>
      </w:r>
      <w:r>
        <w:rPr>
          <w:rFonts w:ascii="Arial" w:cs="Arial" w:eastAsia="Arial" w:hAnsi="Arial"/>
          <w:sz w:val="22"/>
          <w:szCs w:val="22"/>
          <w:color w:val="auto"/>
        </w:rPr>
        <w:t>. This Option may not be transferred in any manner otherwise than by will or by the laws of descent or distribution and may be exercised during the lifetime of Participant only by Participant.</w:t>
      </w:r>
    </w:p>
    <w:p>
      <w:pPr>
        <w:spacing w:after="0" w:line="186" w:lineRule="exact"/>
        <w:rPr>
          <w:rFonts w:ascii="Arial" w:cs="Arial" w:eastAsia="Arial" w:hAnsi="Arial"/>
          <w:sz w:val="22"/>
          <w:szCs w:val="22"/>
          <w:color w:val="auto"/>
        </w:rPr>
      </w:pPr>
    </w:p>
    <w:p>
      <w:pPr>
        <w:jc w:val="both"/>
        <w:ind w:left="180" w:firstLine="652"/>
        <w:spacing w:after="0" w:line="244" w:lineRule="auto"/>
        <w:tabs>
          <w:tab w:leader="none" w:pos="1260"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Insider Trading Restrictions/Market Abuses</w:t>
      </w:r>
      <w:r>
        <w:rPr>
          <w:rFonts w:ascii="Arial" w:cs="Arial" w:eastAsia="Arial" w:hAnsi="Arial"/>
          <w:sz w:val="21"/>
          <w:szCs w:val="21"/>
          <w:color w:val="auto"/>
        </w:rPr>
        <w:t>. Participant acknowledges that Participant may be subject to insider trading restrictions and/or market abuse laws in applicable jurisdictions, including the United States and Participant’s country of residence, which may affect Participant’s ability, directly or indirectly, for Participant or for a third party, to acquire or sell, or attempt to sell, Shares or rights to Shares under the Plan during such times as Participant is considered to have “inside information” regarding the Company (as defined by the laws in the applicable jurisdiction, including the United States and Participant’s country of residence). Any restrictions under these laws or regulations are separate from and in addition to any restrictions that may be imposed under any applicable Company insider trading policy. Participant acknowledges that it is Participant’s responsibility to be compliant with all such requirements and Participant should consult Participant’s personal legal advisers to ensure compliance.</w:t>
      </w:r>
    </w:p>
    <w:p>
      <w:pPr>
        <w:spacing w:after="0" w:line="188" w:lineRule="exact"/>
        <w:rPr>
          <w:rFonts w:ascii="Arial" w:cs="Arial" w:eastAsia="Arial" w:hAnsi="Arial"/>
          <w:sz w:val="21"/>
          <w:szCs w:val="21"/>
          <w:color w:val="auto"/>
        </w:rPr>
      </w:pPr>
    </w:p>
    <w:p>
      <w:pPr>
        <w:ind w:left="4700" w:hanging="183"/>
        <w:spacing w:after="0"/>
        <w:tabs>
          <w:tab w:leader="none" w:pos="4700" w:val="left"/>
        </w:tabs>
        <w:numPr>
          <w:ilvl w:val="1"/>
          <w:numId w:val="69"/>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94" w:name="page95"/>
    <w:bookmarkEnd w:id="94"/>
    <w:p>
      <w:pPr>
        <w:jc w:val="both"/>
        <w:ind w:left="180" w:firstLine="652"/>
        <w:spacing w:after="0" w:line="272" w:lineRule="auto"/>
        <w:tabs>
          <w:tab w:leader="none" w:pos="1211"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Foreign Asset/Account Reporting Requirements; Exchange Controls</w:t>
      </w:r>
      <w:r>
        <w:rPr>
          <w:rFonts w:ascii="Arial" w:cs="Arial" w:eastAsia="Arial" w:hAnsi="Arial"/>
          <w:sz w:val="19"/>
          <w:szCs w:val="19"/>
          <w:color w:val="auto"/>
        </w:rPr>
        <w:t>. Participant’s country may have certain foreign asset and/or account reporting requirements and exchange controls which may affect Participant’s ability to acquire or hold Shares under the Plan or cash received from participating in the Plan (including from any dividends received or sale proceeds arising from the sale of Shares) in a brokerage or bank account outside Participant’s country. Participant understands that Participant may be required to report such accounts, assets or transactions to the tax or other authorities in Participant’s country. Participant also may be required to repatriate sale proceeds or other funds received as a result of participation in the Plan to Participant’s country through a designated bank or broker and/or within a certain time after receipt. In addition, Participant may be subject to tax payment and/or reporting obligations in connection with any income realized under the Plan and/or from the sale of Shares. Participant acknowledges that it is Participant’s responsibility to be compliant with all such requirements, and that Participant should consult Participant’s personal legal and tax advisers, as applicable, to ensure compliance.</w:t>
      </w:r>
    </w:p>
    <w:p>
      <w:pPr>
        <w:spacing w:after="0" w:line="156" w:lineRule="exact"/>
        <w:rPr>
          <w:rFonts w:ascii="Arial" w:cs="Arial" w:eastAsia="Arial" w:hAnsi="Arial"/>
          <w:sz w:val="19"/>
          <w:szCs w:val="19"/>
          <w:color w:val="auto"/>
        </w:rPr>
      </w:pPr>
    </w:p>
    <w:p>
      <w:pPr>
        <w:ind w:left="1260" w:hanging="428"/>
        <w:spacing w:after="0"/>
        <w:tabs>
          <w:tab w:leader="none" w:pos="126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the Option, Participant acknowledges, understands and</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agrees that:</w:t>
      </w:r>
    </w:p>
    <w:p>
      <w:pPr>
        <w:spacing w:after="0" w:line="188" w:lineRule="exact"/>
        <w:rPr>
          <w:rFonts w:ascii="Arial" w:cs="Arial" w:eastAsia="Arial" w:hAnsi="Arial"/>
          <w:sz w:val="19"/>
          <w:szCs w:val="19"/>
          <w:color w:val="auto"/>
        </w:rPr>
      </w:pPr>
    </w:p>
    <w:p>
      <w:pPr>
        <w:jc w:val="both"/>
        <w:ind w:left="180" w:firstLine="1300"/>
        <w:spacing w:after="0"/>
        <w:tabs>
          <w:tab w:leader="none" w:pos="1905"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grant of the Option is voluntary and occasional and does not create any contractual or other right to receive future grants of options, or benefits in lieu of options, even if options have been granted in the past;</w:t>
      </w:r>
    </w:p>
    <w:p>
      <w:pPr>
        <w:spacing w:after="0" w:line="186" w:lineRule="exact"/>
        <w:rPr>
          <w:rFonts w:ascii="Arial" w:cs="Arial" w:eastAsia="Arial" w:hAnsi="Arial"/>
          <w:sz w:val="22"/>
          <w:szCs w:val="22"/>
          <w:color w:val="auto"/>
        </w:rPr>
      </w:pPr>
    </w:p>
    <w:p>
      <w:pPr>
        <w:ind w:left="180" w:firstLine="1300"/>
        <w:spacing w:after="0" w:line="250" w:lineRule="auto"/>
        <w:tabs>
          <w:tab w:leader="none" w:pos="1863" w:val="left"/>
        </w:tabs>
        <w:numPr>
          <w:ilvl w:val="1"/>
          <w:numId w:val="70"/>
        </w:numPr>
        <w:rPr>
          <w:rFonts w:ascii="Arial" w:cs="Arial" w:eastAsia="Arial" w:hAnsi="Arial"/>
          <w:sz w:val="22"/>
          <w:szCs w:val="22"/>
          <w:color w:val="auto"/>
        </w:rPr>
      </w:pPr>
      <w:r>
        <w:rPr>
          <w:rFonts w:ascii="Arial" w:cs="Arial" w:eastAsia="Arial" w:hAnsi="Arial"/>
          <w:sz w:val="22"/>
          <w:szCs w:val="22"/>
          <w:color w:val="auto"/>
        </w:rPr>
        <w:t>all decisions with respect to future option or other grants, if any, will be at the sole discretion of the Administrator;</w:t>
      </w:r>
    </w:p>
    <w:p>
      <w:pPr>
        <w:spacing w:after="0" w:line="174" w:lineRule="exact"/>
        <w:rPr>
          <w:rFonts w:ascii="Arial" w:cs="Arial" w:eastAsia="Arial" w:hAnsi="Arial"/>
          <w:sz w:val="22"/>
          <w:szCs w:val="22"/>
          <w:color w:val="auto"/>
        </w:rPr>
      </w:pPr>
    </w:p>
    <w:p>
      <w:pPr>
        <w:ind w:left="1860" w:hanging="380"/>
        <w:spacing w:after="0"/>
        <w:tabs>
          <w:tab w:leader="none" w:pos="18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206" w:lineRule="exact"/>
        <w:rPr>
          <w:rFonts w:ascii="Arial" w:cs="Arial" w:eastAsia="Arial" w:hAnsi="Arial"/>
          <w:sz w:val="22"/>
          <w:szCs w:val="22"/>
          <w:color w:val="auto"/>
        </w:rPr>
      </w:pPr>
    </w:p>
    <w:p>
      <w:pPr>
        <w:ind w:left="180" w:firstLine="1300"/>
        <w:spacing w:after="0" w:line="250" w:lineRule="auto"/>
        <w:tabs>
          <w:tab w:leader="none" w:pos="1863"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Option and any Shares acquired under the Plan are not intended to replace any pension rights or compensation;</w:t>
      </w:r>
    </w:p>
    <w:p>
      <w:pPr>
        <w:spacing w:after="0" w:line="174" w:lineRule="exact"/>
        <w:rPr>
          <w:rFonts w:ascii="Arial" w:cs="Arial" w:eastAsia="Arial" w:hAnsi="Arial"/>
          <w:sz w:val="22"/>
          <w:szCs w:val="22"/>
          <w:color w:val="auto"/>
        </w:rPr>
      </w:pPr>
    </w:p>
    <w:p>
      <w:pPr>
        <w:jc w:val="both"/>
        <w:ind w:left="180" w:firstLine="1300"/>
        <w:spacing w:after="0" w:line="252" w:lineRule="auto"/>
        <w:tabs>
          <w:tab w:leader="none" w:pos="1864" w:val="left"/>
        </w:tabs>
        <w:numPr>
          <w:ilvl w:val="1"/>
          <w:numId w:val="70"/>
        </w:numPr>
        <w:rPr>
          <w:rFonts w:ascii="Arial" w:cs="Arial" w:eastAsia="Arial" w:hAnsi="Arial"/>
          <w:sz w:val="21"/>
          <w:szCs w:val="21"/>
          <w:color w:val="auto"/>
        </w:rPr>
      </w:pPr>
      <w:r>
        <w:rPr>
          <w:rFonts w:ascii="Arial" w:cs="Arial" w:eastAsia="Arial" w:hAnsi="Arial"/>
          <w:sz w:val="21"/>
          <w:szCs w:val="21"/>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holiday pay, pension or retirement or welfare benefits or similar payments;</w:t>
      </w:r>
    </w:p>
    <w:p>
      <w:pPr>
        <w:spacing w:after="0" w:line="173" w:lineRule="exact"/>
        <w:rPr>
          <w:rFonts w:ascii="Arial" w:cs="Arial" w:eastAsia="Arial" w:hAnsi="Arial"/>
          <w:sz w:val="21"/>
          <w:szCs w:val="21"/>
          <w:color w:val="auto"/>
        </w:rPr>
      </w:pPr>
    </w:p>
    <w:p>
      <w:pPr>
        <w:ind w:left="180" w:firstLine="1300"/>
        <w:spacing w:after="0" w:line="250" w:lineRule="auto"/>
        <w:tabs>
          <w:tab w:leader="none" w:pos="1881"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future value of the Shares underlying the Option is unknown, indeterminable, and cannot be predicted with certainty;</w:t>
      </w:r>
    </w:p>
    <w:p>
      <w:pPr>
        <w:spacing w:after="0" w:line="174" w:lineRule="exact"/>
        <w:rPr>
          <w:rFonts w:ascii="Arial" w:cs="Arial" w:eastAsia="Arial" w:hAnsi="Arial"/>
          <w:sz w:val="22"/>
          <w:szCs w:val="22"/>
          <w:color w:val="auto"/>
        </w:rPr>
      </w:pPr>
    </w:p>
    <w:p>
      <w:pPr>
        <w:ind w:left="1860" w:hanging="380"/>
        <w:spacing w:after="0"/>
        <w:tabs>
          <w:tab w:leader="none" w:pos="1860"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the underlying Shares do not increase in value, the Option will have no value;</w:t>
      </w:r>
    </w:p>
    <w:p>
      <w:pPr>
        <w:spacing w:after="0" w:line="240" w:lineRule="exact"/>
        <w:rPr>
          <w:rFonts w:ascii="Arial" w:cs="Arial" w:eastAsia="Arial" w:hAnsi="Arial"/>
          <w:sz w:val="19"/>
          <w:szCs w:val="19"/>
          <w:color w:val="auto"/>
        </w:rPr>
      </w:pPr>
    </w:p>
    <w:p>
      <w:pPr>
        <w:ind w:left="180" w:firstLine="1300"/>
        <w:spacing w:after="0" w:line="250" w:lineRule="auto"/>
        <w:tabs>
          <w:tab w:leader="none" w:pos="1890" w:val="left"/>
        </w:tabs>
        <w:numPr>
          <w:ilvl w:val="1"/>
          <w:numId w:val="70"/>
        </w:numPr>
        <w:rPr>
          <w:rFonts w:ascii="Arial" w:cs="Arial" w:eastAsia="Arial" w:hAnsi="Arial"/>
          <w:sz w:val="22"/>
          <w:szCs w:val="22"/>
          <w:color w:val="auto"/>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74" w:lineRule="exact"/>
        <w:rPr>
          <w:rFonts w:ascii="Arial" w:cs="Arial" w:eastAsia="Arial" w:hAnsi="Arial"/>
          <w:sz w:val="22"/>
          <w:szCs w:val="22"/>
          <w:color w:val="auto"/>
        </w:rPr>
      </w:pPr>
    </w:p>
    <w:p>
      <w:pPr>
        <w:jc w:val="both"/>
        <w:ind w:left="180" w:firstLine="1300"/>
        <w:spacing w:after="0" w:line="282" w:lineRule="auto"/>
        <w:tabs>
          <w:tab w:leader="none" w:pos="1923" w:val="left"/>
        </w:tabs>
        <w:numPr>
          <w:ilvl w:val="1"/>
          <w:numId w:val="70"/>
        </w:numPr>
        <w:rPr>
          <w:rFonts w:ascii="Arial" w:cs="Arial" w:eastAsia="Arial" w:hAnsi="Arial"/>
          <w:sz w:val="19"/>
          <w:szCs w:val="19"/>
          <w:color w:val="auto"/>
        </w:rPr>
      </w:pPr>
      <w:r>
        <w:rPr>
          <w:rFonts w:ascii="Arial" w:cs="Arial" w:eastAsia="Arial" w:hAnsi="Arial"/>
          <w:sz w:val="19"/>
          <w:szCs w:val="19"/>
          <w:color w:val="auto"/>
        </w:rPr>
        <w:t>for purposes of the Option, Participant’s status as a Service Provider will be considered terminated as of the date Participant is no longer actively providing services to the Company or any Parent or Subsidiary of the Company (regardless of the reason for such termination and whether or not later found to be invalid or in breach of employment laws in the jurisdiction where Participant is a Service Provider or the terms of Participant’s employment or service agreement, if</w:t>
      </w:r>
    </w:p>
    <w:p>
      <w:pPr>
        <w:spacing w:after="0" w:line="147" w:lineRule="exact"/>
        <w:rPr>
          <w:rFonts w:ascii="Arial" w:cs="Arial" w:eastAsia="Arial" w:hAnsi="Arial"/>
          <w:sz w:val="19"/>
          <w:szCs w:val="19"/>
          <w:color w:val="auto"/>
        </w:rPr>
      </w:pPr>
    </w:p>
    <w:p>
      <w:pPr>
        <w:ind w:left="4700" w:hanging="183"/>
        <w:spacing w:after="0"/>
        <w:tabs>
          <w:tab w:leader="none" w:pos="4700" w:val="left"/>
        </w:tabs>
        <w:numPr>
          <w:ilvl w:val="2"/>
          <w:numId w:val="70"/>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95" w:name="page96"/>
    <w:bookmarkEnd w:id="95"/>
    <w:p>
      <w:pPr>
        <w:jc w:val="both"/>
        <w:ind w:left="180"/>
        <w:spacing w:after="0" w:line="243" w:lineRule="auto"/>
        <w:rPr>
          <w:sz w:val="20"/>
          <w:szCs w:val="20"/>
          <w:color w:val="auto"/>
        </w:rPr>
      </w:pPr>
      <w:r>
        <w:rPr>
          <w:rFonts w:ascii="Arial" w:cs="Arial" w:eastAsia="Arial" w:hAnsi="Arial"/>
          <w:sz w:val="21"/>
          <w:szCs w:val="21"/>
          <w:color w:val="auto"/>
        </w:rPr>
        <w:t>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21"/>
          <w:szCs w:val="21"/>
          <w:i w:val="1"/>
          <w:iCs w:val="1"/>
          <w:color w:val="auto"/>
        </w:rPr>
        <w:t>e.g</w:t>
      </w:r>
      <w:r>
        <w:rPr>
          <w:rFonts w:ascii="Arial" w:cs="Arial" w:eastAsia="Arial" w:hAnsi="Arial"/>
          <w:sz w:val="21"/>
          <w:szCs w:val="21"/>
          <w:color w:val="auto"/>
        </w:rPr>
        <w:t>.,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w:t>
      </w:r>
    </w:p>
    <w:p>
      <w:pPr>
        <w:spacing w:after="0" w:line="194" w:lineRule="exact"/>
        <w:rPr>
          <w:sz w:val="20"/>
          <w:szCs w:val="20"/>
          <w:color w:val="auto"/>
        </w:rPr>
      </w:pPr>
    </w:p>
    <w:p>
      <w:pPr>
        <w:jc w:val="both"/>
        <w:ind w:left="180" w:firstLine="1300"/>
        <w:spacing w:after="0" w:line="287" w:lineRule="auto"/>
        <w:tabs>
          <w:tab w:leader="none" w:pos="1869" w:val="left"/>
        </w:tabs>
        <w:numPr>
          <w:ilvl w:val="0"/>
          <w:numId w:val="71"/>
        </w:numPr>
        <w:rPr>
          <w:rFonts w:ascii="Arial" w:cs="Arial" w:eastAsia="Arial" w:hAnsi="Arial"/>
          <w:sz w:val="19"/>
          <w:szCs w:val="19"/>
          <w:color w:val="auto"/>
        </w:rPr>
      </w:pPr>
      <w:r>
        <w:rPr>
          <w:rFonts w:ascii="Arial" w:cs="Arial" w:eastAsia="Arial" w:hAnsi="Arial"/>
          <w:sz w:val="19"/>
          <w:szCs w:val="19"/>
          <w:color w:val="auto"/>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142" w:lineRule="exact"/>
        <w:rPr>
          <w:rFonts w:ascii="Arial" w:cs="Arial" w:eastAsia="Arial" w:hAnsi="Arial"/>
          <w:sz w:val="19"/>
          <w:szCs w:val="19"/>
          <w:color w:val="auto"/>
        </w:rPr>
      </w:pPr>
    </w:p>
    <w:p>
      <w:pPr>
        <w:ind w:left="1880" w:hanging="400"/>
        <w:spacing w:after="0"/>
        <w:tabs>
          <w:tab w:leader="none" w:pos="18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following provisions apply only if Participant is providing services outside the</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United States:</w:t>
      </w:r>
    </w:p>
    <w:p>
      <w:pPr>
        <w:spacing w:after="0" w:line="188" w:lineRule="exact"/>
        <w:rPr>
          <w:rFonts w:ascii="Arial" w:cs="Arial" w:eastAsia="Arial" w:hAnsi="Arial"/>
          <w:sz w:val="19"/>
          <w:szCs w:val="19"/>
          <w:color w:val="auto"/>
        </w:rPr>
      </w:pPr>
    </w:p>
    <w:p>
      <w:pPr>
        <w:ind w:left="180" w:firstLine="1768"/>
        <w:spacing w:after="0" w:line="250" w:lineRule="auto"/>
        <w:tabs>
          <w:tab w:leader="none" w:pos="285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Option and the Shares subject to the Option are not part of normal or expected compensation or salary for any purpose;</w:t>
      </w:r>
    </w:p>
    <w:p>
      <w:pPr>
        <w:spacing w:after="0" w:line="175" w:lineRule="exact"/>
        <w:rPr>
          <w:sz w:val="20"/>
          <w:szCs w:val="20"/>
          <w:color w:val="auto"/>
        </w:rPr>
      </w:pPr>
    </w:p>
    <w:p>
      <w:pPr>
        <w:jc w:val="both"/>
        <w:ind w:left="180" w:firstLine="1732"/>
        <w:spacing w:after="0" w:line="287" w:lineRule="auto"/>
        <w:tabs>
          <w:tab w:leader="none" w:pos="2874" w:val="left"/>
        </w:tabs>
        <w:numPr>
          <w:ilvl w:val="0"/>
          <w:numId w:val="72"/>
        </w:numPr>
        <w:rPr>
          <w:rFonts w:ascii="Arial" w:cs="Arial" w:eastAsia="Arial" w:hAnsi="Arial"/>
          <w:sz w:val="19"/>
          <w:szCs w:val="19"/>
          <w:color w:val="auto"/>
        </w:rPr>
      </w:pPr>
      <w:r>
        <w:rPr>
          <w:rFonts w:ascii="Arial" w:cs="Arial" w:eastAsia="Arial" w:hAnsi="Arial"/>
          <w:sz w:val="19"/>
          <w:szCs w:val="19"/>
          <w:color w:val="auto"/>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43" w:lineRule="exact"/>
        <w:rPr>
          <w:sz w:val="20"/>
          <w:szCs w:val="20"/>
          <w:color w:val="auto"/>
        </w:rPr>
      </w:pPr>
    </w:p>
    <w:p>
      <w:pPr>
        <w:jc w:val="both"/>
        <w:ind w:left="180" w:firstLine="1696"/>
        <w:spacing w:after="0" w:line="273" w:lineRule="auto"/>
        <w:tabs>
          <w:tab w:leader="none" w:pos="2925" w:val="left"/>
        </w:tabs>
        <w:numPr>
          <w:ilvl w:val="1"/>
          <w:numId w:val="73"/>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80" w:firstLine="652"/>
        <w:spacing w:after="0" w:line="328" w:lineRule="auto"/>
        <w:tabs>
          <w:tab w:leader="none" w:pos="124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Participant’s participation in the</w:t>
      </w:r>
    </w:p>
    <w:p>
      <w:pPr>
        <w:spacing w:after="0" w:line="104" w:lineRule="exact"/>
        <w:rPr>
          <w:rFonts w:ascii="Arial" w:cs="Arial" w:eastAsia="Arial" w:hAnsi="Arial"/>
          <w:sz w:val="19"/>
          <w:szCs w:val="19"/>
          <w:color w:val="auto"/>
        </w:rPr>
      </w:pPr>
    </w:p>
    <w:p>
      <w:pPr>
        <w:ind w:left="4700" w:hanging="183"/>
        <w:spacing w:after="0"/>
        <w:tabs>
          <w:tab w:leader="none" w:pos="4700" w:val="left"/>
        </w:tabs>
        <w:numPr>
          <w:ilvl w:val="2"/>
          <w:numId w:val="74"/>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96" w:name="page97"/>
    <w:bookmarkEnd w:id="96"/>
    <w:p>
      <w:pPr>
        <w:jc w:val="both"/>
        <w:ind w:left="180"/>
        <w:spacing w:after="0"/>
        <w:rPr>
          <w:sz w:val="20"/>
          <w:szCs w:val="20"/>
          <w:color w:val="auto"/>
        </w:rPr>
      </w:pPr>
      <w:r>
        <w:rPr>
          <w:rFonts w:ascii="Arial" w:cs="Arial" w:eastAsia="Arial" w:hAnsi="Arial"/>
          <w:sz w:val="22"/>
          <w:szCs w:val="22"/>
          <w:color w:val="auto"/>
        </w:rPr>
        <w:t>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81" w:lineRule="exact"/>
        <w:rPr>
          <w:sz w:val="20"/>
          <w:szCs w:val="20"/>
          <w:color w:val="auto"/>
        </w:rPr>
      </w:pPr>
    </w:p>
    <w:p>
      <w:pPr>
        <w:jc w:val="both"/>
        <w:ind w:left="180" w:firstLine="652"/>
        <w:spacing w:after="0" w:line="237" w:lineRule="auto"/>
        <w:tabs>
          <w:tab w:leader="none" w:pos="1287" w:val="left"/>
        </w:tabs>
        <w:numPr>
          <w:ilvl w:val="0"/>
          <w:numId w:val="75"/>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Participant hereby explicitly and unambiguously consents to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collection, use and transfer, in 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w:t>
      </w:r>
    </w:p>
    <w:p>
      <w:pPr>
        <w:spacing w:after="0" w:line="188"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9"/>
          <w:szCs w:val="19"/>
          <w:b w:val="1"/>
          <w:bCs w:val="1"/>
          <w:i w:val="1"/>
          <w:iCs w:val="1"/>
          <w:color w:val="auto"/>
        </w:rPr>
        <w:t>Participant understands that the Company and the Service Recipient may hold certain personal information about Participant, including, but not limited to, Participant’s name, home address, email address and telephone number, date of birth, social insurance number, passport or other identification number (e.g., resident registration number), salary, nationality, job title, any Shares or directorships held in the Company, details of all equity awards or any other entitlement to Shares awarded, canceled, exercised, vested, unvested or outstanding in Participant’s favor (“Data”), for the exclusive purpose of implementing, administering and managing the Plan.</w:t>
      </w:r>
    </w:p>
    <w:p>
      <w:pPr>
        <w:spacing w:after="0" w:line="152" w:lineRule="exact"/>
        <w:rPr>
          <w:sz w:val="20"/>
          <w:szCs w:val="20"/>
          <w:color w:val="auto"/>
        </w:rPr>
      </w:pPr>
    </w:p>
    <w:p>
      <w:pPr>
        <w:jc w:val="both"/>
        <w:ind w:left="180" w:firstLine="648"/>
        <w:spacing w:after="0" w:line="269" w:lineRule="auto"/>
        <w:rPr>
          <w:sz w:val="20"/>
          <w:szCs w:val="20"/>
          <w:color w:val="auto"/>
        </w:rPr>
      </w:pPr>
      <w:r>
        <w:rPr>
          <w:rFonts w:ascii="Arial" w:cs="Arial" w:eastAsia="Arial" w:hAnsi="Arial"/>
          <w:sz w:val="19"/>
          <w:szCs w:val="19"/>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65"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97" w:name="page98"/>
    <w:bookmarkEnd w:id="97"/>
    <w:p>
      <w:pPr>
        <w:jc w:val="both"/>
        <w:ind w:left="180" w:firstLine="652"/>
        <w:spacing w:after="0" w:line="238" w:lineRule="auto"/>
        <w:tabs>
          <w:tab w:leader="none" w:pos="124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Option Agreement will be addressed to the Company, in care of its Chief Financial Officer at Pacific Biosciences of California, Inc., 1305 O’Brien Drive, Menlo Park, CA 94025, or at such other address as the Company may hereafter designate in writing.</w:t>
      </w:r>
    </w:p>
    <w:p>
      <w:pPr>
        <w:spacing w:after="0" w:line="185" w:lineRule="exact"/>
        <w:rPr>
          <w:rFonts w:ascii="Arial" w:cs="Arial" w:eastAsia="Arial" w:hAnsi="Arial"/>
          <w:sz w:val="22"/>
          <w:szCs w:val="22"/>
          <w:color w:val="auto"/>
        </w:rPr>
      </w:pPr>
    </w:p>
    <w:p>
      <w:pPr>
        <w:jc w:val="both"/>
        <w:ind w:left="180" w:firstLine="652"/>
        <w:spacing w:after="0" w:line="248" w:lineRule="auto"/>
        <w:tabs>
          <w:tab w:leader="none" w:pos="1233"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w:t>
      </w:r>
      <w:r>
        <w:rPr>
          <w:rFonts w:ascii="Arial" w:cs="Arial" w:eastAsia="Arial" w:hAnsi="Arial"/>
          <w:sz w:val="21"/>
          <w:szCs w:val="21"/>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6" w:lineRule="exact"/>
        <w:rPr>
          <w:rFonts w:ascii="Arial" w:cs="Arial" w:eastAsia="Arial" w:hAnsi="Arial"/>
          <w:sz w:val="21"/>
          <w:szCs w:val="21"/>
          <w:color w:val="auto"/>
        </w:rPr>
      </w:pPr>
    </w:p>
    <w:p>
      <w:pPr>
        <w:jc w:val="both"/>
        <w:ind w:left="180" w:firstLine="652"/>
        <w:spacing w:after="0" w:line="282" w:lineRule="auto"/>
        <w:tabs>
          <w:tab w:leader="none" w:pos="124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47" w:lineRule="exact"/>
        <w:rPr>
          <w:rFonts w:ascii="Arial" w:cs="Arial" w:eastAsia="Arial" w:hAnsi="Arial"/>
          <w:sz w:val="19"/>
          <w:szCs w:val="19"/>
          <w:color w:val="auto"/>
        </w:rPr>
      </w:pPr>
    </w:p>
    <w:p>
      <w:pPr>
        <w:jc w:val="both"/>
        <w:ind w:left="180" w:firstLine="652"/>
        <w:spacing w:after="0" w:line="279" w:lineRule="auto"/>
        <w:tabs>
          <w:tab w:leader="none" w:pos="124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be assigned only with the prior written consent of the Company.</w:t>
      </w:r>
    </w:p>
    <w:p>
      <w:pPr>
        <w:spacing w:after="0" w:line="150" w:lineRule="exact"/>
        <w:rPr>
          <w:rFonts w:ascii="Arial" w:cs="Arial" w:eastAsia="Arial" w:hAnsi="Arial"/>
          <w:sz w:val="19"/>
          <w:szCs w:val="19"/>
          <w:color w:val="auto"/>
        </w:rPr>
      </w:pPr>
    </w:p>
    <w:p>
      <w:pPr>
        <w:jc w:val="both"/>
        <w:ind w:left="180" w:firstLine="652"/>
        <w:spacing w:after="0" w:line="270" w:lineRule="auto"/>
        <w:tabs>
          <w:tab w:leader="none" w:pos="1219"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qualification or rule compliance of the Shares upon any securities exchange or under any U.S. federal, state, local or non-U.S. law, the tax code and related regulations or under the rulings or regulations of the United States Securities and Exchange Commission or any other governmental regulatory body, or under any Applicable Laws, or the clearance, consent or approval of the United States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 The Company will make all reasonable efforts to meet the requirements of any such Applicable Laws and to obtain any such registration, qualification, rule compliance, clearance, consent or approval of any such governmental regulatory authority.</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4700" w:hanging="183"/>
        <w:spacing w:after="0"/>
        <w:tabs>
          <w:tab w:leader="none" w:pos="4700" w:val="left"/>
        </w:tabs>
        <w:numPr>
          <w:ilvl w:val="1"/>
          <w:numId w:val="76"/>
        </w:numPr>
        <w:rPr>
          <w:rFonts w:ascii="Arial" w:cs="Arial" w:eastAsia="Arial" w:hAnsi="Arial"/>
          <w:sz w:val="22"/>
          <w:szCs w:val="22"/>
          <w:color w:val="auto"/>
        </w:rPr>
      </w:pPr>
      <w:r>
        <w:rPr>
          <w:rFonts w:ascii="Arial" w:cs="Arial" w:eastAsia="Arial" w:hAnsi="Arial"/>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98" w:name="page99"/>
    <w:bookmarkEnd w:id="98"/>
    <w:p>
      <w:pPr>
        <w:jc w:val="both"/>
        <w:ind w:left="180" w:firstLine="652"/>
        <w:spacing w:after="0" w:line="258" w:lineRule="auto"/>
        <w:tabs>
          <w:tab w:leader="none" w:pos="126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Language</w:t>
      </w:r>
      <w:r>
        <w:rPr>
          <w:rFonts w:ascii="Arial" w:cs="Arial" w:eastAsia="Arial" w:hAnsi="Arial"/>
          <w:sz w:val="21"/>
          <w:szCs w:val="21"/>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66" w:lineRule="exact"/>
        <w:rPr>
          <w:rFonts w:ascii="Arial" w:cs="Arial" w:eastAsia="Arial" w:hAnsi="Arial"/>
          <w:sz w:val="21"/>
          <w:szCs w:val="21"/>
          <w:color w:val="auto"/>
        </w:rPr>
      </w:pPr>
    </w:p>
    <w:p>
      <w:pPr>
        <w:jc w:val="both"/>
        <w:ind w:left="180" w:firstLine="652"/>
        <w:spacing w:after="0" w:line="275" w:lineRule="auto"/>
        <w:tabs>
          <w:tab w:leader="none" w:pos="1219"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57" w:lineRule="exact"/>
        <w:rPr>
          <w:rFonts w:ascii="Arial" w:cs="Arial" w:eastAsia="Arial" w:hAnsi="Arial"/>
          <w:sz w:val="19"/>
          <w:szCs w:val="19"/>
          <w:color w:val="auto"/>
        </w:rPr>
      </w:pPr>
    </w:p>
    <w:p>
      <w:pPr>
        <w:ind w:left="180" w:firstLine="652"/>
        <w:spacing w:after="0" w:line="250" w:lineRule="auto"/>
        <w:tabs>
          <w:tab w:leader="none" w:pos="1246"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Option Agreement.</w:t>
      </w:r>
    </w:p>
    <w:p>
      <w:pPr>
        <w:spacing w:after="0" w:line="174" w:lineRule="exact"/>
        <w:rPr>
          <w:rFonts w:ascii="Arial" w:cs="Arial" w:eastAsia="Arial" w:hAnsi="Arial"/>
          <w:sz w:val="22"/>
          <w:szCs w:val="22"/>
          <w:color w:val="auto"/>
        </w:rPr>
      </w:pPr>
    </w:p>
    <w:p>
      <w:pPr>
        <w:jc w:val="both"/>
        <w:ind w:left="180" w:firstLine="652"/>
        <w:spacing w:after="0" w:line="287" w:lineRule="auto"/>
        <w:tabs>
          <w:tab w:leader="none" w:pos="1219"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Amendment, Suspension or Termination of the Plan</w:t>
      </w:r>
      <w:r>
        <w:rPr>
          <w:rFonts w:ascii="Arial" w:cs="Arial" w:eastAsia="Arial" w:hAnsi="Arial"/>
          <w:sz w:val="19"/>
          <w:szCs w:val="19"/>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42" w:lineRule="exact"/>
        <w:rPr>
          <w:rFonts w:ascii="Arial" w:cs="Arial" w:eastAsia="Arial" w:hAnsi="Arial"/>
          <w:sz w:val="19"/>
          <w:szCs w:val="19"/>
          <w:color w:val="auto"/>
        </w:rPr>
      </w:pPr>
    </w:p>
    <w:p>
      <w:pPr>
        <w:jc w:val="both"/>
        <w:ind w:left="180" w:firstLine="652"/>
        <w:spacing w:after="0" w:line="273" w:lineRule="auto"/>
        <w:tabs>
          <w:tab w:leader="none" w:pos="1219"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Governing Law; Venue; Severability</w:t>
      </w:r>
      <w:r>
        <w:rPr>
          <w:rFonts w:ascii="Arial" w:cs="Arial" w:eastAsia="Arial" w:hAnsi="Arial"/>
          <w:sz w:val="19"/>
          <w:szCs w:val="19"/>
          <w:color w:val="auto"/>
        </w:rPr>
        <w:t>. This Option Agreement and the Option are governed by the internal substantive laws, but not the choice of law rules, of the State of California. For purposes of litigating any dispute that arises under this Option or this Option Agreement, the parties hereby submit to and consent to the jurisdiction of the State of California, and agree that such litigation will be conducted in the courts of San Mateo County, California, or the United States federal courts for the Northern District of California, and no other courts, where this Option Agreement is made and/or to be performed. In the event that any provision in this Option Agreement, including the country-specific provisions set forth in an attachment to this Option Agreement (if any), will be held invalid or unenforceable, such provision will be severable from, and such invalidity or unenforceability will not be construed to have any effect on, the remaining provisions of this Option Agreement.</w:t>
      </w:r>
    </w:p>
    <w:p>
      <w:pPr>
        <w:spacing w:after="0" w:line="160" w:lineRule="exact"/>
        <w:rPr>
          <w:rFonts w:ascii="Arial" w:cs="Arial" w:eastAsia="Arial" w:hAnsi="Arial"/>
          <w:sz w:val="19"/>
          <w:szCs w:val="19"/>
          <w:color w:val="auto"/>
        </w:rPr>
      </w:pPr>
    </w:p>
    <w:p>
      <w:pPr>
        <w:jc w:val="both"/>
        <w:ind w:left="180" w:firstLine="652"/>
        <w:spacing w:after="0" w:line="272" w:lineRule="auto"/>
        <w:tabs>
          <w:tab w:leader="none" w:pos="124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Modifications to the Option Agreement</w:t>
      </w:r>
      <w:r>
        <w:rPr>
          <w:rFonts w:ascii="Arial" w:cs="Arial" w:eastAsia="Arial" w:hAnsi="Arial"/>
          <w:sz w:val="19"/>
          <w:szCs w:val="19"/>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Section 409A or to otherwise avoid imposition of any additional tax or income recognition under Section 409A in connection with the Option. Further, the Company reserves the right to impose other requirements on Participant’s participation in the Plan, on this Option and on any Shares acquired under the Plan, to the extent the Company determines it is necessary or advisable for legal or administrative reasons, and to require Participant to execute any additional agreements or undertakings that may be necessary to accomplish the foregoing.</w:t>
      </w:r>
    </w:p>
    <w:p>
      <w:pPr>
        <w:spacing w:after="0" w:line="155" w:lineRule="exact"/>
        <w:rPr>
          <w:rFonts w:ascii="Arial" w:cs="Arial" w:eastAsia="Arial" w:hAnsi="Arial"/>
          <w:sz w:val="19"/>
          <w:szCs w:val="19"/>
          <w:color w:val="auto"/>
        </w:rPr>
      </w:pPr>
    </w:p>
    <w:p>
      <w:pPr>
        <w:ind w:left="4700" w:hanging="183"/>
        <w:spacing w:after="0"/>
        <w:tabs>
          <w:tab w:leader="none" w:pos="4700" w:val="left"/>
        </w:tabs>
        <w:numPr>
          <w:ilvl w:val="1"/>
          <w:numId w:val="77"/>
        </w:numPr>
        <w:rPr>
          <w:rFonts w:ascii="Arial" w:cs="Arial" w:eastAsia="Arial" w:hAnsi="Arial"/>
          <w:sz w:val="22"/>
          <w:szCs w:val="22"/>
          <w:color w:val="auto"/>
        </w:rPr>
      </w:pPr>
      <w:r>
        <w:rPr>
          <w:rFonts w:ascii="Arial" w:cs="Arial" w:eastAsia="Arial" w:hAnsi="Arial"/>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99" w:name="page100"/>
    <w:bookmarkEnd w:id="99"/>
    <w:p>
      <w:pPr>
        <w:jc w:val="both"/>
        <w:ind w:left="180" w:firstLine="652"/>
        <w:spacing w:after="0" w:line="234" w:lineRule="auto"/>
        <w:tabs>
          <w:tab w:leader="none" w:pos="124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Tax Consequences</w:t>
      </w:r>
      <w:r>
        <w:rPr>
          <w:rFonts w:ascii="Arial" w:cs="Arial" w:eastAsia="Arial" w:hAnsi="Arial"/>
          <w:sz w:val="22"/>
          <w:szCs w:val="22"/>
          <w:color w:val="auto"/>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91" w:lineRule="exact"/>
        <w:rPr>
          <w:rFonts w:ascii="Arial" w:cs="Arial" w:eastAsia="Arial" w:hAnsi="Arial"/>
          <w:sz w:val="22"/>
          <w:szCs w:val="22"/>
          <w:color w:val="auto"/>
        </w:rPr>
      </w:pPr>
    </w:p>
    <w:p>
      <w:pPr>
        <w:jc w:val="both"/>
        <w:ind w:left="180" w:firstLine="652"/>
        <w:spacing w:after="0" w:line="248" w:lineRule="auto"/>
        <w:tabs>
          <w:tab w:leader="none" w:pos="1233"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The Plan is incorporated herein by this reference. The Plan and this Option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6" w:lineRule="exact"/>
        <w:rPr>
          <w:rFonts w:ascii="Arial" w:cs="Arial" w:eastAsia="Arial" w:hAnsi="Arial"/>
          <w:sz w:val="21"/>
          <w:szCs w:val="21"/>
          <w:color w:val="auto"/>
        </w:rPr>
      </w:pPr>
    </w:p>
    <w:p>
      <w:pPr>
        <w:jc w:val="both"/>
        <w:ind w:left="180" w:firstLine="652"/>
        <w:spacing w:after="0" w:line="275" w:lineRule="auto"/>
        <w:tabs>
          <w:tab w:leader="none" w:pos="1233"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Country Addendum</w:t>
      </w:r>
      <w:r>
        <w:rPr>
          <w:rFonts w:ascii="Arial" w:cs="Arial" w:eastAsia="Arial" w:hAnsi="Arial"/>
          <w:sz w:val="19"/>
          <w:szCs w:val="19"/>
          <w:color w:val="auto"/>
        </w:rPr>
        <w:t>. This Option shall be subject to any special terms and conditions set forth in an exhibit, appendix, addendum or other attachment (if any) to this Option Agreement for any country whose laws are applicable to Participant and this Option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57" w:lineRule="exact"/>
        <w:rPr>
          <w:rFonts w:ascii="Arial" w:cs="Arial" w:eastAsia="Arial" w:hAnsi="Arial"/>
          <w:sz w:val="19"/>
          <w:szCs w:val="19"/>
          <w:color w:val="auto"/>
        </w:rPr>
      </w:pPr>
    </w:p>
    <w:p>
      <w:pPr>
        <w:ind w:left="396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ind w:left="4700" w:hanging="183"/>
        <w:spacing w:after="0"/>
        <w:tabs>
          <w:tab w:leader="none" w:pos="4700" w:val="left"/>
        </w:tabs>
        <w:numPr>
          <w:ilvl w:val="2"/>
          <w:numId w:val="78"/>
        </w:numPr>
        <w:rPr>
          <w:rFonts w:ascii="Arial" w:cs="Arial" w:eastAsia="Arial" w:hAnsi="Arial"/>
          <w:sz w:val="22"/>
          <w:szCs w:val="22"/>
          <w:color w:val="auto"/>
        </w:rPr>
      </w:pPr>
      <w:r>
        <w:rPr>
          <w:rFonts w:ascii="Arial" w:cs="Arial" w:eastAsia="Arial" w:hAnsi="Arial"/>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100" w:name="page101"/>
    <w:bookmarkEnd w:id="100"/>
    <w:p>
      <w:pPr>
        <w:jc w:val="center"/>
        <w:ind w:right="-179"/>
        <w:spacing w:after="0"/>
        <w:rPr>
          <w:sz w:val="20"/>
          <w:szCs w:val="20"/>
          <w:color w:val="auto"/>
        </w:rPr>
      </w:pPr>
      <w:r>
        <w:rPr>
          <w:rFonts w:ascii="Arial" w:cs="Arial" w:eastAsia="Arial" w:hAnsi="Arial"/>
          <w:sz w:val="22"/>
          <w:szCs w:val="22"/>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1640" w:right="2080"/>
        <w:spacing w:after="0" w:line="448" w:lineRule="auto"/>
        <w:rPr>
          <w:sz w:val="20"/>
          <w:szCs w:val="20"/>
          <w:color w:val="auto"/>
        </w:rPr>
      </w:pPr>
      <w:r>
        <w:rPr>
          <w:rFonts w:ascii="Arial" w:cs="Arial" w:eastAsia="Arial" w:hAnsi="Arial"/>
          <w:sz w:val="22"/>
          <w:szCs w:val="22"/>
          <w:b w:val="1"/>
          <w:bCs w:val="1"/>
          <w:color w:val="auto"/>
        </w:rPr>
        <w:t>OMNIOME EQUITY INCENTIVE PLAN OF PACIFIC BIOSCIENCES OF CALIFORNIA, INC. EXERCISE NOTICE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Pacific Biosciences of California, Inc.</w:t>
      </w:r>
    </w:p>
    <w:p>
      <w:pPr>
        <w:ind w:left="180"/>
        <w:spacing w:after="0" w:line="238" w:lineRule="auto"/>
        <w:rPr>
          <w:sz w:val="20"/>
          <w:szCs w:val="20"/>
          <w:color w:val="auto"/>
        </w:rPr>
      </w:pPr>
      <w:r>
        <w:rPr>
          <w:rFonts w:ascii="Arial" w:cs="Arial" w:eastAsia="Arial" w:hAnsi="Arial"/>
          <w:sz w:val="22"/>
          <w:szCs w:val="22"/>
          <w:color w:val="auto"/>
        </w:rPr>
        <w:t>1305 O’Brien Drive</w:t>
      </w:r>
    </w:p>
    <w:p>
      <w:pPr>
        <w:ind w:left="180"/>
        <w:spacing w:after="0"/>
        <w:rPr>
          <w:sz w:val="20"/>
          <w:szCs w:val="20"/>
          <w:color w:val="auto"/>
        </w:rPr>
      </w:pPr>
      <w:r>
        <w:rPr>
          <w:rFonts w:ascii="Arial" w:cs="Arial" w:eastAsia="Arial" w:hAnsi="Arial"/>
          <w:sz w:val="22"/>
          <w:szCs w:val="22"/>
          <w:color w:val="auto"/>
        </w:rPr>
        <w:t>Menlo Park, CA 94025</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Attention: Chief Financial Officer</w:t>
      </w:r>
    </w:p>
    <w:p>
      <w:pPr>
        <w:spacing w:after="0" w:line="200" w:lineRule="exact"/>
        <w:rPr>
          <w:sz w:val="20"/>
          <w:szCs w:val="20"/>
          <w:color w:val="auto"/>
        </w:rPr>
      </w:pPr>
    </w:p>
    <w:p>
      <w:pPr>
        <w:spacing w:after="0" w:line="249" w:lineRule="exact"/>
        <w:rPr>
          <w:sz w:val="20"/>
          <w:szCs w:val="20"/>
          <w:color w:val="auto"/>
        </w:rPr>
      </w:pPr>
    </w:p>
    <w:p>
      <w:pPr>
        <w:jc w:val="both"/>
        <w:ind w:left="180" w:firstLine="652"/>
        <w:spacing w:after="0" w:line="274" w:lineRule="auto"/>
        <w:tabs>
          <w:tab w:leader="none" w:pos="120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Exercise of Option</w:t>
      </w:r>
      <w:r>
        <w:rPr>
          <w:rFonts w:ascii="Arial" w:cs="Arial" w:eastAsia="Arial" w:hAnsi="Arial"/>
          <w:sz w:val="19"/>
          <w:szCs w:val="19"/>
          <w:color w:val="auto"/>
        </w:rPr>
        <w:t xml:space="preserve">. Effective as of today, ________________, _____, the undersigned (“Purchaser”) hereby elects to purchase ______________ shares (the “Shares”) of the Common Stock of Pacific Biosciences of California, Inc. (the “Company”) under and pursuant to the Omniome Equity Incentive Plan of Pacific Biosciences of California, Inc. (the “Plan”) and the Global Stock Option Agreement, dated ________ and including the Notice of Grant, the Terms and Conditions of Stock Option Grant, the Country Addendum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thereto, and other exhibits, appendices and addenda attached thereto (the “Option Agreement”). Unless otherwise defined herein, capitalized terms used in this Exercise Notice shall be ascribed the same defined meanings as set forth in the Option Agreement (or, as applicable, the Plan or other written agreement or arrangement as specified in the Option Agreement).</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left="180" w:firstLine="652"/>
        <w:spacing w:after="0"/>
        <w:tabs>
          <w:tab w:leader="none" w:pos="119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Delivery of Payment</w:t>
      </w:r>
      <w:r>
        <w:rPr>
          <w:rFonts w:ascii="Arial" w:cs="Arial" w:eastAsia="Arial" w:hAnsi="Arial"/>
          <w:sz w:val="22"/>
          <w:szCs w:val="22"/>
          <w:color w:val="auto"/>
        </w:rPr>
        <w:t>. Purchaser herewith delivers to the Company the full purchase price of the Shares and any Tax Obligations (as defined in Section 6(a) of the Option Agreement) to be paid in connection with the exercise of the Option.</w:t>
      </w:r>
    </w:p>
    <w:p>
      <w:pPr>
        <w:spacing w:after="0" w:line="186" w:lineRule="exact"/>
        <w:rPr>
          <w:rFonts w:ascii="Arial" w:cs="Arial" w:eastAsia="Arial" w:hAnsi="Arial"/>
          <w:sz w:val="22"/>
          <w:szCs w:val="22"/>
          <w:color w:val="auto"/>
        </w:rPr>
      </w:pPr>
    </w:p>
    <w:p>
      <w:pPr>
        <w:jc w:val="both"/>
        <w:ind w:left="180" w:firstLine="652"/>
        <w:spacing w:after="0"/>
        <w:tabs>
          <w:tab w:leader="none" w:pos="119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Representations of Purchaser</w:t>
      </w:r>
      <w:r>
        <w:rPr>
          <w:rFonts w:ascii="Arial" w:cs="Arial" w:eastAsia="Arial" w:hAnsi="Arial"/>
          <w:sz w:val="22"/>
          <w:szCs w:val="22"/>
          <w:color w:val="auto"/>
        </w:rPr>
        <w:t xml:space="preserve">. Purchaser acknowledges that Purchaser has received, read and understood the Plan and the Option Agreement (including </w:t>
      </w:r>
      <w:r>
        <w:rPr>
          <w:rFonts w:ascii="Arial" w:cs="Arial" w:eastAsia="Arial" w:hAnsi="Arial"/>
          <w:sz w:val="22"/>
          <w:szCs w:val="22"/>
          <w:u w:val="single" w:color="auto"/>
          <w:color w:val="auto"/>
        </w:rPr>
        <w:t>Exhibit C</w:t>
      </w:r>
      <w:r>
        <w:rPr>
          <w:rFonts w:ascii="Arial" w:cs="Arial" w:eastAsia="Arial" w:hAnsi="Arial"/>
          <w:sz w:val="22"/>
          <w:szCs w:val="22"/>
          <w:color w:val="auto"/>
        </w:rPr>
        <w:t>) and agrees to abide by and be bound by their terms and conditions.</w:t>
      </w:r>
    </w:p>
    <w:p>
      <w:pPr>
        <w:spacing w:after="0" w:line="186" w:lineRule="exact"/>
        <w:rPr>
          <w:rFonts w:ascii="Arial" w:cs="Arial" w:eastAsia="Arial" w:hAnsi="Arial"/>
          <w:sz w:val="22"/>
          <w:szCs w:val="22"/>
          <w:color w:val="auto"/>
        </w:rPr>
      </w:pPr>
    </w:p>
    <w:p>
      <w:pPr>
        <w:jc w:val="both"/>
        <w:ind w:left="180" w:firstLine="652"/>
        <w:spacing w:after="0" w:line="277" w:lineRule="auto"/>
        <w:tabs>
          <w:tab w:leader="none" w:pos="120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the Option is exercised in accordance with the Option Agreement. No adjustment will be made for a dividend or other right for which the record date is prior to the date of issuance, except as provided in Section 14 of the Plan.</w:t>
      </w:r>
    </w:p>
    <w:p>
      <w:pPr>
        <w:spacing w:after="0" w:line="151" w:lineRule="exact"/>
        <w:rPr>
          <w:rFonts w:ascii="Arial" w:cs="Arial" w:eastAsia="Arial" w:hAnsi="Arial"/>
          <w:sz w:val="19"/>
          <w:szCs w:val="19"/>
          <w:color w:val="auto"/>
        </w:rPr>
      </w:pPr>
    </w:p>
    <w:p>
      <w:pPr>
        <w:jc w:val="both"/>
        <w:ind w:left="180" w:firstLine="652"/>
        <w:spacing w:after="0" w:line="297" w:lineRule="auto"/>
        <w:tabs>
          <w:tab w:leader="none" w:pos="1273"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Tax Consultation</w:t>
      </w:r>
      <w:r>
        <w:rPr>
          <w:rFonts w:ascii="Arial" w:cs="Arial" w:eastAsia="Arial" w:hAnsi="Arial"/>
          <w:sz w:val="19"/>
          <w:szCs w:val="19"/>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240030</wp:posOffset>
            </wp:positionV>
            <wp:extent cx="573468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355" w:right="1319" w:bottom="1440" w:gutter="0" w:footer="0" w:header="0"/>
        </w:sectPr>
      </w:pPr>
    </w:p>
    <w:bookmarkStart w:id="101" w:name="page102"/>
    <w:bookmarkEnd w:id="101"/>
    <w:p>
      <w:pPr>
        <w:ind w:left="180"/>
        <w:spacing w:after="0" w:line="251" w:lineRule="auto"/>
        <w:rPr>
          <w:sz w:val="20"/>
          <w:szCs w:val="20"/>
          <w:color w:val="auto"/>
        </w:rPr>
      </w:pPr>
      <w:r>
        <w:rPr>
          <w:rFonts w:ascii="Arial" w:cs="Arial" w:eastAsia="Arial" w:hAnsi="Arial"/>
          <w:sz w:val="22"/>
          <w:szCs w:val="22"/>
          <w:color w:val="auto"/>
        </w:rPr>
        <w:t>the purchase or disposition of the Shares and that Purchaser is not relying on the Company for any tax advice.</w:t>
      </w:r>
    </w:p>
    <w:p>
      <w:pPr>
        <w:spacing w:after="0" w:line="173" w:lineRule="exact"/>
        <w:rPr>
          <w:sz w:val="20"/>
          <w:szCs w:val="20"/>
          <w:color w:val="auto"/>
        </w:rPr>
      </w:pPr>
    </w:p>
    <w:p>
      <w:pPr>
        <w:jc w:val="both"/>
        <w:ind w:left="180" w:firstLine="652"/>
        <w:spacing w:after="0" w:line="246" w:lineRule="auto"/>
        <w:tabs>
          <w:tab w:leader="none" w:pos="1219"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Entire Agreement; Governing Law</w:t>
      </w:r>
      <w:r>
        <w:rPr>
          <w:rFonts w:ascii="Arial" w:cs="Arial" w:eastAsia="Arial" w:hAnsi="Arial"/>
          <w:sz w:val="21"/>
          <w:szCs w:val="21"/>
          <w:color w:val="auto"/>
        </w:rPr>
        <w:t>. The Plan and Option Agreement are incorporated herein by this reference. This Exercise Notice, the Plan and the Option Agreement (including the exhibits, appendices, and addenda thereto)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Option Agreement is governed by the internal substantive laws, but not the choice of law rules, of California.</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820" w:type="dxa"/>
            <w:vAlign w:val="bottom"/>
          </w:tcPr>
          <w:p>
            <w:pPr>
              <w:spacing w:after="0"/>
              <w:rPr>
                <w:sz w:val="20"/>
                <w:szCs w:val="20"/>
                <w:color w:val="auto"/>
              </w:rPr>
            </w:pPr>
            <w:r>
              <w:rPr>
                <w:rFonts w:ascii="Arial" w:cs="Arial" w:eastAsia="Arial" w:hAnsi="Arial"/>
                <w:sz w:val="22"/>
                <w:szCs w:val="22"/>
                <w:color w:val="auto"/>
              </w:rPr>
              <w:t>Submitted by:</w:t>
            </w:r>
          </w:p>
        </w:tc>
        <w:tc>
          <w:tcPr>
            <w:tcW w:w="5960" w:type="dxa"/>
            <w:vAlign w:val="bottom"/>
          </w:tcPr>
          <w:p>
            <w:pPr>
              <w:ind w:left="1960"/>
              <w:spacing w:after="0"/>
              <w:rPr>
                <w:sz w:val="20"/>
                <w:szCs w:val="20"/>
                <w:color w:val="auto"/>
              </w:rPr>
            </w:pPr>
            <w:r>
              <w:rPr>
                <w:rFonts w:ascii="Arial" w:cs="Arial" w:eastAsia="Arial" w:hAnsi="Arial"/>
                <w:sz w:val="22"/>
                <w:szCs w:val="22"/>
                <w:color w:val="auto"/>
              </w:rPr>
              <w:t>Accepted by:</w:t>
            </w:r>
          </w:p>
        </w:tc>
        <w:tc>
          <w:tcPr>
            <w:tcW w:w="0" w:type="dxa"/>
            <w:vAlign w:val="bottom"/>
          </w:tcPr>
          <w:p>
            <w:pPr>
              <w:spacing w:after="0"/>
              <w:rPr>
                <w:sz w:val="1"/>
                <w:szCs w:val="1"/>
                <w:color w:val="auto"/>
              </w:rPr>
            </w:pPr>
          </w:p>
        </w:tc>
      </w:tr>
      <w:tr>
        <w:trPr>
          <w:trHeight w:val="440"/>
        </w:trPr>
        <w:tc>
          <w:tcPr>
            <w:tcW w:w="2820" w:type="dxa"/>
            <w:vAlign w:val="bottom"/>
          </w:tcPr>
          <w:p>
            <w:pPr>
              <w:spacing w:after="0"/>
              <w:rPr>
                <w:sz w:val="20"/>
                <w:szCs w:val="20"/>
                <w:color w:val="auto"/>
              </w:rPr>
            </w:pPr>
            <w:r>
              <w:rPr>
                <w:rFonts w:ascii="Arial" w:cs="Arial" w:eastAsia="Arial" w:hAnsi="Arial"/>
                <w:sz w:val="20"/>
                <w:szCs w:val="20"/>
                <w:color w:val="auto"/>
              </w:rPr>
              <w:t>PURCHASER</w:t>
            </w:r>
          </w:p>
        </w:tc>
        <w:tc>
          <w:tcPr>
            <w:tcW w:w="5960" w:type="dxa"/>
            <w:vAlign w:val="bottom"/>
          </w:tcPr>
          <w:p>
            <w:pPr>
              <w:ind w:left="1840"/>
              <w:spacing w:after="0"/>
              <w:rPr>
                <w:sz w:val="20"/>
                <w:szCs w:val="20"/>
                <w:color w:val="auto"/>
              </w:rPr>
            </w:pPr>
            <w:r>
              <w:rPr>
                <w:rFonts w:ascii="Arial" w:cs="Arial" w:eastAsia="Arial" w:hAnsi="Arial"/>
                <w:sz w:val="20"/>
                <w:szCs w:val="20"/>
                <w:color w:val="auto"/>
                <w:w w:val="95"/>
              </w:rPr>
              <w:t>PACIFIC BIOSCIENCES OF CALIFORNIA, INC.</w:t>
            </w:r>
          </w:p>
        </w:tc>
        <w:tc>
          <w:tcPr>
            <w:tcW w:w="0" w:type="dxa"/>
            <w:vAlign w:val="bottom"/>
          </w:tcPr>
          <w:p>
            <w:pPr>
              <w:spacing w:after="0"/>
              <w:rPr>
                <w:sz w:val="1"/>
                <w:szCs w:val="1"/>
                <w:color w:val="auto"/>
              </w:rPr>
            </w:pPr>
          </w:p>
        </w:tc>
      </w:tr>
      <w:tr>
        <w:trPr>
          <w:trHeight w:val="978"/>
        </w:trPr>
        <w:tc>
          <w:tcPr>
            <w:tcW w:w="2820" w:type="dxa"/>
            <w:vAlign w:val="bottom"/>
          </w:tcPr>
          <w:p>
            <w:pPr>
              <w:spacing w:after="0"/>
              <w:rPr>
                <w:sz w:val="20"/>
                <w:szCs w:val="20"/>
                <w:color w:val="auto"/>
              </w:rPr>
            </w:pPr>
            <w:r>
              <w:rPr>
                <w:rFonts w:ascii="Arial" w:cs="Arial" w:eastAsia="Arial" w:hAnsi="Arial"/>
                <w:sz w:val="22"/>
                <w:szCs w:val="22"/>
                <w:color w:val="auto"/>
              </w:rPr>
              <w:t>Signature</w:t>
            </w:r>
          </w:p>
        </w:tc>
        <w:tc>
          <w:tcPr>
            <w:tcW w:w="5960" w:type="dxa"/>
            <w:vAlign w:val="bottom"/>
          </w:tcPr>
          <w:p>
            <w:pPr>
              <w:ind w:left="196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702"/>
        </w:trPr>
        <w:tc>
          <w:tcPr>
            <w:tcW w:w="2820" w:type="dxa"/>
            <w:vAlign w:val="bottom"/>
          </w:tcPr>
          <w:p>
            <w:pPr>
              <w:spacing w:after="0"/>
              <w:rPr>
                <w:sz w:val="20"/>
                <w:szCs w:val="20"/>
                <w:color w:val="auto"/>
              </w:rPr>
            </w:pPr>
            <w:r>
              <w:rPr>
                <w:rFonts w:ascii="Arial" w:cs="Arial" w:eastAsia="Arial" w:hAnsi="Arial"/>
                <w:sz w:val="22"/>
                <w:szCs w:val="22"/>
                <w:color w:val="auto"/>
              </w:rPr>
              <w:t>Print Name</w:t>
            </w:r>
          </w:p>
        </w:tc>
        <w:tc>
          <w:tcPr>
            <w:tcW w:w="5960" w:type="dxa"/>
            <w:vAlign w:val="bottom"/>
          </w:tcPr>
          <w:p>
            <w:pPr>
              <w:ind w:left="1880"/>
              <w:spacing w:after="0"/>
              <w:rPr>
                <w:sz w:val="20"/>
                <w:szCs w:val="20"/>
                <w:color w:val="auto"/>
              </w:rPr>
            </w:pPr>
            <w:r>
              <w:rPr>
                <w:rFonts w:ascii="Arial" w:cs="Arial" w:eastAsia="Arial" w:hAnsi="Arial"/>
                <w:sz w:val="22"/>
                <w:szCs w:val="22"/>
                <w:color w:val="auto"/>
              </w:rPr>
              <w:t>Print Name</w:t>
            </w:r>
          </w:p>
        </w:tc>
        <w:tc>
          <w:tcPr>
            <w:tcW w:w="0" w:type="dxa"/>
            <w:vAlign w:val="bottom"/>
          </w:tcPr>
          <w:p>
            <w:pPr>
              <w:spacing w:after="0"/>
              <w:rPr>
                <w:sz w:val="1"/>
                <w:szCs w:val="1"/>
                <w:color w:val="auto"/>
              </w:rPr>
            </w:pPr>
          </w:p>
        </w:tc>
      </w:tr>
      <w:tr>
        <w:trPr>
          <w:trHeight w:val="459"/>
        </w:trPr>
        <w:tc>
          <w:tcPr>
            <w:tcW w:w="2820" w:type="dxa"/>
            <w:vAlign w:val="bottom"/>
          </w:tcPr>
          <w:p>
            <w:pPr>
              <w:spacing w:after="0"/>
              <w:rPr>
                <w:sz w:val="20"/>
                <w:szCs w:val="20"/>
                <w:color w:val="auto"/>
              </w:rPr>
            </w:pPr>
            <w:r>
              <w:rPr>
                <w:rFonts w:ascii="Arial" w:cs="Arial" w:eastAsia="Arial" w:hAnsi="Arial"/>
                <w:sz w:val="22"/>
                <w:szCs w:val="22"/>
                <w:color w:val="auto"/>
              </w:rPr>
              <w:t>Address:</w:t>
            </w:r>
          </w:p>
        </w:tc>
        <w:tc>
          <w:tcPr>
            <w:tcW w:w="5960" w:type="dxa"/>
            <w:vAlign w:val="bottom"/>
            <w:vMerge w:val="restart"/>
          </w:tcPr>
          <w:p>
            <w:pPr>
              <w:ind w:left="1600"/>
              <w:spacing w:after="0"/>
              <w:rPr>
                <w:sz w:val="20"/>
                <w:szCs w:val="20"/>
                <w:color w:val="auto"/>
              </w:rPr>
            </w:pPr>
            <w:r>
              <w:rPr>
                <w:rFonts w:ascii="Arial" w:cs="Arial" w:eastAsia="Arial" w:hAnsi="Arial"/>
                <w:sz w:val="22"/>
                <w:szCs w:val="22"/>
                <w:color w:val="auto"/>
              </w:rPr>
              <w:t>Title</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5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Date Received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102" w:name="page103"/>
    <w:bookmarkEnd w:id="102"/>
    <w:p>
      <w:pPr>
        <w:jc w:val="center"/>
        <w:ind w:right="-179"/>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GLOBAL STOCK OPTION AGREEMENT</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COUNTRY ADDENDUM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spacing w:after="0" w:line="279" w:lineRule="auto"/>
        <w:rPr>
          <w:sz w:val="20"/>
          <w:szCs w:val="20"/>
          <w:color w:val="auto"/>
        </w:rPr>
      </w:pPr>
      <w:r>
        <w:rPr>
          <w:rFonts w:ascii="Arial" w:cs="Arial" w:eastAsia="Arial" w:hAnsi="Arial"/>
          <w:sz w:val="19"/>
          <w:szCs w:val="19"/>
          <w:color w:val="auto"/>
        </w:rPr>
        <w:t>This Country Addendum includes additional terms and conditions that govern the Option granted to the terms and conditions of the Omniome Equity Incentive Plan of Pacific Biosciences of California, Inc. (the “Plan”) and the Global Stock Option Agreement to which this Country Addendum is attached (the “Option Agreement”) to the extent the individual to whom the Option was granted (“Participant”) resides in one of the countries listed below. Capitalized terms used but not defined herein will have the meanings set forth in the Option Agreement or the Plan, as applicable.</w:t>
      </w:r>
    </w:p>
    <w:p>
      <w:pPr>
        <w:spacing w:after="0" w:line="150" w:lineRule="exact"/>
        <w:rPr>
          <w:sz w:val="20"/>
          <w:szCs w:val="20"/>
          <w:color w:val="auto"/>
        </w:rPr>
      </w:pPr>
    </w:p>
    <w:p>
      <w:pPr>
        <w:jc w:val="both"/>
        <w:ind w:left="180"/>
        <w:spacing w:after="0" w:line="275" w:lineRule="auto"/>
        <w:rPr>
          <w:sz w:val="20"/>
          <w:szCs w:val="20"/>
          <w:color w:val="auto"/>
        </w:rPr>
      </w:pPr>
      <w:r>
        <w:rPr>
          <w:rFonts w:ascii="Arial" w:cs="Arial" w:eastAsia="Arial" w:hAnsi="Arial"/>
          <w:sz w:val="19"/>
          <w:szCs w:val="19"/>
          <w:color w:val="auto"/>
        </w:rPr>
        <w:t xml:space="preserve">This Country Addendum also includes information regarding exchange controls and certain other issues of which Participant should be aware with respect to Participant’s participation in the Plan. The information is based on the securities, exchange control and other laws in effect in the respective countries as of </w:t>
      </w:r>
      <w:r>
        <w:rPr>
          <w:rFonts w:ascii="Arial" w:cs="Arial" w:eastAsia="Arial" w:hAnsi="Arial"/>
          <w:sz w:val="19"/>
          <w:szCs w:val="19"/>
          <w:b w:val="1"/>
          <w:bCs w:val="1"/>
          <w:color w:val="auto"/>
        </w:rPr>
        <w:t>[August 2020]</w:t>
      </w:r>
      <w:r>
        <w:rPr>
          <w:rFonts w:ascii="Arial" w:cs="Arial" w:eastAsia="Arial" w:hAnsi="Arial"/>
          <w:sz w:val="19"/>
          <w:szCs w:val="19"/>
          <w:color w:val="auto"/>
        </w:rPr>
        <w:t>. Such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exercises the Option, acquires Shares or sells Shares acquired under the Plan.</w:t>
      </w:r>
    </w:p>
    <w:p>
      <w:pPr>
        <w:spacing w:after="0" w:line="157" w:lineRule="exact"/>
        <w:rPr>
          <w:sz w:val="20"/>
          <w:szCs w:val="20"/>
          <w:color w:val="auto"/>
        </w:rPr>
      </w:pPr>
    </w:p>
    <w:p>
      <w:pPr>
        <w:jc w:val="both"/>
        <w:ind w:left="180"/>
        <w:spacing w:after="0" w:line="252" w:lineRule="auto"/>
        <w:rPr>
          <w:sz w:val="20"/>
          <w:szCs w:val="20"/>
          <w:color w:val="auto"/>
        </w:rPr>
      </w:pPr>
      <w:r>
        <w:rPr>
          <w:rFonts w:ascii="Arial" w:cs="Arial" w:eastAsia="Arial" w:hAnsi="Arial"/>
          <w:sz w:val="21"/>
          <w:szCs w:val="21"/>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74" w:lineRule="exact"/>
        <w:rPr>
          <w:sz w:val="20"/>
          <w:szCs w:val="20"/>
          <w:color w:val="auto"/>
        </w:rPr>
      </w:pPr>
    </w:p>
    <w:p>
      <w:pPr>
        <w:jc w:val="both"/>
        <w:ind w:left="180"/>
        <w:spacing w:after="0" w:line="235" w:lineRule="auto"/>
        <w:rPr>
          <w:sz w:val="20"/>
          <w:szCs w:val="20"/>
          <w:color w:val="auto"/>
        </w:rPr>
      </w:pPr>
      <w:r>
        <w:rPr>
          <w:rFonts w:ascii="Arial" w:cs="Arial" w:eastAsia="Arial" w:hAnsi="Arial"/>
          <w:sz w:val="22"/>
          <w:szCs w:val="22"/>
          <w:color w:val="auto"/>
        </w:rPr>
        <w:t>Finally, if Participant is a citizen or resident of a country other than the one in which Participant is currently is working or transfers to another country after the grant of the Option, is considered a resident of another country for local law purposes, the information contained herein may not be applicable to Participant in the same manner. In addition, the Company, in its sole discretion, shall determine the extent to which the terms and conditions contained herein shall apply to Participant under these circumstances.</w:t>
      </w: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Australia</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256" w:lineRule="auto"/>
        <w:rPr>
          <w:sz w:val="20"/>
          <w:szCs w:val="20"/>
          <w:color w:val="auto"/>
        </w:rPr>
      </w:pPr>
      <w:r>
        <w:rPr>
          <w:rFonts w:ascii="Arial" w:cs="Arial" w:eastAsia="Arial" w:hAnsi="Arial"/>
          <w:sz w:val="22"/>
          <w:szCs w:val="22"/>
          <w:b w:val="1"/>
          <w:bCs w:val="1"/>
          <w:u w:val="single" w:color="auto"/>
          <w:color w:val="auto"/>
        </w:rPr>
        <w:t>Tax Information</w:t>
      </w:r>
      <w:r>
        <w:rPr>
          <w:rFonts w:ascii="Arial" w:cs="Arial" w:eastAsia="Arial" w:hAnsi="Arial"/>
          <w:sz w:val="22"/>
          <w:szCs w:val="22"/>
          <w:color w:val="auto"/>
        </w:rPr>
        <w:t>. The Plan is a plan to which Subdivision 83A-C of the Income Tax Assessment Act</w:t>
      </w:r>
      <w:r>
        <w:rPr>
          <w:rFonts w:ascii="Arial" w:cs="Arial" w:eastAsia="Arial" w:hAnsi="Arial"/>
          <w:sz w:val="22"/>
          <w:szCs w:val="22"/>
          <w:b w:val="1"/>
          <w:bCs w:val="1"/>
          <w:color w:val="auto"/>
        </w:rPr>
        <w:t xml:space="preserve"> </w:t>
      </w:r>
      <w:r>
        <w:rPr>
          <w:rFonts w:ascii="Arial" w:cs="Arial" w:eastAsia="Arial" w:hAnsi="Arial"/>
          <w:sz w:val="22"/>
          <w:szCs w:val="22"/>
          <w:color w:val="auto"/>
        </w:rPr>
        <w:t>1997 (Cth) applies (subject to the conditions in that Act).</w:t>
      </w:r>
    </w:p>
    <w:p>
      <w:pPr>
        <w:spacing w:after="0" w:line="162" w:lineRule="exact"/>
        <w:rPr>
          <w:sz w:val="20"/>
          <w:szCs w:val="20"/>
          <w:color w:val="auto"/>
        </w:rPr>
      </w:pPr>
    </w:p>
    <w:p>
      <w:pPr>
        <w:jc w:val="both"/>
        <w:ind w:left="180"/>
        <w:spacing w:after="0" w:line="254" w:lineRule="auto"/>
        <w:rPr>
          <w:sz w:val="20"/>
          <w:szCs w:val="20"/>
          <w:color w:val="auto"/>
        </w:rPr>
      </w:pPr>
      <w:r>
        <w:rPr>
          <w:rFonts w:ascii="Arial" w:cs="Arial" w:eastAsia="Arial" w:hAnsi="Arial"/>
          <w:sz w:val="21"/>
          <w:szCs w:val="21"/>
          <w:b w:val="1"/>
          <w:bCs w:val="1"/>
          <w:u w:val="single" w:color="auto"/>
          <w:color w:val="auto"/>
        </w:rPr>
        <w:t>Securities Law Information</w:t>
      </w:r>
      <w:r>
        <w:rPr>
          <w:rFonts w:ascii="Arial" w:cs="Arial" w:eastAsia="Arial" w:hAnsi="Arial"/>
          <w:sz w:val="21"/>
          <w:szCs w:val="21"/>
          <w:color w:val="auto"/>
        </w:rPr>
        <w:t>. If Participant acquires Shares under the Plan and subsequently offers the</w:t>
      </w:r>
      <w:r>
        <w:rPr>
          <w:rFonts w:ascii="Arial" w:cs="Arial" w:eastAsia="Arial" w:hAnsi="Arial"/>
          <w:sz w:val="21"/>
          <w:szCs w:val="21"/>
          <w:b w:val="1"/>
          <w:bCs w:val="1"/>
          <w:color w:val="auto"/>
        </w:rPr>
        <w:t xml:space="preserve"> </w:t>
      </w:r>
      <w:r>
        <w:rPr>
          <w:rFonts w:ascii="Arial" w:cs="Arial" w:eastAsia="Arial" w:hAnsi="Arial"/>
          <w:sz w:val="21"/>
          <w:szCs w:val="21"/>
          <w:color w:val="auto"/>
        </w:rPr>
        <w:t>Shares for sale to a person or entity resident in Australia, such an offer may be subject to disclosure requirements under Australian law and Participant should obtain legal advice regarding any applicable disclosure requirements prior to making any such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264160</wp:posOffset>
            </wp:positionV>
            <wp:extent cx="573468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355" w:right="1319" w:bottom="1440" w:gutter="0" w:footer="0" w:header="0"/>
        </w:sectPr>
      </w:pPr>
    </w:p>
    <w:bookmarkStart w:id="103" w:name="page104"/>
    <w:bookmarkEnd w:id="103"/>
    <w:p>
      <w:pPr>
        <w:ind w:left="180"/>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This provision supplements Section 5 of the Option Agreement:</w:t>
      </w:r>
    </w:p>
    <w:p>
      <w:pPr>
        <w:spacing w:after="0" w:line="212" w:lineRule="exact"/>
        <w:rPr>
          <w:sz w:val="20"/>
          <w:szCs w:val="20"/>
          <w:color w:val="auto"/>
        </w:rPr>
      </w:pPr>
    </w:p>
    <w:p>
      <w:pPr>
        <w:jc w:val="both"/>
        <w:ind w:left="180"/>
        <w:spacing w:after="0" w:line="328" w:lineRule="auto"/>
        <w:rPr>
          <w:sz w:val="20"/>
          <w:szCs w:val="20"/>
          <w:color w:val="auto"/>
        </w:rPr>
      </w:pPr>
      <w:r>
        <w:rPr>
          <w:rFonts w:ascii="Arial" w:cs="Arial" w:eastAsia="Arial" w:hAnsi="Arial"/>
          <w:sz w:val="19"/>
          <w:szCs w:val="19"/>
          <w:color w:val="auto"/>
        </w:rPr>
        <w:t>Due to tax considerations in Canada, Participant may not pay the exercise price or Tax Obligations by surrendering Shares that he or she already owns or by attesting to the ownership of Shares.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color w:val="auto"/>
        </w:rPr>
        <w:t>. This provision replaces Section 12(i) of the Option Agreement:</w:t>
      </w:r>
    </w:p>
    <w:p>
      <w:pPr>
        <w:spacing w:after="0" w:line="212" w:lineRule="exact"/>
        <w:rPr>
          <w:sz w:val="20"/>
          <w:szCs w:val="20"/>
          <w:color w:val="auto"/>
        </w:rPr>
      </w:pPr>
    </w:p>
    <w:p>
      <w:pPr>
        <w:jc w:val="both"/>
        <w:ind w:left="180"/>
        <w:spacing w:after="0" w:line="271" w:lineRule="auto"/>
        <w:rPr>
          <w:sz w:val="20"/>
          <w:szCs w:val="20"/>
          <w:color w:val="auto"/>
        </w:rPr>
      </w:pPr>
      <w:r>
        <w:rPr>
          <w:rFonts w:ascii="Arial" w:cs="Arial" w:eastAsia="Arial" w:hAnsi="Arial"/>
          <w:sz w:val="19"/>
          <w:szCs w:val="19"/>
          <w:color w:val="auto"/>
        </w:rPr>
        <w:t>For purposes of the Option grant, Participant’s employment or service relationship will be considered terminated as of the date that is the earlier of: (i) the date Participant’s employment is terminated, (ii) the date Participant receives notice of termination, and (iii) the date Participant is no longer actively providing services to the Company or any Parent or Subsidiary of the Company (regardless of the reason for such termination and whether or not later found to be invalid or in breach of employment laws in the jurisdiction where Participant is employed or the terms of Participant’s employment agreement, if any) and, unless otherwise expressly provided in this Agreement or determined by the Company, (i) Participant’s right to vest in the Option will terminate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 and (ii) Participant’s right, if any, to exercise the Option after termination of employment or service will be measured by such date and will not be extended by any notice period; the Administrator, in its sole discretion, shall determine when Participant is no longer actively providing services for purposes of this Option grant (including whether Participant may still be considered to be providing services while on a leave of absence).</w:t>
      </w:r>
    </w:p>
    <w:p>
      <w:pPr>
        <w:spacing w:after="0" w:line="39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following provisions will apply to Participant if he or she is a resident of Quebec:</w:t>
      </w:r>
    </w:p>
    <w:p>
      <w:pPr>
        <w:spacing w:after="0" w:line="206" w:lineRule="exact"/>
        <w:rPr>
          <w:sz w:val="20"/>
          <w:szCs w:val="20"/>
          <w:color w:val="auto"/>
        </w:rPr>
      </w:pPr>
    </w:p>
    <w:p>
      <w:pPr>
        <w:jc w:val="both"/>
        <w:ind w:left="180"/>
        <w:spacing w:after="0" w:line="300" w:lineRule="auto"/>
        <w:rPr>
          <w:sz w:val="20"/>
          <w:szCs w:val="20"/>
          <w:color w:val="auto"/>
        </w:rPr>
      </w:pPr>
      <w:r>
        <w:rPr>
          <w:rFonts w:ascii="Arial" w:cs="Arial" w:eastAsia="Arial" w:hAnsi="Arial"/>
          <w:sz w:val="19"/>
          <w:szCs w:val="19"/>
          <w:b w:val="1"/>
          <w:bCs w:val="1"/>
          <w:u w:val="single" w:color="auto"/>
          <w:color w:val="auto"/>
        </w:rPr>
        <w:t>Language Consent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acknowledge that it is their express wish that the Option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this Appendix, as well as all documents, notices, and legal proceedings entered into, given or instituted pursuant hereto or relating directly or indirectly hereto, be drawn up in English.</w:t>
      </w:r>
    </w:p>
    <w:p>
      <w:pPr>
        <w:spacing w:after="0" w:line="132" w:lineRule="exact"/>
        <w:rPr>
          <w:sz w:val="20"/>
          <w:szCs w:val="20"/>
          <w:color w:val="auto"/>
        </w:rPr>
      </w:pPr>
    </w:p>
    <w:p>
      <w:pPr>
        <w:jc w:val="both"/>
        <w:ind w:left="180"/>
        <w:spacing w:after="0" w:line="252" w:lineRule="auto"/>
        <w:rPr>
          <w:sz w:val="20"/>
          <w:szCs w:val="20"/>
          <w:color w:val="auto"/>
        </w:rPr>
      </w:pPr>
      <w:r>
        <w:rPr>
          <w:rFonts w:ascii="Arial" w:cs="Arial" w:eastAsia="Arial" w:hAnsi="Arial"/>
          <w:sz w:val="21"/>
          <w:szCs w:val="21"/>
          <w:b w:val="1"/>
          <w:bCs w:val="1"/>
          <w:i w:val="1"/>
          <w:iCs w:val="1"/>
          <w:u w:val="single" w:color="auto"/>
          <w:color w:val="auto"/>
        </w:rPr>
        <w:t>Consentement Relatif à la Langue Utilisée</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Les parties reconnaissent avoir expressément souhaité</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que la convention («Option Agreement») ainsi que cette Annexe, ainsi que tous les documents, avis et procédures judiciares, éxécutés, donnés ou intentés en vertu de, ou liés directement ou indirectement à la présente convention, soient rédigés en langue anglaise.</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b w:val="1"/>
          <w:bCs w:val="1"/>
          <w:color w:val="auto"/>
        </w:rPr>
        <w:t xml:space="preserve">. </w:t>
      </w:r>
      <w:r>
        <w:rPr>
          <w:rFonts w:ascii="Arial" w:cs="Arial" w:eastAsia="Arial" w:hAnsi="Arial"/>
          <w:sz w:val="22"/>
          <w:szCs w:val="22"/>
          <w:color w:val="auto"/>
        </w:rPr>
        <w:t>This provision supplements Section 14 of the Option Agreement:</w:t>
      </w:r>
    </w:p>
    <w:p>
      <w:pPr>
        <w:spacing w:after="0" w:line="212" w:lineRule="exact"/>
        <w:rPr>
          <w:sz w:val="20"/>
          <w:szCs w:val="20"/>
          <w:color w:val="auto"/>
        </w:rPr>
      </w:pPr>
    </w:p>
    <w:p>
      <w:pPr>
        <w:jc w:val="both"/>
        <w:ind w:left="180"/>
        <w:spacing w:after="0" w:line="282" w:lineRule="auto"/>
        <w:rPr>
          <w:sz w:val="20"/>
          <w:szCs w:val="20"/>
          <w:color w:val="auto"/>
        </w:rPr>
      </w:pPr>
      <w:r>
        <w:rPr>
          <w:rFonts w:ascii="Arial" w:cs="Arial" w:eastAsia="Arial" w:hAnsi="Arial"/>
          <w:sz w:val="19"/>
          <w:szCs w:val="19"/>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and the Company’s Parent or Subsidiary employing or retaining Participant to disclose and discuss Participant’s participation in the Plan with their respective advisers. Participant further authorizes the Company and the Company’s</w:t>
      </w:r>
    </w:p>
    <w:p>
      <w:pPr>
        <w:spacing w:after="0" w:line="147"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328" w:right="1319" w:bottom="1440" w:gutter="0" w:footer="0" w:header="0"/>
        </w:sectPr>
      </w:pPr>
    </w:p>
    <w:bookmarkStart w:id="104" w:name="page105"/>
    <w:bookmarkEnd w:id="104"/>
    <w:p>
      <w:pPr>
        <w:jc w:val="both"/>
        <w:ind w:left="180"/>
        <w:spacing w:after="0" w:line="250" w:lineRule="auto"/>
        <w:rPr>
          <w:sz w:val="20"/>
          <w:szCs w:val="20"/>
          <w:color w:val="auto"/>
        </w:rPr>
      </w:pPr>
      <w:r>
        <w:rPr>
          <w:rFonts w:ascii="Arial" w:cs="Arial" w:eastAsia="Arial" w:hAnsi="Arial"/>
          <w:sz w:val="22"/>
          <w:szCs w:val="22"/>
          <w:color w:val="auto"/>
        </w:rPr>
        <w:t>Parent or Subsidiary employing or retaining Participant to record such information and to keep such information in Participant’s employee file.</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280" w:lineRule="auto"/>
        <w:rPr>
          <w:sz w:val="20"/>
          <w:szCs w:val="20"/>
          <w:color w:val="auto"/>
        </w:rPr>
      </w:pPr>
      <w:r>
        <w:rPr>
          <w:rFonts w:ascii="Arial" w:cs="Arial" w:eastAsia="Arial" w:hAnsi="Arial"/>
          <w:sz w:val="19"/>
          <w:szCs w:val="19"/>
          <w:b w:val="1"/>
          <w:bCs w:val="1"/>
          <w:u w:val="single" w:color="auto"/>
          <w:color w:val="auto"/>
        </w:rPr>
        <w:t>Securities Law Information</w:t>
      </w:r>
      <w:r>
        <w:rPr>
          <w:rFonts w:ascii="Arial" w:cs="Arial" w:eastAsia="Arial" w:hAnsi="Arial"/>
          <w:sz w:val="19"/>
          <w:szCs w:val="19"/>
          <w:color w:val="auto"/>
        </w:rPr>
        <w:t>. Participant understands that Participant is permitted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acquired pursuant to the Plan through the designated broker appointed under the Plan, if any, provided the sale of the Shares acquired pursuant to the Plan takes place outside of Canada through the facilities of a stock exchange on which the Shares are listed. The Company’s common stock are currently traded on the NASDAQ Global Select Market, which is located outside of Canada, under the ticker symbol “PACB” and Shares acquired under the Plan may be sold through this exchange.</w:t>
      </w:r>
    </w:p>
    <w:p>
      <w:pPr>
        <w:spacing w:after="0" w:line="145" w:lineRule="exact"/>
        <w:rPr>
          <w:sz w:val="20"/>
          <w:szCs w:val="20"/>
          <w:color w:val="auto"/>
        </w:rPr>
      </w:pPr>
    </w:p>
    <w:p>
      <w:pPr>
        <w:jc w:val="both"/>
        <w:ind w:left="180"/>
        <w:spacing w:after="0" w:line="274" w:lineRule="auto"/>
        <w:rPr>
          <w:sz w:val="20"/>
          <w:szCs w:val="20"/>
          <w:color w:val="auto"/>
        </w:rPr>
      </w:pPr>
      <w:r>
        <w:rPr>
          <w:rFonts w:ascii="Arial" w:cs="Arial" w:eastAsia="Arial" w:hAnsi="Arial"/>
          <w:sz w:val="19"/>
          <w:szCs w:val="19"/>
          <w:b w:val="1"/>
          <w:bCs w:val="1"/>
          <w:u w:val="single" w:color="auto"/>
          <w:color w:val="auto"/>
        </w:rPr>
        <w:t>Foreign Asset/Account Reporting Information</w:t>
      </w:r>
      <w:r>
        <w:rPr>
          <w:rFonts w:ascii="Arial" w:cs="Arial" w:eastAsia="Arial" w:hAnsi="Arial"/>
          <w:sz w:val="19"/>
          <w:szCs w:val="19"/>
          <w:color w:val="auto"/>
        </w:rPr>
        <w:t>. Foreign specified property, including Shares and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to Shares (</w:t>
      </w:r>
      <w:r>
        <w:rPr>
          <w:rFonts w:ascii="Arial" w:cs="Arial" w:eastAsia="Arial" w:hAnsi="Arial"/>
          <w:sz w:val="19"/>
          <w:szCs w:val="19"/>
          <w:i w:val="1"/>
          <w:iCs w:val="1"/>
          <w:color w:val="auto"/>
        </w:rPr>
        <w:t>e.g.</w:t>
      </w:r>
      <w:r>
        <w:rPr>
          <w:rFonts w:ascii="Arial" w:cs="Arial" w:eastAsia="Arial" w:hAnsi="Arial"/>
          <w:sz w:val="19"/>
          <w:szCs w:val="19"/>
          <w:color w:val="auto"/>
        </w:rPr>
        <w:t xml:space="preserve">, Options), held by a Canadian resident must be reported annually on Form T1135 (Foreign Income Verification Statement) if the total cost of such foreign specified property exceeds C$100,000 at any time during the year. If applicable, Form T1135 is due by April 30th of the following year. Options must be reported – generally at a nil cost – if the C$100,000 cost threshold is exceeded because of other foreign specified property held by the resident. When Shares are acquired, their cost generally is the adjusted cost base (“ACB”) of the Shares. The ACB would ordinarily equal the fair market value of the Shares at the time of acquisition, but if other Shares are owned, this ACB may have to be averaged with the ACB of the other Shares. </w:t>
      </w:r>
      <w:r>
        <w:rPr>
          <w:rFonts w:ascii="Arial" w:cs="Arial" w:eastAsia="Arial" w:hAnsi="Arial"/>
          <w:sz w:val="19"/>
          <w:szCs w:val="19"/>
          <w:i w:val="1"/>
          <w:iCs w:val="1"/>
          <w:color w:val="auto"/>
        </w:rPr>
        <w:t>Participant is responsible for ensuring his</w:t>
      </w:r>
      <w:r>
        <w:rPr>
          <w:rFonts w:ascii="Arial" w:cs="Arial" w:eastAsia="Arial" w:hAnsi="Arial"/>
          <w:sz w:val="19"/>
          <w:szCs w:val="19"/>
          <w:color w:val="auto"/>
        </w:rPr>
        <w:t xml:space="preserve"> </w:t>
      </w:r>
      <w:r>
        <w:rPr>
          <w:rFonts w:ascii="Arial" w:cs="Arial" w:eastAsia="Arial" w:hAnsi="Arial"/>
          <w:sz w:val="19"/>
          <w:szCs w:val="19"/>
          <w:i w:val="1"/>
          <w:iCs w:val="1"/>
          <w:color w:val="auto"/>
        </w:rPr>
        <w:t>or her compliance with any applicable reporting obligations and should speak to his or her personal legal adviser on this matter.</w:t>
      </w:r>
    </w:p>
    <w:p>
      <w:pPr>
        <w:spacing w:after="0" w:line="395"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France</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ind w:left="180" w:right="240"/>
        <w:spacing w:after="0" w:line="256" w:lineRule="auto"/>
        <w:rPr>
          <w:sz w:val="20"/>
          <w:szCs w:val="20"/>
          <w:color w:val="auto"/>
        </w:rPr>
      </w:pPr>
      <w:r>
        <w:rPr>
          <w:rFonts w:ascii="Arial" w:cs="Arial" w:eastAsia="Arial" w:hAnsi="Arial"/>
          <w:sz w:val="22"/>
          <w:szCs w:val="22"/>
          <w:b w:val="1"/>
          <w:bCs w:val="1"/>
          <w:u w:val="single" w:color="auto"/>
          <w:color w:val="auto"/>
        </w:rPr>
        <w:t>Type of Option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Option is not intended to qualify for specific tax or social security treatment in</w:t>
      </w:r>
      <w:r>
        <w:rPr>
          <w:rFonts w:ascii="Arial" w:cs="Arial" w:eastAsia="Arial" w:hAnsi="Arial"/>
          <w:sz w:val="22"/>
          <w:szCs w:val="22"/>
          <w:b w:val="1"/>
          <w:bCs w:val="1"/>
          <w:color w:val="auto"/>
        </w:rPr>
        <w:t xml:space="preserve"> </w:t>
      </w:r>
      <w:r>
        <w:rPr>
          <w:rFonts w:ascii="Arial" w:cs="Arial" w:eastAsia="Arial" w:hAnsi="Arial"/>
          <w:sz w:val="22"/>
          <w:szCs w:val="22"/>
          <w:color w:val="auto"/>
        </w:rPr>
        <w:t>France.</w:t>
      </w:r>
    </w:p>
    <w:p>
      <w:pPr>
        <w:spacing w:after="0" w:line="162" w:lineRule="exact"/>
        <w:rPr>
          <w:sz w:val="20"/>
          <w:szCs w:val="20"/>
          <w:color w:val="auto"/>
        </w:rPr>
      </w:pPr>
    </w:p>
    <w:p>
      <w:pPr>
        <w:jc w:val="both"/>
        <w:ind w:left="180"/>
        <w:spacing w:after="0" w:line="239" w:lineRule="auto"/>
        <w:rPr>
          <w:sz w:val="20"/>
          <w:szCs w:val="20"/>
          <w:color w:val="auto"/>
        </w:rPr>
      </w:pPr>
      <w:r>
        <w:rPr>
          <w:rFonts w:ascii="Arial" w:cs="Arial" w:eastAsia="Arial" w:hAnsi="Arial"/>
          <w:sz w:val="22"/>
          <w:szCs w:val="22"/>
          <w:b w:val="1"/>
          <w:bCs w:val="1"/>
          <w:u w:val="single" w:color="auto"/>
          <w:color w:val="auto"/>
        </w:rPr>
        <w:t>Language Consent</w:t>
      </w:r>
      <w:r>
        <w:rPr>
          <w:rFonts w:ascii="Arial" w:cs="Arial" w:eastAsia="Arial" w:hAnsi="Arial"/>
          <w:sz w:val="22"/>
          <w:szCs w:val="22"/>
          <w:b w:val="1"/>
          <w:bCs w:val="1"/>
          <w:color w:val="auto"/>
        </w:rPr>
        <w:t xml:space="preserve">. </w:t>
      </w:r>
      <w:r>
        <w:rPr>
          <w:rFonts w:ascii="Arial" w:cs="Arial" w:eastAsia="Arial" w:hAnsi="Arial"/>
          <w:sz w:val="22"/>
          <w:szCs w:val="22"/>
          <w:color w:val="auto"/>
        </w:rPr>
        <w:t>By accepting the Option Agreement providing for the terms and conditions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Participant confirms having read and understood the documents relating to this grant (the Plan and this Option Agreement) which were provided in English language. Participant accepts the terms of those documents accordingly.</w:t>
      </w:r>
    </w:p>
    <w:p>
      <w:pPr>
        <w:spacing w:after="0" w:line="186" w:lineRule="exact"/>
        <w:rPr>
          <w:sz w:val="20"/>
          <w:szCs w:val="20"/>
          <w:color w:val="auto"/>
        </w:rPr>
      </w:pPr>
    </w:p>
    <w:p>
      <w:pPr>
        <w:jc w:val="both"/>
        <w:ind w:left="180"/>
        <w:spacing w:after="0" w:line="252" w:lineRule="auto"/>
        <w:rPr>
          <w:sz w:val="20"/>
          <w:szCs w:val="20"/>
          <w:color w:val="auto"/>
        </w:rPr>
      </w:pPr>
      <w:r>
        <w:rPr>
          <w:rFonts w:ascii="Arial" w:cs="Arial" w:eastAsia="Arial" w:hAnsi="Arial"/>
          <w:sz w:val="21"/>
          <w:szCs w:val="21"/>
          <w:b w:val="1"/>
          <w:bCs w:val="1"/>
          <w:i w:val="1"/>
          <w:iCs w:val="1"/>
          <w:u w:val="single" w:color="auto"/>
          <w:color w:val="auto"/>
        </w:rPr>
        <w:t>Consentement Relatif à la Langue Utilisée</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En acceptant le Contrat d'Attribution décrivant les termes</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et conditions de l’attribution, le Participant confirme avoir lu et compris les documents relatifs à cette attribution (le Plan et ce Contrat d'Attribution) qui ont été communiqués en langue anglaise. Le Participant accepte les termes de ces documents en connaissance de cause.</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334" w:right="1319" w:bottom="1440" w:gutter="0" w:footer="0" w:header="0"/>
        </w:sectPr>
      </w:pPr>
    </w:p>
    <w:bookmarkStart w:id="105" w:name="page106"/>
    <w:bookmarkEnd w:id="105"/>
    <w:p>
      <w:pPr>
        <w:ind w:left="180"/>
        <w:spacing w:after="0"/>
        <w:rPr>
          <w:sz w:val="20"/>
          <w:szCs w:val="20"/>
          <w:color w:val="auto"/>
        </w:rPr>
      </w:pPr>
      <w:r>
        <w:rPr>
          <w:rFonts w:ascii="Arial" w:cs="Arial" w:eastAsia="Arial" w:hAnsi="Arial"/>
          <w:sz w:val="22"/>
          <w:szCs w:val="22"/>
          <w:b w:val="1"/>
          <w:bCs w:val="1"/>
          <w:u w:val="single" w:color="auto"/>
          <w:color w:val="auto"/>
        </w:rPr>
        <w:t>Germany</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ind w:left="180" w:right="20"/>
        <w:spacing w:after="0" w:line="237" w:lineRule="auto"/>
        <w:rPr>
          <w:sz w:val="20"/>
          <w:szCs w:val="20"/>
          <w:color w:val="auto"/>
        </w:rPr>
      </w:pPr>
      <w:r>
        <w:rPr>
          <w:rFonts w:ascii="Arial" w:cs="Arial" w:eastAsia="Arial" w:hAnsi="Arial"/>
          <w:sz w:val="22"/>
          <w:szCs w:val="22"/>
          <w:b w:val="1"/>
          <w:bCs w:val="1"/>
          <w:u w:val="single" w:color="auto"/>
          <w:color w:val="auto"/>
        </w:rPr>
        <w:t>Exchange Control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Cross-border payments in excess of €12,500 must be reported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electronically, on a monthly basis, to the </w:t>
      </w:r>
      <w:r>
        <w:rPr>
          <w:rFonts w:ascii="Arial" w:cs="Arial" w:eastAsia="Arial" w:hAnsi="Arial"/>
          <w:sz w:val="22"/>
          <w:szCs w:val="22"/>
          <w:i w:val="1"/>
          <w:iCs w:val="1"/>
          <w:color w:val="auto"/>
        </w:rPr>
        <w:t>Servicezentrum Außenwirtschaftsstatistik</w:t>
      </w:r>
      <w:r>
        <w:rPr>
          <w:rFonts w:ascii="Arial" w:cs="Arial" w:eastAsia="Arial" w:hAnsi="Arial"/>
          <w:sz w:val="22"/>
          <w:szCs w:val="22"/>
          <w:color w:val="auto"/>
        </w:rPr>
        <w:t xml:space="preserve">, which is the competent federal office of the </w:t>
      </w:r>
      <w:r>
        <w:rPr>
          <w:rFonts w:ascii="Arial" w:cs="Arial" w:eastAsia="Arial" w:hAnsi="Arial"/>
          <w:sz w:val="22"/>
          <w:szCs w:val="22"/>
          <w:i w:val="1"/>
          <w:iCs w:val="1"/>
          <w:color w:val="auto"/>
        </w:rPr>
        <w:t>Deutsche Bundesbank</w:t>
      </w:r>
      <w:r>
        <w:rPr>
          <w:rFonts w:ascii="Arial" w:cs="Arial" w:eastAsia="Arial" w:hAnsi="Arial"/>
          <w:sz w:val="22"/>
          <w:szCs w:val="22"/>
          <w:color w:val="auto"/>
        </w:rPr>
        <w:t xml:space="preserve"> (the German Central Bank) for such notifications in Germany. The </w:t>
      </w:r>
      <w:r>
        <w:rPr>
          <w:rFonts w:ascii="Arial" w:cs="Arial" w:eastAsia="Arial" w:hAnsi="Arial"/>
          <w:sz w:val="22"/>
          <w:szCs w:val="22"/>
          <w:i w:val="1"/>
          <w:iCs w:val="1"/>
          <w:color w:val="auto"/>
        </w:rPr>
        <w:t>Allgemeinesc Meldeportal Statistik</w:t>
      </w:r>
      <w:r>
        <w:rPr>
          <w:rFonts w:ascii="Arial" w:cs="Arial" w:eastAsia="Arial" w:hAnsi="Arial"/>
          <w:sz w:val="22"/>
          <w:szCs w:val="22"/>
          <w:color w:val="auto"/>
        </w:rPr>
        <w:t xml:space="preserve"> (General Statistics Reporting Portal) can be accessed at www.bundesbank.de.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Japan</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23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the payment amount to purchase Shares in one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exceeds ¥30,000,000, Participant must file a Payment Report with the Ministry of Finance (the “MOF”) (through the Bank of Japan or the bank through which the payment was effected). If the payment amount to purchase Shares in one transaction exceeds ¥100,000,000, Participant must file a Securities Acquisition Report, in addition to a Payment Report, with the MOF (through the Bank of Japan).</w:t>
      </w:r>
    </w:p>
    <w:p>
      <w:pPr>
        <w:spacing w:after="0" w:line="182" w:lineRule="exact"/>
        <w:rPr>
          <w:sz w:val="20"/>
          <w:szCs w:val="20"/>
          <w:color w:val="auto"/>
        </w:rPr>
      </w:pPr>
    </w:p>
    <w:p>
      <w:pPr>
        <w:jc w:val="both"/>
        <w:ind w:left="180"/>
        <w:spacing w:after="0" w:line="236" w:lineRule="auto"/>
        <w:rPr>
          <w:sz w:val="20"/>
          <w:szCs w:val="20"/>
          <w:color w:val="auto"/>
        </w:rPr>
      </w:pPr>
      <w:r>
        <w:rPr>
          <w:rFonts w:ascii="Arial" w:cs="Arial" w:eastAsia="Arial" w:hAnsi="Arial"/>
          <w:sz w:val="22"/>
          <w:szCs w:val="22"/>
          <w:b w:val="1"/>
          <w:bCs w:val="1"/>
          <w:color w:val="auto"/>
        </w:rPr>
        <w:t xml:space="preserve">Foreign Asset / Account Reporting Information. </w:t>
      </w:r>
      <w:r>
        <w:rPr>
          <w:rFonts w:ascii="Arial" w:cs="Arial" w:eastAsia="Arial" w:hAnsi="Arial"/>
          <w:sz w:val="22"/>
          <w:szCs w:val="22"/>
          <w:color w:val="auto"/>
        </w:rPr>
        <w:t>Participant will be required to report details of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assets held outside of Japan as of December 31st to the extent such assets have a total net fair market value exceeding ¥50,000,000. Such report will be due by March 15th each year. </w:t>
      </w:r>
      <w:r>
        <w:rPr>
          <w:rFonts w:ascii="Arial" w:cs="Arial" w:eastAsia="Arial" w:hAnsi="Arial"/>
          <w:sz w:val="22"/>
          <w:szCs w:val="22"/>
          <w:i w:val="1"/>
          <w:iCs w:val="1"/>
          <w:color w:val="auto"/>
        </w:rPr>
        <w:t>Participant should</w:t>
      </w:r>
      <w:r>
        <w:rPr>
          <w:rFonts w:ascii="Arial" w:cs="Arial" w:eastAsia="Arial" w:hAnsi="Arial"/>
          <w:sz w:val="22"/>
          <w:szCs w:val="22"/>
          <w:color w:val="auto"/>
        </w:rPr>
        <w:t xml:space="preserve"> </w:t>
      </w:r>
      <w:r>
        <w:rPr>
          <w:rFonts w:ascii="Arial" w:cs="Arial" w:eastAsia="Arial" w:hAnsi="Arial"/>
          <w:sz w:val="22"/>
          <w:szCs w:val="22"/>
          <w:i w:val="1"/>
          <w:iCs w:val="1"/>
          <w:color w:val="auto"/>
        </w:rPr>
        <w:t>consult with his or her personal tax adviser as to whether the reporting obligation applies to him or her and whether the requirement extends to any outstanding Options, Shares and/or cash acquired under the Plan.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Singapore</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274" w:lineRule="auto"/>
        <w:rPr>
          <w:sz w:val="20"/>
          <w:szCs w:val="20"/>
          <w:color w:val="auto"/>
        </w:rPr>
      </w:pPr>
      <w:r>
        <w:rPr>
          <w:rFonts w:ascii="Arial" w:cs="Arial" w:eastAsia="Arial" w:hAnsi="Arial"/>
          <w:sz w:val="19"/>
          <w:szCs w:val="19"/>
          <w:b w:val="1"/>
          <w:bCs w:val="1"/>
          <w:u w:val="single" w:color="auto"/>
          <w:color w:val="auto"/>
        </w:rPr>
        <w:t>Securities Law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of the Option under the Plan is being made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“Qualifying Person” exemption under section 273(1)(f) of the Securities and Futures Act (Chapter 289, 2006 Ed.) (“SFA”). The Plan has not been lodged or registered as a prospectus with the Monetary Authority of Singapore. Participant should note that the Option is subject to section 257 of the SFA and the Participant should not make (i) any subsequent sale of the Shares in Singapore or (ii) any offer of such subsequent sale of the Shares subject to the Option in Singapore, unless such sale or offer is made more than six (6) months after the Date of Grant or pursuant to the exemptions under Part XIII Division 1 Subdivision (4) (other than section 280) of the SFA. The Company’s common stock is traded on the Nasdaq Global Select Market, which is located outside of Singapore, under the ticker symbol “PACB” and Shares acquired under the Plan may be sold through this exchange.</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328" w:right="1319" w:bottom="1440" w:gutter="0" w:footer="0" w:header="0"/>
        </w:sectPr>
      </w:pPr>
    </w:p>
    <w:bookmarkStart w:id="106" w:name="page107"/>
    <w:bookmarkEnd w:id="106"/>
    <w:p>
      <w:pPr>
        <w:jc w:val="both"/>
        <w:ind w:left="180"/>
        <w:spacing w:after="0" w:line="258" w:lineRule="auto"/>
        <w:rPr>
          <w:sz w:val="20"/>
          <w:szCs w:val="20"/>
          <w:color w:val="auto"/>
        </w:rPr>
      </w:pPr>
      <w:r>
        <w:rPr>
          <w:rFonts w:ascii="Arial" w:cs="Arial" w:eastAsia="Arial" w:hAnsi="Arial"/>
          <w:sz w:val="20"/>
          <w:szCs w:val="20"/>
          <w:b w:val="1"/>
          <w:bCs w:val="1"/>
          <w:u w:val="single" w:color="auto"/>
          <w:color w:val="auto"/>
        </w:rPr>
        <w:t>CEO and Director Notification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Participant is the Chief Executive Officer ("CEO")</w:t>
      </w:r>
      <w:r>
        <w:rPr>
          <w:rFonts w:ascii="Arial" w:cs="Arial" w:eastAsia="Arial" w:hAnsi="Arial"/>
          <w:sz w:val="20"/>
          <w:szCs w:val="20"/>
          <w:b w:val="1"/>
          <w:bCs w:val="1"/>
          <w:color w:val="auto"/>
        </w:rPr>
        <w:t xml:space="preserve"> </w:t>
      </w:r>
      <w:r>
        <w:rPr>
          <w:rFonts w:ascii="Arial" w:cs="Arial" w:eastAsia="Arial" w:hAnsi="Arial"/>
          <w:sz w:val="20"/>
          <w:szCs w:val="20"/>
          <w:color w:val="auto"/>
        </w:rPr>
        <w:t>or a director, associate director or shadow director</w:t>
      </w:r>
      <w:r>
        <w:rPr>
          <w:rFonts w:ascii="Arial" w:cs="Arial" w:eastAsia="Arial" w:hAnsi="Arial"/>
          <w:sz w:val="10"/>
          <w:szCs w:val="10"/>
          <w:color w:val="auto"/>
        </w:rPr>
        <w:t>1</w:t>
      </w:r>
      <w:r>
        <w:rPr>
          <w:rFonts w:ascii="Arial" w:cs="Arial" w:eastAsia="Arial" w:hAnsi="Arial"/>
          <w:sz w:val="20"/>
          <w:szCs w:val="20"/>
          <w:color w:val="auto"/>
        </w:rPr>
        <w:t xml:space="preserve"> of a Singaporean Parent or Subsidiary, Participant is subject to certain notification requirements under the Singapore Companies Act. Among these requirements is an obligation to notify the Singaporean Parent or Subsidiary in writing when Participant receives an interest (</w:t>
      </w:r>
      <w:r>
        <w:rPr>
          <w:rFonts w:ascii="Arial" w:cs="Arial" w:eastAsia="Arial" w:hAnsi="Arial"/>
          <w:sz w:val="20"/>
          <w:szCs w:val="20"/>
          <w:i w:val="1"/>
          <w:iCs w:val="1"/>
          <w:color w:val="auto"/>
        </w:rPr>
        <w:t>e.g.</w:t>
      </w:r>
      <w:r>
        <w:rPr>
          <w:rFonts w:ascii="Arial" w:cs="Arial" w:eastAsia="Arial" w:hAnsi="Arial"/>
          <w:sz w:val="20"/>
          <w:szCs w:val="20"/>
          <w:color w:val="auto"/>
        </w:rPr>
        <w:t>, an Option or Shares) in the Company. In addition, Participant must notify the Singaporean Parent or Subsidiary when Participant disposes of an interest in the Company (including when Participant sells Shares acquired at exercise of the Option). These notifications must be made within two (2) business days of (i) acquiring or disposing of any interest in the Company, (ii) any change in a previously-disclosed interest (</w:t>
      </w:r>
      <w:r>
        <w:rPr>
          <w:rFonts w:ascii="Arial" w:cs="Arial" w:eastAsia="Arial" w:hAnsi="Arial"/>
          <w:sz w:val="20"/>
          <w:szCs w:val="20"/>
          <w:i w:val="1"/>
          <w:iCs w:val="1"/>
          <w:color w:val="auto"/>
        </w:rPr>
        <w:t>e.g.</w:t>
      </w:r>
      <w:r>
        <w:rPr>
          <w:rFonts w:ascii="Arial" w:cs="Arial" w:eastAsia="Arial" w:hAnsi="Arial"/>
          <w:sz w:val="20"/>
          <w:szCs w:val="20"/>
          <w:color w:val="auto"/>
        </w:rPr>
        <w:t>, upon exercise of the options or when Shares acquired under the Plan are subsequently sold), or (iii) becoming the CEO or a director, associate director or shadow director if such an interest exists at such time.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247" w:lineRule="auto"/>
        <w:rPr>
          <w:sz w:val="20"/>
          <w:szCs w:val="20"/>
          <w:color w:val="auto"/>
        </w:rPr>
      </w:pPr>
      <w:r>
        <w:rPr>
          <w:rFonts w:ascii="Arial" w:cs="Arial" w:eastAsia="Arial" w:hAnsi="Arial"/>
          <w:sz w:val="21"/>
          <w:szCs w:val="21"/>
          <w:b w:val="1"/>
          <w:bCs w:val="1"/>
          <w:u w:val="single" w:color="auto"/>
          <w:color w:val="auto"/>
        </w:rPr>
        <w:t>Securities Law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 of the Option under the Plan is considered a private offering</w:t>
      </w:r>
      <w:r>
        <w:rPr>
          <w:rFonts w:ascii="Arial" w:cs="Arial" w:eastAsia="Arial" w:hAnsi="Arial"/>
          <w:sz w:val="21"/>
          <w:szCs w:val="21"/>
          <w:b w:val="1"/>
          <w:bCs w:val="1"/>
          <w:color w:val="auto"/>
        </w:rPr>
        <w:t xml:space="preserve"> </w:t>
      </w:r>
      <w:r>
        <w:rPr>
          <w:rFonts w:ascii="Arial" w:cs="Arial" w:eastAsia="Arial" w:hAnsi="Arial"/>
          <w:sz w:val="21"/>
          <w:szCs w:val="21"/>
          <w:color w:val="auto"/>
        </w:rPr>
        <w:t>in Switzerland and is therefore not subject to registration in Switzerland. Neither this document nor any other materials relating to the Option constitute a prospectus as such term is understood pursuant to article 652a of the Swiss Code of Obligations, and neither this document nor any other materials relating to the Option may be publicly distributed nor otherwise made publicly available in Switzerland. Neither this document nor any other offering or marketing material relating to the Option has been filed with, approved, or supervised by any Swiss regulatory authority (in particular, the Swiss Financial Market Supervisory Authority (FINMA)).</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Taiwan</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300" w:lineRule="auto"/>
        <w:rPr>
          <w:sz w:val="20"/>
          <w:szCs w:val="20"/>
          <w:color w:val="auto"/>
        </w:rPr>
      </w:pPr>
      <w:r>
        <w:rPr>
          <w:rFonts w:ascii="Arial" w:cs="Arial" w:eastAsia="Arial" w:hAnsi="Arial"/>
          <w:sz w:val="19"/>
          <w:szCs w:val="19"/>
          <w:b w:val="1"/>
          <w:bCs w:val="1"/>
          <w:u w:val="single" w:color="auto"/>
          <w:color w:val="auto"/>
        </w:rPr>
        <w:t>Securities Law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offer of the Option and the Shares to be issued upon exercise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is available only for employees of the Company and any Parent or Subsidiary. It is not a public offer of securities by a Taiwanese company; therefore, it is exempt from registration in Taiwan.</w:t>
      </w:r>
    </w:p>
    <w:p>
      <w:pPr>
        <w:spacing w:after="0" w:line="126" w:lineRule="exact"/>
        <w:rPr>
          <w:sz w:val="20"/>
          <w:szCs w:val="20"/>
          <w:color w:val="auto"/>
        </w:rPr>
      </w:pPr>
    </w:p>
    <w:p>
      <w:pPr>
        <w:jc w:val="both"/>
        <w:ind w:left="180"/>
        <w:spacing w:after="0" w:line="236" w:lineRule="auto"/>
        <w:rPr>
          <w:sz w:val="20"/>
          <w:szCs w:val="20"/>
          <w:color w:val="auto"/>
        </w:rPr>
      </w:pPr>
      <w:r>
        <w:rPr>
          <w:rFonts w:ascii="Arial" w:cs="Arial" w:eastAsia="Arial" w:hAnsi="Arial"/>
          <w:sz w:val="22"/>
          <w:szCs w:val="22"/>
          <w:b w:val="1"/>
          <w:bCs w:val="1"/>
          <w:u w:val="single" w:color="auto"/>
          <w:color w:val="auto"/>
        </w:rPr>
        <w:t>Exchange Control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may acquire and remit foreign currency (including funds</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purchase of Shares and proceeds from the sale of Shares) up to US$5,000,000 per year without justification. If the transaction amount is TWD500,000 or more in a single transaction, Participant must submit a Foreign Exchange Transaction Form. If the transaction amount is US$500,000 or more in a single transaction, Participant must also provide supporting documentation to the satisfaction of the remitting bank.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______________________</w:t>
      </w:r>
    </w:p>
    <w:p>
      <w:pPr>
        <w:spacing w:after="0" w:line="240" w:lineRule="exact"/>
        <w:rPr>
          <w:sz w:val="20"/>
          <w:szCs w:val="20"/>
          <w:color w:val="auto"/>
        </w:rPr>
      </w:pPr>
    </w:p>
    <w:p>
      <w:pPr>
        <w:jc w:val="both"/>
        <w:ind w:left="180" w:firstLine="247"/>
        <w:spacing w:after="0" w:line="238" w:lineRule="auto"/>
        <w:tabs>
          <w:tab w:leader="none" w:pos="544" w:val="left"/>
        </w:tabs>
        <w:numPr>
          <w:ilvl w:val="0"/>
          <w:numId w:val="81"/>
        </w:numPr>
        <w:rPr>
          <w:rFonts w:ascii="Arial" w:cs="Arial" w:eastAsia="Arial" w:hAnsi="Arial"/>
          <w:sz w:val="22"/>
          <w:szCs w:val="22"/>
          <w:color w:val="auto"/>
          <w:vertAlign w:val="superscript"/>
        </w:rPr>
      </w:pPr>
      <w:r>
        <w:rPr>
          <w:rFonts w:ascii="Arial" w:cs="Arial" w:eastAsia="Arial" w:hAnsi="Arial"/>
          <w:sz w:val="18"/>
          <w:szCs w:val="18"/>
          <w:color w:val="auto"/>
        </w:rPr>
        <w:t>A shadow director is an individual who is not on the board of directors of the Singapore Subsidiary but who has sufficient control so that the board of directors of the Singapore Parent or Subsidiary acts in accordance with the directions and instructions of the individual.</w:t>
      </w:r>
    </w:p>
    <w:p>
      <w:pPr>
        <w:spacing w:after="0" w:line="195" w:lineRule="exact"/>
        <w:rPr>
          <w:rFonts w:ascii="Arial" w:cs="Arial" w:eastAsia="Arial" w:hAnsi="Arial"/>
          <w:sz w:val="22"/>
          <w:szCs w:val="22"/>
          <w:color w:val="auto"/>
          <w:vertAlign w:val="superscript"/>
        </w:rPr>
      </w:pPr>
    </w:p>
    <w:p>
      <w:pPr>
        <w:ind w:left="4700" w:hanging="183"/>
        <w:spacing w:after="0"/>
        <w:tabs>
          <w:tab w:leader="none" w:pos="4700" w:val="left"/>
        </w:tabs>
        <w:numPr>
          <w:ilvl w:val="1"/>
          <w:numId w:val="81"/>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328" w:right="1319" w:bottom="1440" w:gutter="0" w:footer="0" w:header="0"/>
        </w:sectPr>
      </w:pPr>
    </w:p>
    <w:bookmarkStart w:id="107" w:name="page108"/>
    <w:bookmarkEnd w:id="107"/>
    <w:p>
      <w:pPr>
        <w:ind w:left="180"/>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Tax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provision supplements Section 6 of the Option Agreement:</w:t>
      </w:r>
    </w:p>
    <w:p>
      <w:pPr>
        <w:spacing w:after="0" w:line="212" w:lineRule="exact"/>
        <w:rPr>
          <w:sz w:val="20"/>
          <w:szCs w:val="20"/>
          <w:color w:val="auto"/>
        </w:rPr>
      </w:pPr>
    </w:p>
    <w:p>
      <w:pPr>
        <w:jc w:val="both"/>
        <w:ind w:left="180"/>
        <w:spacing w:after="0" w:line="246" w:lineRule="auto"/>
        <w:rPr>
          <w:sz w:val="20"/>
          <w:szCs w:val="20"/>
          <w:color w:val="auto"/>
        </w:rPr>
      </w:pPr>
      <w:r>
        <w:rPr>
          <w:rFonts w:ascii="Arial" w:cs="Arial" w:eastAsia="Arial" w:hAnsi="Arial"/>
          <w:sz w:val="21"/>
          <w:szCs w:val="21"/>
          <w:color w:val="auto"/>
        </w:rPr>
        <w:t>Without limitation to Section 6 of the Option Agreement, Participant agrees that Participant is liable for all Tax Obligations and hereby covenants to pay all such Tax Obligations, as and when requested by the Company or the Company’s Parent or Subsidiary employing or retaining Participant or by Her Majesty's Revenue and Customs (“HMRC”) (or any other tax authority or any other relevant authority). Participant also agrees to indemnify and keep indemnified the Company and the Company’s Parent or Subsidiary employing or retaining Participant against any Tax–Related Items that they are required to pay or withhold on Participant’s behalf or have paid or will pay to HMRC (or any other tax authority or any other relevant authority).]</w:t>
      </w:r>
    </w:p>
    <w:p>
      <w:pPr>
        <w:spacing w:after="0" w:line="180" w:lineRule="exact"/>
        <w:rPr>
          <w:sz w:val="20"/>
          <w:szCs w:val="20"/>
          <w:color w:val="auto"/>
        </w:rPr>
      </w:pPr>
    </w:p>
    <w:p>
      <w:pPr>
        <w:ind w:left="3960"/>
        <w:spacing w:after="0"/>
        <w:tabs>
          <w:tab w:leader="none" w:pos="4600" w:val="left"/>
          <w:tab w:leader="none" w:pos="52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328" w:right="1319" w:bottom="1440" w:gutter="0" w:footer="0" w:header="0"/>
        </w:sectPr>
      </w:pPr>
    </w:p>
    <w:bookmarkStart w:id="108" w:name="page109"/>
    <w:bookmarkEnd w:id="108"/>
    <w:p>
      <w:pPr>
        <w:ind w:left="2520"/>
        <w:spacing w:after="0"/>
        <w:rPr>
          <w:sz w:val="20"/>
          <w:szCs w:val="20"/>
          <w:color w:val="auto"/>
        </w:rPr>
      </w:pPr>
      <w:r>
        <w:rPr>
          <w:rFonts w:ascii="Arial" w:cs="Arial" w:eastAsia="Arial" w:hAnsi="Arial"/>
          <w:sz w:val="22"/>
          <w:szCs w:val="22"/>
          <w:b w:val="1"/>
          <w:bCs w:val="1"/>
          <w:color w:val="auto"/>
        </w:rPr>
        <w:t>OMNIOME EQUITY INCENTIVE PLAN OF</w:t>
      </w:r>
    </w:p>
    <w:p>
      <w:pPr>
        <w:spacing w:after="0" w:line="206"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PACIFIC BIOSCIENCES OF CALIFORNIA, INC.</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GLOBAL RESTRICTED STOCK UNIT AGREEMENT</w:t>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NOTICE OF RESTRICTED STOCK UNIT GRANT</w:t>
      </w:r>
    </w:p>
    <w:p>
      <w:pPr>
        <w:spacing w:after="0" w:line="212" w:lineRule="exact"/>
        <w:rPr>
          <w:sz w:val="20"/>
          <w:szCs w:val="20"/>
          <w:color w:val="auto"/>
        </w:rPr>
      </w:pPr>
    </w:p>
    <w:p>
      <w:pPr>
        <w:jc w:val="both"/>
        <w:ind w:left="180" w:firstLine="648"/>
        <w:spacing w:after="0" w:line="282" w:lineRule="auto"/>
        <w:rPr>
          <w:sz w:val="20"/>
          <w:szCs w:val="20"/>
          <w:color w:val="auto"/>
        </w:rPr>
      </w:pPr>
      <w:r>
        <w:rPr>
          <w:rFonts w:ascii="Arial" w:cs="Arial" w:eastAsia="Arial" w:hAnsi="Arial"/>
          <w:sz w:val="19"/>
          <w:szCs w:val="19"/>
          <w:color w:val="auto"/>
        </w:rPr>
        <w:t xml:space="preserve">Unless otherwise defined herein, the terms defined in the Omniome Equity Incentive Plan of Pacific Biosciences of California, Inc. (the “Plan”) will have the same defined meanings in this Global Restricted Stock Unit Agreement which includes the Notice of Restricted Stock Unit Grant (the “Notice of Grant”), the Terms and Conditions of Restricted Stock Unit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 all other exhibits, appendices, and addenda attached hereto (the “Award Agreement”).</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Participant Name:</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Address:</w:t>
      </w:r>
    </w:p>
    <w:p>
      <w:pPr>
        <w:spacing w:after="0" w:line="188" w:lineRule="exact"/>
        <w:rPr>
          <w:sz w:val="20"/>
          <w:szCs w:val="20"/>
          <w:color w:val="auto"/>
        </w:rPr>
      </w:pPr>
    </w:p>
    <w:p>
      <w:pPr>
        <w:jc w:val="both"/>
        <w:ind w:left="180" w:firstLine="648"/>
        <w:spacing w:after="0" w:line="250" w:lineRule="auto"/>
        <w:rPr>
          <w:sz w:val="20"/>
          <w:szCs w:val="20"/>
          <w:color w:val="auto"/>
        </w:rPr>
      </w:pPr>
      <w:r>
        <w:rPr>
          <w:rFonts w:ascii="Arial" w:cs="Arial" w:eastAsia="Arial" w:hAnsi="Arial"/>
          <w:sz w:val="22"/>
          <w:szCs w:val="22"/>
          <w:color w:val="auto"/>
        </w:rPr>
        <w:t>The undersigned Participant has been granted an Award of Restricted Stock Units, subject to the terms and conditions of the Plan and this Award Agreement, as follows:</w:t>
      </w:r>
    </w:p>
    <w:p>
      <w:pPr>
        <w:spacing w:after="0" w:line="175" w:lineRule="exact"/>
        <w:rPr>
          <w:sz w:val="20"/>
          <w:szCs w:val="20"/>
          <w:color w:val="auto"/>
        </w:rPr>
      </w:pPr>
    </w:p>
    <w:tbl>
      <w:tblPr>
        <w:tblLayout w:type="fixed"/>
        <w:tblInd w:w="840" w:type="dxa"/>
        <w:tblCellMar>
          <w:top w:w="0" w:type="dxa"/>
          <w:left w:w="0" w:type="dxa"/>
          <w:bottom w:w="0" w:type="dxa"/>
          <w:right w:w="0" w:type="dxa"/>
        </w:tblCellMar>
      </w:tblPr>
      <w:tr>
        <w:trPr>
          <w:trHeight w:val="274"/>
        </w:trPr>
        <w:tc>
          <w:tcPr>
            <w:tcW w:w="3700" w:type="dxa"/>
            <w:vAlign w:val="bottom"/>
            <w:gridSpan w:val="2"/>
          </w:tcPr>
          <w:p>
            <w:pPr>
              <w:spacing w:after="0"/>
              <w:rPr>
                <w:sz w:val="20"/>
                <w:szCs w:val="20"/>
                <w:color w:val="auto"/>
              </w:rPr>
            </w:pPr>
            <w:r>
              <w:rPr>
                <w:rFonts w:ascii="Arial" w:cs="Arial" w:eastAsia="Arial" w:hAnsi="Arial"/>
                <w:sz w:val="22"/>
                <w:szCs w:val="22"/>
                <w:color w:val="auto"/>
              </w:rPr>
              <w:t>Grant Number:</w:t>
            </w:r>
          </w:p>
        </w:tc>
        <w:tc>
          <w:tcPr>
            <w:tcW w:w="4020" w:type="dxa"/>
            <w:vAlign w:val="bottom"/>
          </w:tcPr>
          <w:p>
            <w:pPr>
              <w:jc w:val="right"/>
              <w:ind w:right="472"/>
              <w:spacing w:after="0"/>
              <w:rPr>
                <w:sz w:val="20"/>
                <w:szCs w:val="20"/>
                <w:color w:val="auto"/>
              </w:rPr>
            </w:pPr>
            <w:r>
              <w:rPr>
                <w:rFonts w:ascii="Arial" w:cs="Arial" w:eastAsia="Arial" w:hAnsi="Arial"/>
                <w:sz w:val="22"/>
                <w:szCs w:val="22"/>
                <w:color w:val="auto"/>
                <w:w w:val="93"/>
              </w:rPr>
              <w:t>______________________________</w:t>
            </w:r>
          </w:p>
        </w:tc>
      </w:tr>
      <w:tr>
        <w:trPr>
          <w:trHeight w:val="459"/>
        </w:trPr>
        <w:tc>
          <w:tcPr>
            <w:tcW w:w="3700" w:type="dxa"/>
            <w:vAlign w:val="bottom"/>
            <w:gridSpan w:val="2"/>
          </w:tcPr>
          <w:p>
            <w:pPr>
              <w:spacing w:after="0"/>
              <w:rPr>
                <w:sz w:val="20"/>
                <w:szCs w:val="20"/>
                <w:color w:val="auto"/>
              </w:rPr>
            </w:pPr>
            <w:r>
              <w:rPr>
                <w:rFonts w:ascii="Arial" w:cs="Arial" w:eastAsia="Arial" w:hAnsi="Arial"/>
                <w:sz w:val="22"/>
                <w:szCs w:val="22"/>
                <w:color w:val="auto"/>
              </w:rPr>
              <w:t>Date of Grant:</w:t>
            </w:r>
          </w:p>
        </w:tc>
        <w:tc>
          <w:tcPr>
            <w:tcW w:w="4020" w:type="dxa"/>
            <w:vAlign w:val="bottom"/>
          </w:tcPr>
          <w:p>
            <w:pPr>
              <w:jc w:val="right"/>
              <w:spacing w:after="0"/>
              <w:rPr>
                <w:sz w:val="20"/>
                <w:szCs w:val="20"/>
                <w:color w:val="auto"/>
              </w:rPr>
            </w:pPr>
            <w:r>
              <w:rPr>
                <w:rFonts w:ascii="Arial" w:cs="Arial" w:eastAsia="Arial" w:hAnsi="Arial"/>
                <w:sz w:val="22"/>
                <w:szCs w:val="22"/>
                <w:color w:val="auto"/>
              </w:rPr>
              <w:t>______________________________</w:t>
            </w:r>
          </w:p>
        </w:tc>
      </w:tr>
      <w:tr>
        <w:trPr>
          <w:trHeight w:val="459"/>
        </w:trPr>
        <w:tc>
          <w:tcPr>
            <w:tcW w:w="3700" w:type="dxa"/>
            <w:vAlign w:val="bottom"/>
            <w:gridSpan w:val="2"/>
          </w:tcPr>
          <w:p>
            <w:pPr>
              <w:spacing w:after="0"/>
              <w:rPr>
                <w:sz w:val="20"/>
                <w:szCs w:val="20"/>
                <w:color w:val="auto"/>
              </w:rPr>
            </w:pPr>
            <w:r>
              <w:rPr>
                <w:rFonts w:ascii="Arial" w:cs="Arial" w:eastAsia="Arial" w:hAnsi="Arial"/>
                <w:sz w:val="22"/>
                <w:szCs w:val="22"/>
                <w:color w:val="auto"/>
              </w:rPr>
              <w:t>Vesting Commencement Date:</w:t>
            </w:r>
          </w:p>
        </w:tc>
        <w:tc>
          <w:tcPr>
            <w:tcW w:w="4020" w:type="dxa"/>
            <w:vAlign w:val="bottom"/>
          </w:tcPr>
          <w:p>
            <w:pPr>
              <w:jc w:val="right"/>
              <w:ind w:right="452"/>
              <w:spacing w:after="0"/>
              <w:rPr>
                <w:sz w:val="20"/>
                <w:szCs w:val="20"/>
                <w:color w:val="auto"/>
              </w:rPr>
            </w:pPr>
            <w:r>
              <w:rPr>
                <w:rFonts w:ascii="Arial" w:cs="Arial" w:eastAsia="Arial" w:hAnsi="Arial"/>
                <w:sz w:val="22"/>
                <w:szCs w:val="22"/>
                <w:color w:val="auto"/>
                <w:w w:val="93"/>
              </w:rPr>
              <w:t>______________________________</w:t>
            </w:r>
          </w:p>
        </w:tc>
      </w:tr>
      <w:tr>
        <w:trPr>
          <w:trHeight w:val="459"/>
        </w:trPr>
        <w:tc>
          <w:tcPr>
            <w:tcW w:w="3700" w:type="dxa"/>
            <w:vAlign w:val="bottom"/>
            <w:gridSpan w:val="2"/>
          </w:tcPr>
          <w:p>
            <w:pPr>
              <w:spacing w:after="0"/>
              <w:rPr>
                <w:sz w:val="20"/>
                <w:szCs w:val="20"/>
                <w:color w:val="auto"/>
              </w:rPr>
            </w:pPr>
            <w:r>
              <w:rPr>
                <w:rFonts w:ascii="Arial" w:cs="Arial" w:eastAsia="Arial" w:hAnsi="Arial"/>
                <w:sz w:val="22"/>
                <w:szCs w:val="22"/>
                <w:color w:val="auto"/>
                <w:w w:val="95"/>
              </w:rPr>
              <w:t>Total Number of Restricted Stock Units:</w:t>
            </w:r>
          </w:p>
        </w:tc>
        <w:tc>
          <w:tcPr>
            <w:tcW w:w="4020" w:type="dxa"/>
            <w:vAlign w:val="bottom"/>
          </w:tcPr>
          <w:p>
            <w:pPr>
              <w:jc w:val="right"/>
              <w:ind w:right="232"/>
              <w:spacing w:after="0"/>
              <w:rPr>
                <w:sz w:val="20"/>
                <w:szCs w:val="20"/>
                <w:color w:val="auto"/>
              </w:rPr>
            </w:pPr>
            <w:r>
              <w:rPr>
                <w:rFonts w:ascii="Arial" w:cs="Arial" w:eastAsia="Arial" w:hAnsi="Arial"/>
                <w:sz w:val="22"/>
                <w:szCs w:val="22"/>
                <w:color w:val="auto"/>
                <w:w w:val="99"/>
              </w:rPr>
              <w:t>______________________________</w:t>
            </w:r>
          </w:p>
        </w:tc>
      </w:tr>
      <w:tr>
        <w:trPr>
          <w:trHeight w:val="408"/>
        </w:trPr>
        <w:tc>
          <w:tcPr>
            <w:tcW w:w="3700" w:type="dxa"/>
            <w:vAlign w:val="bottom"/>
            <w:gridSpan w:val="2"/>
          </w:tcPr>
          <w:p>
            <w:pPr>
              <w:spacing w:after="0"/>
              <w:rPr>
                <w:sz w:val="20"/>
                <w:szCs w:val="20"/>
                <w:color w:val="auto"/>
              </w:rPr>
            </w:pPr>
            <w:r>
              <w:rPr>
                <w:rFonts w:ascii="Arial" w:cs="Arial" w:eastAsia="Arial" w:hAnsi="Arial"/>
                <w:sz w:val="22"/>
                <w:szCs w:val="22"/>
                <w:color w:val="auto"/>
              </w:rPr>
              <w:t>Vesting Schedule:</w:t>
            </w:r>
          </w:p>
        </w:tc>
        <w:tc>
          <w:tcPr>
            <w:tcW w:w="4020" w:type="dxa"/>
            <w:vAlign w:val="bottom"/>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180" w:firstLine="648"/>
        <w:spacing w:after="0" w:line="238" w:lineRule="auto"/>
        <w:rPr>
          <w:sz w:val="20"/>
          <w:szCs w:val="20"/>
          <w:color w:val="auto"/>
        </w:rPr>
      </w:pPr>
      <w:r>
        <w:rPr>
          <w:rFonts w:ascii="Arial" w:cs="Arial" w:eastAsia="Arial" w:hAnsi="Arial"/>
          <w:sz w:val="22"/>
          <w:szCs w:val="22"/>
          <w:color w:val="auto"/>
        </w:rPr>
        <w:t>Subject to any acceleration provisions contained in the Plan or this Award Agreement or any other written agreement between Participant and the Company or any applicable Subsidiary of the Company governing the terms of this Award, the Restricted Stock Units (the “RSUs”) will be scheduled to vest in accordance with the following schedule:</w:t>
      </w:r>
    </w:p>
    <w:p>
      <w:pPr>
        <w:spacing w:after="0" w:line="71" w:lineRule="exact"/>
        <w:rPr>
          <w:sz w:val="20"/>
          <w:szCs w:val="20"/>
          <w:color w:val="auto"/>
        </w:rPr>
      </w:pPr>
    </w:p>
    <w:p>
      <w:pPr>
        <w:jc w:val="both"/>
        <w:ind w:left="180" w:firstLine="648"/>
        <w:spacing w:after="0" w:line="255" w:lineRule="exact"/>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Insert Vesting Schedule, e.g.:</w:t>
      </w:r>
      <w:r>
        <w:rPr>
          <w:rFonts w:ascii="Arial" w:cs="Arial" w:eastAsia="Arial" w:hAnsi="Arial"/>
          <w:sz w:val="19"/>
          <w:szCs w:val="19"/>
          <w:b w:val="1"/>
          <w:bCs w:val="1"/>
          <w:color w:val="auto"/>
        </w:rPr>
        <w:t xml:space="preserve"> Twenty</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five percent (25%) of the Total Number of Restricted Stock Units will be scheduled to vest on each of the one (1), two (2), three (3) and four</w:t>
      </w:r>
    </w:p>
    <w:p>
      <w:pPr>
        <w:ind w:left="180" w:firstLine="4"/>
        <w:spacing w:after="0" w:line="236" w:lineRule="auto"/>
        <w:tabs>
          <w:tab w:leader="none" w:pos="506"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year anniversaries of the Vesting Commencement Date, subject to Participant continuing to be a Service Provider through such applicable vesting dates.]</w:t>
      </w:r>
    </w:p>
    <w:p>
      <w:pPr>
        <w:spacing w:after="0" w:line="187" w:lineRule="exact"/>
        <w:rPr>
          <w:sz w:val="20"/>
          <w:szCs w:val="20"/>
          <w:color w:val="auto"/>
        </w:rPr>
      </w:pPr>
    </w:p>
    <w:p>
      <w:pPr>
        <w:jc w:val="both"/>
        <w:ind w:left="180" w:firstLine="648"/>
        <w:spacing w:after="0" w:line="275" w:lineRule="auto"/>
        <w:rPr>
          <w:sz w:val="20"/>
          <w:szCs w:val="20"/>
          <w:color w:val="auto"/>
        </w:rPr>
      </w:pPr>
      <w:r>
        <w:rPr>
          <w:rFonts w:ascii="Arial" w:cs="Arial" w:eastAsia="Arial" w:hAnsi="Arial"/>
          <w:sz w:val="19"/>
          <w:szCs w:val="19"/>
          <w:color w:val="auto"/>
        </w:rPr>
        <w:t xml:space="preserve">By Participant’s signature and the signature of the representative of Pacific Biosciences of California, Inc.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323850</wp:posOffset>
            </wp:positionV>
            <wp:extent cx="573468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030" w:right="1319" w:bottom="1440" w:gutter="0" w:footer="0" w:header="0"/>
        </w:sectPr>
      </w:pPr>
    </w:p>
    <w:bookmarkStart w:id="109" w:name="page110"/>
    <w:bookmarkEnd w:id="109"/>
    <w:p>
      <w:pPr>
        <w:jc w:val="both"/>
        <w:ind w:left="180"/>
        <w:spacing w:after="0" w:line="238" w:lineRule="auto"/>
        <w:rPr>
          <w:sz w:val="20"/>
          <w:szCs w:val="20"/>
          <w:color w:val="auto"/>
        </w:rPr>
      </w:pPr>
      <w:r>
        <w:rPr>
          <w:rFonts w:ascii="Arial" w:cs="Arial" w:eastAsia="Arial" w:hAnsi="Arial"/>
          <w:sz w:val="22"/>
          <w:szCs w:val="22"/>
          <w:color w:val="auto"/>
        </w:rPr>
        <w:t>Plan and this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200" w:lineRule="exact"/>
        <w:rPr>
          <w:sz w:val="20"/>
          <w:szCs w:val="20"/>
          <w:color w:val="auto"/>
        </w:rPr>
      </w:pPr>
    </w:p>
    <w:p>
      <w:pPr>
        <w:spacing w:after="0" w:line="228"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2680" w:type="dxa"/>
            <w:vAlign w:val="bottom"/>
          </w:tcPr>
          <w:p>
            <w:pPr>
              <w:spacing w:after="0"/>
              <w:rPr>
                <w:sz w:val="20"/>
                <w:szCs w:val="20"/>
                <w:color w:val="auto"/>
              </w:rPr>
            </w:pPr>
            <w:r>
              <w:rPr>
                <w:rFonts w:ascii="Arial" w:cs="Arial" w:eastAsia="Arial" w:hAnsi="Arial"/>
                <w:sz w:val="22"/>
                <w:szCs w:val="22"/>
                <w:color w:val="auto"/>
              </w:rPr>
              <w:t>PARTICIPANT</w:t>
            </w:r>
          </w:p>
        </w:tc>
        <w:tc>
          <w:tcPr>
            <w:tcW w:w="5860" w:type="dxa"/>
            <w:vAlign w:val="bottom"/>
          </w:tcPr>
          <w:p>
            <w:pPr>
              <w:ind w:left="1380"/>
              <w:spacing w:after="0"/>
              <w:rPr>
                <w:sz w:val="20"/>
                <w:szCs w:val="20"/>
                <w:color w:val="auto"/>
              </w:rPr>
            </w:pPr>
            <w:r>
              <w:rPr>
                <w:rFonts w:ascii="Arial" w:cs="Arial" w:eastAsia="Arial" w:hAnsi="Arial"/>
                <w:sz w:val="22"/>
                <w:szCs w:val="22"/>
                <w:color w:val="auto"/>
                <w:w w:val="94"/>
              </w:rPr>
              <w:t>PACIFIC BIOSCIENCES OF CALIFORNIA, INC.</w:t>
            </w:r>
          </w:p>
        </w:tc>
      </w:tr>
      <w:tr>
        <w:trPr>
          <w:trHeight w:val="719"/>
        </w:trPr>
        <w:tc>
          <w:tcPr>
            <w:tcW w:w="2680" w:type="dxa"/>
            <w:vAlign w:val="bottom"/>
          </w:tcPr>
          <w:p>
            <w:pPr>
              <w:spacing w:after="0"/>
              <w:rPr>
                <w:sz w:val="20"/>
                <w:szCs w:val="20"/>
                <w:color w:val="auto"/>
              </w:rPr>
            </w:pPr>
            <w:r>
              <w:rPr>
                <w:rFonts w:ascii="Arial" w:cs="Arial" w:eastAsia="Arial" w:hAnsi="Arial"/>
                <w:sz w:val="18"/>
                <w:szCs w:val="18"/>
                <w:color w:val="auto"/>
              </w:rPr>
              <w:t>Signature</w:t>
            </w:r>
          </w:p>
        </w:tc>
        <w:tc>
          <w:tcPr>
            <w:tcW w:w="5860" w:type="dxa"/>
            <w:vAlign w:val="bottom"/>
          </w:tcPr>
          <w:p>
            <w:pPr>
              <w:ind w:left="1340"/>
              <w:spacing w:after="0"/>
              <w:rPr>
                <w:sz w:val="20"/>
                <w:szCs w:val="20"/>
                <w:color w:val="auto"/>
              </w:rPr>
            </w:pPr>
            <w:r>
              <w:rPr>
                <w:rFonts w:ascii="Arial" w:cs="Arial" w:eastAsia="Arial" w:hAnsi="Arial"/>
                <w:sz w:val="18"/>
                <w:szCs w:val="18"/>
                <w:color w:val="auto"/>
              </w:rPr>
              <w:t>By</w:t>
            </w:r>
          </w:p>
        </w:tc>
      </w:tr>
      <w:tr>
        <w:trPr>
          <w:trHeight w:val="918"/>
        </w:trPr>
        <w:tc>
          <w:tcPr>
            <w:tcW w:w="2680" w:type="dxa"/>
            <w:vAlign w:val="bottom"/>
          </w:tcPr>
          <w:p>
            <w:pPr>
              <w:spacing w:after="0"/>
              <w:rPr>
                <w:sz w:val="20"/>
                <w:szCs w:val="20"/>
                <w:color w:val="auto"/>
              </w:rPr>
            </w:pPr>
            <w:r>
              <w:rPr>
                <w:rFonts w:ascii="Arial" w:cs="Arial" w:eastAsia="Arial" w:hAnsi="Arial"/>
                <w:sz w:val="18"/>
                <w:szCs w:val="18"/>
                <w:color w:val="auto"/>
              </w:rPr>
              <w:t>Print Name</w:t>
            </w:r>
          </w:p>
        </w:tc>
        <w:tc>
          <w:tcPr>
            <w:tcW w:w="5860" w:type="dxa"/>
            <w:vAlign w:val="bottom"/>
          </w:tcPr>
          <w:p>
            <w:pPr>
              <w:ind w:left="1240"/>
              <w:spacing w:after="0"/>
              <w:rPr>
                <w:sz w:val="20"/>
                <w:szCs w:val="20"/>
                <w:color w:val="auto"/>
              </w:rPr>
            </w:pPr>
            <w:r>
              <w:rPr>
                <w:rFonts w:ascii="Arial" w:cs="Arial" w:eastAsia="Arial" w:hAnsi="Arial"/>
                <w:sz w:val="18"/>
                <w:szCs w:val="18"/>
                <w:color w:val="auto"/>
              </w:rPr>
              <w:t>Title</w:t>
            </w:r>
          </w:p>
        </w:tc>
      </w:tr>
      <w:tr>
        <w:trPr>
          <w:trHeight w:val="675"/>
        </w:trPr>
        <w:tc>
          <w:tcPr>
            <w:tcW w:w="2680" w:type="dxa"/>
            <w:vAlign w:val="bottom"/>
          </w:tcPr>
          <w:p>
            <w:pPr>
              <w:spacing w:after="0"/>
              <w:rPr>
                <w:sz w:val="20"/>
                <w:szCs w:val="20"/>
                <w:color w:val="auto"/>
              </w:rPr>
            </w:pPr>
            <w:r>
              <w:rPr>
                <w:rFonts w:ascii="Arial" w:cs="Arial" w:eastAsia="Arial" w:hAnsi="Arial"/>
                <w:sz w:val="18"/>
                <w:szCs w:val="18"/>
                <w:color w:val="auto"/>
              </w:rPr>
              <w:t>Residence Address:</w:t>
            </w:r>
          </w:p>
        </w:tc>
        <w:tc>
          <w:tcPr>
            <w:tcW w:w="5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334" w:right="1319" w:bottom="1440" w:gutter="0" w:footer="0" w:header="0"/>
        </w:sectPr>
      </w:pPr>
    </w:p>
    <w:bookmarkStart w:id="110" w:name="page111"/>
    <w:bookmarkEnd w:id="110"/>
    <w:p>
      <w:pPr>
        <w:jc w:val="center"/>
        <w:ind w:right="-17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TERMS AND CONDITIONS OF RESTRICTED STOCK UNIT GRANT</w:t>
      </w:r>
    </w:p>
    <w:p>
      <w:pPr>
        <w:spacing w:after="0" w:line="212" w:lineRule="exact"/>
        <w:rPr>
          <w:sz w:val="20"/>
          <w:szCs w:val="20"/>
          <w:color w:val="auto"/>
        </w:rPr>
      </w:pPr>
    </w:p>
    <w:p>
      <w:pPr>
        <w:jc w:val="both"/>
        <w:ind w:left="180" w:firstLine="652"/>
        <w:spacing w:after="0" w:line="234" w:lineRule="auto"/>
        <w:tabs>
          <w:tab w:leader="none" w:pos="1557"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xml:space="preserve">. The Company hereby grants to the individual (“Participant”) named in the Notice of Grant of Restricted Stock Units of this Award Agreement (the “Notice of Grant”) under the Plan an Award of Restricted Stock Units, and subject to all of the terms and conditions of this Award Agreement, including any country-specific provisions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the Plan, which is incorporated herein by reference. Subject to Section 19(c) of the Plan, in the event of a conflict between the terms and conditions of the Plan and this Award Agreement, including any country-specific provisions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the terms and conditions of the Plan shall prevail.</w:t>
      </w:r>
    </w:p>
    <w:p>
      <w:pPr>
        <w:spacing w:after="0" w:line="186" w:lineRule="exact"/>
        <w:rPr>
          <w:rFonts w:ascii="Arial" w:cs="Arial" w:eastAsia="Arial" w:hAnsi="Arial"/>
          <w:sz w:val="22"/>
          <w:szCs w:val="22"/>
          <w:color w:val="auto"/>
        </w:rPr>
      </w:pPr>
    </w:p>
    <w:p>
      <w:pPr>
        <w:jc w:val="both"/>
        <w:ind w:left="180" w:firstLine="652"/>
        <w:spacing w:after="0" w:line="235" w:lineRule="auto"/>
        <w:tabs>
          <w:tab w:leader="none" w:pos="1543"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Company’s Obligation to Pay</w:t>
      </w:r>
      <w:r>
        <w:rPr>
          <w:rFonts w:ascii="Arial" w:cs="Arial" w:eastAsia="Arial" w:hAnsi="Arial"/>
          <w:sz w:val="22"/>
          <w:szCs w:val="22"/>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7" w:lineRule="exact"/>
        <w:rPr>
          <w:rFonts w:ascii="Arial" w:cs="Arial" w:eastAsia="Arial" w:hAnsi="Arial"/>
          <w:sz w:val="22"/>
          <w:szCs w:val="22"/>
          <w:color w:val="auto"/>
        </w:rPr>
      </w:pPr>
    </w:p>
    <w:p>
      <w:pPr>
        <w:jc w:val="both"/>
        <w:ind w:left="180" w:firstLine="652"/>
        <w:spacing w:after="0" w:line="244" w:lineRule="auto"/>
        <w:tabs>
          <w:tab w:leader="none" w:pos="1543"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Vesting Schedule</w:t>
      </w:r>
      <w:r>
        <w:rPr>
          <w:rFonts w:ascii="Arial" w:cs="Arial" w:eastAsia="Arial" w:hAnsi="Arial"/>
          <w:sz w:val="21"/>
          <w:szCs w:val="21"/>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between Participant and the Company or any applicable Subsidiary of the Company governing the terms of this Award, Restricted Stock Units that are scheduled to vest on a certain date or upon the occurrence of a certain condition will not vest in accordance with any of the provisions of this Award Agreement, unless Participant will have been continuously a Service Provider from the Date of Grant through the applicable vesting date. The Administrator will have the exclusive discretion to determine when Participant no longer is providing services for purposes of determining Service Provider status under this Award of Restricted Stock Units (including without limitation whether Participant will be considered to be providing services while on a leave of absence).</w:t>
      </w:r>
    </w:p>
    <w:p>
      <w:pPr>
        <w:spacing w:after="0" w:line="185" w:lineRule="exact"/>
        <w:rPr>
          <w:rFonts w:ascii="Arial" w:cs="Arial" w:eastAsia="Arial" w:hAnsi="Arial"/>
          <w:sz w:val="21"/>
          <w:szCs w:val="21"/>
          <w:color w:val="auto"/>
        </w:rPr>
      </w:pPr>
    </w:p>
    <w:p>
      <w:pPr>
        <w:ind w:left="1500" w:hanging="668"/>
        <w:spacing w:after="0"/>
        <w:tabs>
          <w:tab w:leader="none" w:pos="15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Payment after 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34" w:lineRule="auto"/>
        <w:tabs>
          <w:tab w:leader="none" w:pos="2175"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Subject to Section 8, any Restricted Stock Units that vest will be paid to Participant (or in the event of Participant’s death, to his or her properly designated beneficiary or estate) in whole Shares. Subject to the provisions of this Section 4,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90" w:lineRule="exact"/>
        <w:rPr>
          <w:rFonts w:ascii="Arial" w:cs="Arial" w:eastAsia="Arial" w:hAnsi="Arial"/>
          <w:sz w:val="22"/>
          <w:szCs w:val="22"/>
          <w:color w:val="auto"/>
        </w:rPr>
      </w:pPr>
    </w:p>
    <w:p>
      <w:pPr>
        <w:ind w:left="2200" w:hanging="720"/>
        <w:spacing w:after="0"/>
        <w:tabs>
          <w:tab w:leader="none" w:pos="2200"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Acceleration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0" w:firstLine="1948"/>
        <w:spacing w:after="0" w:line="328" w:lineRule="auto"/>
        <w:tabs>
          <w:tab w:leader="none" w:pos="2868" w:val="left"/>
        </w:tabs>
        <w:numPr>
          <w:ilvl w:val="2"/>
          <w:numId w:val="83"/>
        </w:numPr>
        <w:rPr>
          <w:rFonts w:ascii="Arial" w:cs="Arial" w:eastAsia="Arial" w:hAnsi="Arial"/>
          <w:sz w:val="19"/>
          <w:szCs w:val="19"/>
          <w:color w:val="auto"/>
        </w:rPr>
      </w:pPr>
      <w:r>
        <w:rPr>
          <w:rFonts w:ascii="Arial" w:cs="Arial" w:eastAsia="Arial" w:hAnsi="Arial"/>
          <w:sz w:val="19"/>
          <w:szCs w:val="19"/>
          <w:u w:val="single" w:color="auto"/>
          <w:color w:val="auto"/>
        </w:rPr>
        <w:t>Discretionary Acceleration</w:t>
      </w:r>
      <w:r>
        <w:rPr>
          <w:rFonts w:ascii="Arial" w:cs="Arial" w:eastAsia="Arial" w:hAnsi="Arial"/>
          <w:sz w:val="19"/>
          <w:szCs w:val="19"/>
          <w:color w:val="auto"/>
        </w:rPr>
        <w:t>. The Administrator, in its discretion, may accelerate the vesting of the balance, or some lesser portion of the balance, of the unvested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290195</wp:posOffset>
            </wp:positionV>
            <wp:extent cx="573468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571" w:right="1319" w:bottom="1440" w:gutter="0" w:footer="0" w:header="0"/>
        </w:sectPr>
      </w:pPr>
    </w:p>
    <w:bookmarkStart w:id="111" w:name="page112"/>
    <w:bookmarkEnd w:id="111"/>
    <w:p>
      <w:pPr>
        <w:jc w:val="both"/>
        <w:ind w:left="180"/>
        <w:spacing w:after="0" w:line="248" w:lineRule="auto"/>
        <w:rPr>
          <w:sz w:val="20"/>
          <w:szCs w:val="20"/>
          <w:color w:val="auto"/>
        </w:rPr>
      </w:pPr>
      <w:r>
        <w:rPr>
          <w:rFonts w:ascii="Arial" w:cs="Arial" w:eastAsia="Arial" w:hAnsi="Arial"/>
          <w:sz w:val="21"/>
          <w:szCs w:val="21"/>
          <w:color w:val="auto"/>
        </w:rPr>
        <w:t>Stock Units at any time, subject to the terms of the Plan. If so accelerated, such Restricted Stock Units will be considered as having vested as of the date specified by the Administrator. If Participant is a U.S. taxpayer, the payment of Shares vesting pursuant to this Section 4 in all cases shall be paid at a time or in a manner that is exempt from, or complies with, Section 409A. The prior sentence may be superseded in a future agreement or amendment to this Award Agreement only by direct and specific reference to such sentence.</w:t>
      </w:r>
    </w:p>
    <w:p>
      <w:pPr>
        <w:spacing w:after="0" w:line="177" w:lineRule="exact"/>
        <w:rPr>
          <w:sz w:val="20"/>
          <w:szCs w:val="20"/>
          <w:color w:val="auto"/>
        </w:rPr>
      </w:pPr>
    </w:p>
    <w:p>
      <w:pPr>
        <w:jc w:val="both"/>
        <w:ind w:left="180" w:firstLine="1948"/>
        <w:spacing w:after="0" w:line="271" w:lineRule="auto"/>
        <w:tabs>
          <w:tab w:leader="none" w:pos="2887" w:val="left"/>
        </w:tabs>
        <w:numPr>
          <w:ilvl w:val="3"/>
          <w:numId w:val="84"/>
        </w:numPr>
        <w:rPr>
          <w:rFonts w:ascii="Arial" w:cs="Arial" w:eastAsia="Arial" w:hAnsi="Arial"/>
          <w:sz w:val="19"/>
          <w:szCs w:val="19"/>
          <w:color w:val="auto"/>
        </w:rPr>
      </w:pPr>
      <w:r>
        <w:rPr>
          <w:rFonts w:ascii="Arial" w:cs="Arial" w:eastAsia="Arial" w:hAnsi="Arial"/>
          <w:sz w:val="19"/>
          <w:szCs w:val="19"/>
          <w:color w:val="auto"/>
        </w:rPr>
        <w:t>Notwithstanding anything in the Plan or this Award Agreement or any other agreement (whether entered into before, on or after the Date of Grant) to the contrary, if the vesting of the balance, or some lesser portion of the balance, of the Restricted Stock Units is accelerated in connection with the cessation of Participant’s status as an Employee or other Service Provider (provided that such termination is a “separation from service” within the meaning of Section 409A, as determined by the Company),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such Participant’s status, unless Participant dies following cessation of such Participant’s status, in which case, the Restricted Stock Units will be paid in Shares to Participant’s estate as soon as practicable following his or her death.</w:t>
      </w:r>
    </w:p>
    <w:p>
      <w:pPr>
        <w:spacing w:after="0" w:line="164" w:lineRule="exact"/>
        <w:rPr>
          <w:rFonts w:ascii="Arial" w:cs="Arial" w:eastAsia="Arial" w:hAnsi="Arial"/>
          <w:sz w:val="19"/>
          <w:szCs w:val="19"/>
          <w:color w:val="auto"/>
        </w:rPr>
      </w:pPr>
    </w:p>
    <w:p>
      <w:pPr>
        <w:jc w:val="both"/>
        <w:ind w:left="180" w:firstLine="1300"/>
        <w:spacing w:after="0" w:line="273" w:lineRule="auto"/>
        <w:tabs>
          <w:tab w:leader="none" w:pos="2175" w:val="left"/>
        </w:tabs>
        <w:numPr>
          <w:ilvl w:val="2"/>
          <w:numId w:val="85"/>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to so comply. Each payment payable under this Award Agreement is intended to constitute a separate payment for purposes of Treasury Regulation Section 1.409A-2(b)(2). However, in no event will the Company or any of its Parents or Subsidiaries have any liability, responsibility or obligation to reimburse, indemnify, or hold harmless Participant for any taxes, penalties and interest that may be imposed, or other costs that may be incurred, as a result of Section 409A.</w:t>
      </w:r>
    </w:p>
    <w:p>
      <w:pPr>
        <w:spacing w:after="0" w:line="160" w:lineRule="exact"/>
        <w:rPr>
          <w:rFonts w:ascii="Arial" w:cs="Arial" w:eastAsia="Arial" w:hAnsi="Arial"/>
          <w:sz w:val="19"/>
          <w:szCs w:val="19"/>
          <w:color w:val="auto"/>
        </w:rPr>
      </w:pPr>
    </w:p>
    <w:p>
      <w:pPr>
        <w:jc w:val="both"/>
        <w:ind w:left="180" w:firstLine="652"/>
        <w:spacing w:after="0" w:line="282" w:lineRule="auto"/>
        <w:tabs>
          <w:tab w:leader="none" w:pos="1557"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as a Service Provider</w:t>
      </w:r>
      <w:r>
        <w:rPr>
          <w:rFonts w:ascii="Arial" w:cs="Arial" w:eastAsia="Arial" w:hAnsi="Arial"/>
          <w:sz w:val="19"/>
          <w:szCs w:val="19"/>
          <w:color w:val="auto"/>
        </w:rPr>
        <w:t>. Unless specifically provided otherwise in this Award Agreement or other written agreement between Participant and the Company or any of its Subsidiaries or Parents, as applicable,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47" w:lineRule="exact"/>
        <w:rPr>
          <w:rFonts w:ascii="Arial" w:cs="Arial" w:eastAsia="Arial" w:hAnsi="Arial"/>
          <w:sz w:val="19"/>
          <w:szCs w:val="19"/>
          <w:color w:val="auto"/>
        </w:rPr>
      </w:pPr>
    </w:p>
    <w:p>
      <w:pPr>
        <w:jc w:val="both"/>
        <w:ind w:left="180" w:firstLine="652"/>
        <w:spacing w:after="0" w:line="270" w:lineRule="auto"/>
        <w:tabs>
          <w:tab w:leader="none" w:pos="1516"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Any distribution or delivery to be made to Participant under this Award Agreement, if Participant is then deceased, will be made to Participant’s designated beneficiary (if applicable and to the extent the Administrator has permitted such beneficiary designation with respect to this Award) or, absent a designated beneficiary or if no beneficiary survives Participant, the administrator or executor of Participant’s estate. Any such transferee must furnish the Company with</w:t>
      </w:r>
    </w:p>
    <w:p>
      <w:pPr>
        <w:spacing w:after="0" w:line="4" w:lineRule="exact"/>
        <w:rPr>
          <w:rFonts w:ascii="Arial" w:cs="Arial" w:eastAsia="Arial" w:hAnsi="Arial"/>
          <w:sz w:val="19"/>
          <w:szCs w:val="19"/>
          <w:color w:val="auto"/>
        </w:rPr>
      </w:pPr>
    </w:p>
    <w:p>
      <w:pPr>
        <w:jc w:val="both"/>
        <w:ind w:left="180" w:firstLine="4"/>
        <w:spacing w:after="0" w:line="234" w:lineRule="auto"/>
        <w:tabs>
          <w:tab w:leader="none" w:pos="499" w:val="left"/>
        </w:tabs>
        <w:numPr>
          <w:ilvl w:val="0"/>
          <w:numId w:val="87"/>
        </w:numPr>
        <w:rPr>
          <w:rFonts w:ascii="Arial" w:cs="Arial" w:eastAsia="Arial" w:hAnsi="Arial"/>
          <w:sz w:val="22"/>
          <w:szCs w:val="22"/>
          <w:color w:val="auto"/>
        </w:rPr>
      </w:pPr>
      <w:r>
        <w:rPr>
          <w:rFonts w:ascii="Arial" w:cs="Arial" w:eastAsia="Arial" w:hAnsi="Arial"/>
          <w:sz w:val="22"/>
          <w:szCs w:val="22"/>
          <w:color w:val="auto"/>
        </w:rPr>
        <w:t>written notice of his or her status as transferee, and (b) evidence satisfactory to the Company to establish the validity of the transfer and compliance with any laws or regulations pertaining to said transfer.</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112" w:name="page113"/>
    <w:bookmarkEnd w:id="112"/>
    <w:p>
      <w:pPr>
        <w:ind w:left="1500" w:hanging="668"/>
        <w:spacing w:after="0"/>
        <w:tabs>
          <w:tab w:leader="none" w:pos="1500"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Tax Obligations</w:t>
      </w:r>
    </w:p>
    <w:p>
      <w:pPr>
        <w:spacing w:after="0" w:line="206" w:lineRule="exact"/>
        <w:rPr>
          <w:rFonts w:ascii="Arial" w:cs="Arial" w:eastAsia="Arial" w:hAnsi="Arial"/>
          <w:sz w:val="22"/>
          <w:szCs w:val="22"/>
          <w:color w:val="auto"/>
        </w:rPr>
      </w:pPr>
    </w:p>
    <w:p>
      <w:pPr>
        <w:jc w:val="both"/>
        <w:ind w:left="180" w:firstLine="1300"/>
        <w:spacing w:after="0" w:line="270" w:lineRule="auto"/>
        <w:tabs>
          <w:tab w:leader="none" w:pos="1864" w:val="left"/>
        </w:tabs>
        <w:numPr>
          <w:ilvl w:val="2"/>
          <w:numId w:val="88"/>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regardless of any action taken by the Company or, if different, Participant’s employer (the “Employer”) or any Parent or Subsidiary of the Company to which Participant is providing services (together, the “Service Recipients”),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80" w:firstLine="1300"/>
        <w:spacing w:after="0" w:line="270" w:lineRule="auto"/>
        <w:tabs>
          <w:tab w:leader="none" w:pos="1876" w:val="left"/>
        </w:tabs>
        <w:numPr>
          <w:ilvl w:val="2"/>
          <w:numId w:val="88"/>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Pursuant to such procedures as the Administrator may specify from time to time, the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in U.S. dollars,</w:t>
      </w:r>
    </w:p>
    <w:p>
      <w:pPr>
        <w:spacing w:after="0" w:line="4" w:lineRule="exact"/>
        <w:rPr>
          <w:rFonts w:ascii="Arial" w:cs="Arial" w:eastAsia="Arial" w:hAnsi="Arial"/>
          <w:sz w:val="19"/>
          <w:szCs w:val="19"/>
          <w:color w:val="auto"/>
        </w:rPr>
      </w:pPr>
    </w:p>
    <w:p>
      <w:pPr>
        <w:jc w:val="both"/>
        <w:ind w:left="180" w:firstLine="4"/>
        <w:spacing w:after="0" w:line="269" w:lineRule="auto"/>
        <w:tabs>
          <w:tab w:leader="none" w:pos="525" w:val="left"/>
        </w:tabs>
        <w:numPr>
          <w:ilvl w:val="0"/>
          <w:numId w:val="89"/>
        </w:numPr>
        <w:rPr>
          <w:rFonts w:ascii="Arial" w:cs="Arial" w:eastAsia="Arial" w:hAnsi="Arial"/>
          <w:sz w:val="19"/>
          <w:szCs w:val="19"/>
          <w:color w:val="auto"/>
        </w:rPr>
      </w:pPr>
      <w:r>
        <w:rPr>
          <w:rFonts w:ascii="Arial" w:cs="Arial" w:eastAsia="Arial" w:hAnsi="Arial"/>
          <w:sz w:val="19"/>
          <w:szCs w:val="19"/>
          <w:color w:val="auto"/>
        </w:rPr>
        <w:t>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applicable Service Recipient(s), (iv) delivering to the Company Shares that Participant owns and that already have vested with a fair market value equal to the Tax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 such other means as the Administrator deems appropriate.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w:t>
      </w:r>
    </w:p>
    <w:p>
      <w:pPr>
        <w:spacing w:after="0" w:line="16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113" w:name="page114"/>
    <w:bookmarkEnd w:id="113"/>
    <w:p>
      <w:pPr>
        <w:jc w:val="both"/>
        <w:ind w:left="180"/>
        <w:spacing w:after="0" w:line="272" w:lineRule="auto"/>
        <w:rPr>
          <w:sz w:val="20"/>
          <w:szCs w:val="20"/>
          <w:color w:val="auto"/>
        </w:rPr>
      </w:pPr>
      <w:r>
        <w:rPr>
          <w:rFonts w:ascii="Arial" w:cs="Arial" w:eastAsia="Arial" w:hAnsi="Arial"/>
          <w:sz w:val="19"/>
          <w:szCs w:val="19"/>
          <w:color w:val="auto"/>
        </w:rPr>
        <w:t xml:space="preserve">jurisdiction. If the Tax Obligations are satisfied by withholding in Shares, for tax purposes, Participant is deemed to have been issued the full number of Shares subject to the vested Restricted Stock Units, notwithstanding that a number of the Shares are held back solely for the purpose of paying the Tax Obligations. </w:t>
      </w:r>
      <w:r>
        <w:rPr>
          <w:rFonts w:ascii="Arial" w:cs="Arial" w:eastAsia="Arial" w:hAnsi="Arial"/>
          <w:sz w:val="19"/>
          <w:szCs w:val="19"/>
          <w:b w:val="1"/>
          <w:bCs w:val="1"/>
          <w:color w:val="auto"/>
        </w:rPr>
        <w:t>If Participant is an officer of the Company within the meaning of Section 16 of the</w:t>
      </w:r>
    </w:p>
    <w:p>
      <w:pPr>
        <w:jc w:val="both"/>
        <w:ind w:left="180"/>
        <w:spacing w:after="0" w:line="272" w:lineRule="auto"/>
        <w:rPr>
          <w:sz w:val="20"/>
          <w:szCs w:val="20"/>
          <w:color w:val="auto"/>
        </w:rPr>
      </w:pPr>
      <w:r>
        <w:rPr>
          <w:rFonts w:ascii="Arial" w:cs="Arial" w:eastAsia="Arial" w:hAnsi="Arial"/>
          <w:sz w:val="19"/>
          <w:szCs w:val="19"/>
          <w:b w:val="1"/>
          <w:bCs w:val="1"/>
          <w:color w:val="auto"/>
        </w:rPr>
        <w:t xml:space="preserve">Exchange Act, then the Company will withhold from proceeds of the sale of a sufficient number of Shares otherwise deliverable to Participant to satisfy the Tax Obligations and any associated broker or other fees upon the relevant taxable or tax withholding event, as applicable, and Participant agrees and acknowledges that Participant may not satisfy them by any means other than such sale of Shares, unless required to do so by the Administrator. </w:t>
      </w:r>
      <w:r>
        <w:rPr>
          <w:rFonts w:ascii="Arial" w:cs="Arial" w:eastAsia="Arial" w:hAnsi="Arial"/>
          <w:sz w:val="19"/>
          <w:szCs w:val="19"/>
          <w:color w:val="auto"/>
        </w:rPr>
        <w:t>To the extent the use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withholding method is problematic under Applicable Laws or has materially adverse accounting consequences, then the Tax Obligations may be satisfied by one or a combination of the methods specified under clauses (i), (ii), (iii) and (v) above.</w:t>
      </w:r>
    </w:p>
    <w:p>
      <w:pPr>
        <w:spacing w:after="0" w:line="161" w:lineRule="exact"/>
        <w:rPr>
          <w:sz w:val="20"/>
          <w:szCs w:val="20"/>
          <w:color w:val="auto"/>
        </w:rPr>
      </w:pPr>
    </w:p>
    <w:p>
      <w:pPr>
        <w:jc w:val="both"/>
        <w:ind w:left="180" w:firstLine="1300"/>
        <w:spacing w:after="0" w:line="234" w:lineRule="auto"/>
        <w:tabs>
          <w:tab w:leader="none" w:pos="1851"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No Representations</w:t>
      </w:r>
      <w:r>
        <w:rPr>
          <w:rFonts w:ascii="Arial" w:cs="Arial" w:eastAsia="Arial" w:hAnsi="Arial"/>
          <w:sz w:val="22"/>
          <w:szCs w:val="22"/>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90" w:lineRule="exact"/>
        <w:rPr>
          <w:rFonts w:ascii="Arial" w:cs="Arial" w:eastAsia="Arial" w:hAnsi="Arial"/>
          <w:sz w:val="22"/>
          <w:szCs w:val="22"/>
          <w:color w:val="auto"/>
        </w:rPr>
      </w:pPr>
    </w:p>
    <w:p>
      <w:pPr>
        <w:jc w:val="both"/>
        <w:ind w:left="180" w:firstLine="1300"/>
        <w:spacing w:after="0" w:line="273" w:lineRule="auto"/>
        <w:tabs>
          <w:tab w:leader="none" w:pos="1876"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Company’s Obligation to Deliver Shares</w:t>
      </w:r>
      <w:r>
        <w:rPr>
          <w:rFonts w:ascii="Arial" w:cs="Arial" w:eastAsia="Arial" w:hAnsi="Arial"/>
          <w:sz w:val="19"/>
          <w:szCs w:val="19"/>
          <w:color w:val="auto"/>
        </w:rPr>
        <w:t>. For clarification purposes, in no event will the Company issue Participant any Shares unless and until arrangements satisfactory to the Administrator have been made for the payment of Participant’s Tax Obligations. If Participant fails to make satisfactory arrangements for the payment of such Tax Obligations hereunder at the time any applicable Restricted Stock Units otherwise are scheduled to vest pursuant to Sections 3 or 4 or Participant’s Tax Obligations otherwise become due, Participant will permanently forfeit such Restricted Stock Units to which Participant’s Tax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w:t>
      </w:r>
    </w:p>
    <w:p>
      <w:pPr>
        <w:spacing w:after="0" w:line="160" w:lineRule="exact"/>
        <w:rPr>
          <w:rFonts w:ascii="Arial" w:cs="Arial" w:eastAsia="Arial" w:hAnsi="Arial"/>
          <w:sz w:val="19"/>
          <w:szCs w:val="19"/>
          <w:color w:val="auto"/>
        </w:rPr>
      </w:pPr>
    </w:p>
    <w:p>
      <w:pPr>
        <w:jc w:val="both"/>
        <w:ind w:left="180" w:firstLine="652"/>
        <w:spacing w:after="0" w:line="246" w:lineRule="auto"/>
        <w:tabs>
          <w:tab w:leader="none" w:pos="1516"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9" w:lineRule="exact"/>
        <w:rPr>
          <w:rFonts w:ascii="Arial" w:cs="Arial" w:eastAsia="Arial" w:hAnsi="Arial"/>
          <w:sz w:val="21"/>
          <w:szCs w:val="21"/>
          <w:color w:val="auto"/>
        </w:rPr>
      </w:pPr>
    </w:p>
    <w:p>
      <w:pPr>
        <w:jc w:val="both"/>
        <w:ind w:left="180" w:firstLine="652"/>
        <w:spacing w:after="0" w:line="248" w:lineRule="auto"/>
        <w:tabs>
          <w:tab w:leader="none" w:pos="1570"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No Guarantee of Continued Service</w:t>
      </w:r>
      <w:r>
        <w:rPr>
          <w:rFonts w:ascii="Arial" w:cs="Arial" w:eastAsia="Arial" w:hAnsi="Arial"/>
          <w:sz w:val="21"/>
          <w:szCs w:val="21"/>
          <w:color w:val="auto"/>
        </w:rPr>
        <w:t>. PARTICIPANT ACKNOWLEDGES AND AGREES THAT THE VESTING OF THE RESTRICTED STOCK UNITS PURSUANT TO THE VESTING SCHEDULE HEREOF IS EARNED ONLY BY CONTINUING AS A SERVICE PROVIDER, WHICH UNLESS PROVIDED OTHERWISE UNDER APPLICABLE LAW IS AT THE WILL OF THE APPLICABLE SERVICE RECIPIENT AND NOT THROUGH THE ACT OF BEING HIRED, BEING GRANTED THIS RESTRICTED STOCK UNIT AWARD OR</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114" w:name="page115"/>
    <w:bookmarkEnd w:id="114"/>
    <w:p>
      <w:pPr>
        <w:jc w:val="both"/>
        <w:ind w:left="180"/>
        <w:spacing w:after="0" w:line="245" w:lineRule="auto"/>
        <w:rPr>
          <w:sz w:val="20"/>
          <w:szCs w:val="20"/>
          <w:color w:val="auto"/>
        </w:rPr>
      </w:pPr>
      <w:r>
        <w:rPr>
          <w:rFonts w:ascii="Arial" w:cs="Arial" w:eastAsia="Arial" w:hAnsi="Arial"/>
          <w:sz w:val="21"/>
          <w:szCs w:val="21"/>
          <w:color w:val="auto"/>
        </w:rPr>
        <w:t>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5" w:lineRule="exact"/>
        <w:rPr>
          <w:sz w:val="20"/>
          <w:szCs w:val="20"/>
          <w:color w:val="auto"/>
        </w:rPr>
      </w:pPr>
    </w:p>
    <w:p>
      <w:pPr>
        <w:jc w:val="both"/>
        <w:ind w:left="180" w:firstLine="652"/>
        <w:spacing w:after="0" w:line="246" w:lineRule="auto"/>
        <w:tabs>
          <w:tab w:leader="none" w:pos="1543"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Grant is Not Transferable</w:t>
      </w:r>
      <w:r>
        <w:rPr>
          <w:rFonts w:ascii="Arial" w:cs="Arial" w:eastAsia="Arial" w:hAnsi="Arial"/>
          <w:sz w:val="21"/>
          <w:szCs w:val="21"/>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4" w:lineRule="exact"/>
        <w:rPr>
          <w:rFonts w:ascii="Arial" w:cs="Arial" w:eastAsia="Arial" w:hAnsi="Arial"/>
          <w:sz w:val="21"/>
          <w:szCs w:val="21"/>
          <w:color w:val="auto"/>
        </w:rPr>
      </w:pPr>
    </w:p>
    <w:p>
      <w:pPr>
        <w:jc w:val="both"/>
        <w:ind w:left="180" w:firstLine="652"/>
        <w:spacing w:after="0" w:line="244" w:lineRule="auto"/>
        <w:tabs>
          <w:tab w:leader="none" w:pos="1535"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Insider Trading Restrictions/Market Abuses</w:t>
      </w:r>
      <w:r>
        <w:rPr>
          <w:rFonts w:ascii="Arial" w:cs="Arial" w:eastAsia="Arial" w:hAnsi="Arial"/>
          <w:sz w:val="21"/>
          <w:szCs w:val="21"/>
          <w:color w:val="auto"/>
        </w:rPr>
        <w:t>. Participant acknowledges that Participant may be subject to insider trading restrictions and/or market abuse laws in applicable jurisdictions, including the United States and Participant’s country of residence, which may affect Participant’s ability, directly or indirectly, for Participant or for a third party, to acquire or sell, or attempt to sell, Shares or rights to Shares under the Plan during such times as Participant is considered to have “inside information” regarding the Company (as defined by the laws in the applicable jurisdiction, including the United States and Participant’s country of residence). Any restrictions under these laws or regulations are separate from and in addition to any restrictions that may be imposed under any applicable Company insider trading policy. Participant acknowledges that it is Participant’s responsibility to be compliant with all such requirements and Participant should consult Participant’s personal legal advisers to ensure compliance.</w:t>
      </w:r>
    </w:p>
    <w:p>
      <w:pPr>
        <w:spacing w:after="0" w:line="188" w:lineRule="exact"/>
        <w:rPr>
          <w:rFonts w:ascii="Arial" w:cs="Arial" w:eastAsia="Arial" w:hAnsi="Arial"/>
          <w:sz w:val="21"/>
          <w:szCs w:val="21"/>
          <w:color w:val="auto"/>
        </w:rPr>
      </w:pPr>
    </w:p>
    <w:p>
      <w:pPr>
        <w:jc w:val="both"/>
        <w:ind w:left="180" w:firstLine="652"/>
        <w:spacing w:after="0" w:line="272" w:lineRule="auto"/>
        <w:tabs>
          <w:tab w:leader="none" w:pos="1584"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Foreign Asset/Account Reporting Requirements; Exchange Controls</w:t>
      </w:r>
      <w:r>
        <w:rPr>
          <w:rFonts w:ascii="Arial" w:cs="Arial" w:eastAsia="Arial" w:hAnsi="Arial"/>
          <w:sz w:val="19"/>
          <w:szCs w:val="19"/>
          <w:color w:val="auto"/>
        </w:rPr>
        <w:t>. Participant’s country may have certain foreign asset and/or account reporting requirements and exchange controls which may affect Participant’s ability to acquire or hold Shares under the Plan or cash received from participating in the Plan (including from any dividends received or sale proceeds arising from the sale of Shares) in a brokerage or bank account outside Participant’s country. Participant understands that Participant may be required to report such accounts, assets or transactions to the tax or other authorities in Participant’s country. Participant also may be required to repatriate sale proceeds or other funds received as a result of participation in the Plan to Participant’s country through a designated bank or broker and/or within a certain time after receipt. In addition, Participant may be subject to tax payment and/or reporting obligations in connection with any income realized under the Plan and/or from the sale of Shares. Participant acknowledges that it is Participant’s responsibility to be compliant with all such requirements, and that Participant should consult Participant’s personal legal and tax advisers, as applicable, to ensure compliance.</w:t>
      </w:r>
    </w:p>
    <w:p>
      <w:pPr>
        <w:spacing w:after="0" w:line="155" w:lineRule="exact"/>
        <w:rPr>
          <w:rFonts w:ascii="Arial" w:cs="Arial" w:eastAsia="Arial" w:hAnsi="Arial"/>
          <w:sz w:val="19"/>
          <w:szCs w:val="19"/>
          <w:color w:val="auto"/>
        </w:rPr>
      </w:pPr>
    </w:p>
    <w:p>
      <w:pPr>
        <w:ind w:left="180" w:firstLine="652"/>
        <w:spacing w:after="0" w:line="250" w:lineRule="auto"/>
        <w:tabs>
          <w:tab w:leader="none" w:pos="1597"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this Award of Restricted Stock Units, Participant acknowledges, understands and agrees that:</w:t>
      </w:r>
    </w:p>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115" w:name="page116"/>
    <w:bookmarkEnd w:id="115"/>
    <w:p>
      <w:pPr>
        <w:jc w:val="both"/>
        <w:ind w:left="180" w:firstLine="1300"/>
        <w:spacing w:after="0" w:line="297" w:lineRule="auto"/>
        <w:tabs>
          <w:tab w:leader="none" w:pos="2175"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34" w:lineRule="exact"/>
        <w:rPr>
          <w:rFonts w:ascii="Arial" w:cs="Arial" w:eastAsia="Arial" w:hAnsi="Arial"/>
          <w:sz w:val="19"/>
          <w:szCs w:val="19"/>
          <w:color w:val="auto"/>
        </w:rPr>
      </w:pPr>
    </w:p>
    <w:p>
      <w:pPr>
        <w:ind w:left="180" w:firstLine="1300"/>
        <w:spacing w:after="0" w:line="250" w:lineRule="auto"/>
        <w:tabs>
          <w:tab w:leader="none" w:pos="2187" w:val="left"/>
        </w:tabs>
        <w:numPr>
          <w:ilvl w:val="0"/>
          <w:numId w:val="93"/>
        </w:numPr>
        <w:rPr>
          <w:rFonts w:ascii="Arial" w:cs="Arial" w:eastAsia="Arial" w:hAnsi="Arial"/>
          <w:sz w:val="22"/>
          <w:szCs w:val="22"/>
          <w:color w:val="auto"/>
        </w:rPr>
      </w:pPr>
      <w:r>
        <w:rPr>
          <w:rFonts w:ascii="Arial" w:cs="Arial" w:eastAsia="Arial" w:hAnsi="Arial"/>
          <w:sz w:val="22"/>
          <w:szCs w:val="22"/>
          <w:color w:val="auto"/>
        </w:rPr>
        <w:t>all decisions with respect to future restricted stock units or other grants, if any, will be at the sole discretion of the Administrator;</w:t>
      </w:r>
    </w:p>
    <w:p>
      <w:pPr>
        <w:spacing w:after="0" w:line="174" w:lineRule="exact"/>
        <w:rPr>
          <w:rFonts w:ascii="Arial" w:cs="Arial" w:eastAsia="Arial" w:hAnsi="Arial"/>
          <w:sz w:val="22"/>
          <w:szCs w:val="22"/>
          <w:color w:val="auto"/>
        </w:rPr>
      </w:pPr>
    </w:p>
    <w:p>
      <w:pPr>
        <w:ind w:left="2180" w:hanging="700"/>
        <w:spacing w:after="0"/>
        <w:tabs>
          <w:tab w:leader="none" w:pos="21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206" w:lineRule="exact"/>
        <w:rPr>
          <w:rFonts w:ascii="Arial" w:cs="Arial" w:eastAsia="Arial" w:hAnsi="Arial"/>
          <w:sz w:val="22"/>
          <w:szCs w:val="22"/>
          <w:color w:val="auto"/>
        </w:rPr>
      </w:pPr>
    </w:p>
    <w:p>
      <w:pPr>
        <w:ind w:left="180" w:firstLine="1300"/>
        <w:spacing w:after="0" w:line="250" w:lineRule="auto"/>
        <w:tabs>
          <w:tab w:leader="none" w:pos="2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Restricted Stock Units and the Shares subject to the Restricted Stock Units are not intended to replace any pension rights or compensation;</w:t>
      </w:r>
    </w:p>
    <w:p>
      <w:pPr>
        <w:spacing w:after="0" w:line="174" w:lineRule="exact"/>
        <w:rPr>
          <w:rFonts w:ascii="Arial" w:cs="Arial" w:eastAsia="Arial" w:hAnsi="Arial"/>
          <w:sz w:val="22"/>
          <w:szCs w:val="22"/>
          <w:color w:val="auto"/>
        </w:rPr>
      </w:pPr>
    </w:p>
    <w:p>
      <w:pPr>
        <w:jc w:val="both"/>
        <w:ind w:left="180" w:firstLine="1300"/>
        <w:spacing w:after="0" w:line="236" w:lineRule="auto"/>
        <w:tabs>
          <w:tab w:leader="none" w:pos="2175"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holiday pay, pension or retirement or welfare benefits or similar payments;</w:t>
      </w:r>
    </w:p>
    <w:p>
      <w:pPr>
        <w:spacing w:after="0" w:line="187" w:lineRule="exact"/>
        <w:rPr>
          <w:rFonts w:ascii="Arial" w:cs="Arial" w:eastAsia="Arial" w:hAnsi="Arial"/>
          <w:sz w:val="22"/>
          <w:szCs w:val="22"/>
          <w:color w:val="auto"/>
        </w:rPr>
      </w:pPr>
    </w:p>
    <w:p>
      <w:pPr>
        <w:ind w:left="180" w:firstLine="1300"/>
        <w:spacing w:after="0" w:line="250" w:lineRule="auto"/>
        <w:tabs>
          <w:tab w:leader="none" w:pos="2259"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future value of the Shares underlying the Restricted Stock Units is unknown, indeterminable and cannot be predicted with certainty;</w:t>
      </w:r>
    </w:p>
    <w:p>
      <w:pPr>
        <w:spacing w:after="0" w:line="174" w:lineRule="exact"/>
        <w:rPr>
          <w:rFonts w:ascii="Arial" w:cs="Arial" w:eastAsia="Arial" w:hAnsi="Arial"/>
          <w:sz w:val="22"/>
          <w:szCs w:val="22"/>
          <w:color w:val="auto"/>
        </w:rPr>
      </w:pPr>
    </w:p>
    <w:p>
      <w:pPr>
        <w:jc w:val="both"/>
        <w:ind w:left="180" w:firstLine="1300"/>
        <w:spacing w:after="0" w:line="271" w:lineRule="auto"/>
        <w:tabs>
          <w:tab w:leader="none" w:pos="2227" w:val="left"/>
        </w:tabs>
        <w:numPr>
          <w:ilvl w:val="0"/>
          <w:numId w:val="93"/>
        </w:numPr>
        <w:rPr>
          <w:rFonts w:ascii="Arial" w:cs="Arial" w:eastAsia="Arial" w:hAnsi="Arial"/>
          <w:sz w:val="19"/>
          <w:szCs w:val="19"/>
          <w:color w:val="auto"/>
        </w:rPr>
      </w:pPr>
      <w:r>
        <w:rPr>
          <w:rFonts w:ascii="Arial" w:cs="Arial" w:eastAsia="Arial" w:hAnsi="Arial"/>
          <w:sz w:val="19"/>
          <w:szCs w:val="19"/>
          <w:color w:val="auto"/>
        </w:rPr>
        <w:t>for purposes of the Restricted Stock Units, Participant’s status as a Service Provider will be considered terminated as of the date Participant is no longer actively providing services to the Company or any Parent or Subsidiary of the Company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80" w:firstLine="1300"/>
        <w:spacing w:after="0" w:line="236" w:lineRule="auto"/>
        <w:tabs>
          <w:tab w:leader="none" w:pos="2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87" w:lineRule="exact"/>
        <w:rPr>
          <w:rFonts w:ascii="Arial" w:cs="Arial" w:eastAsia="Arial" w:hAnsi="Arial"/>
          <w:sz w:val="22"/>
          <w:szCs w:val="22"/>
          <w:color w:val="auto"/>
        </w:rPr>
      </w:pPr>
    </w:p>
    <w:p>
      <w:pPr>
        <w:ind w:left="2220" w:hanging="740"/>
        <w:spacing w:after="0"/>
        <w:tabs>
          <w:tab w:leader="none" w:pos="22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following provisions apply only if Participant is providing services outside</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the United States: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116" w:name="page117"/>
    <w:bookmarkEnd w:id="116"/>
    <w:p>
      <w:pPr>
        <w:ind w:left="2840" w:hanging="712"/>
        <w:spacing w:after="0"/>
        <w:tabs>
          <w:tab w:leader="none" w:pos="28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Restricted Stock Units and the Shares subject to the Restricted Stock</w:t>
      </w:r>
    </w:p>
    <w:p>
      <w:pPr>
        <w:spacing w:after="0" w:line="43"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Units are not part of normal or expected compensation or salary for any purpose;</w:t>
      </w:r>
    </w:p>
    <w:p>
      <w:pPr>
        <w:spacing w:after="0" w:line="188" w:lineRule="exact"/>
        <w:rPr>
          <w:rFonts w:ascii="Arial" w:cs="Arial" w:eastAsia="Arial" w:hAnsi="Arial"/>
          <w:sz w:val="19"/>
          <w:szCs w:val="19"/>
          <w:color w:val="auto"/>
        </w:rPr>
      </w:pPr>
    </w:p>
    <w:p>
      <w:pPr>
        <w:jc w:val="both"/>
        <w:ind w:left="180" w:firstLine="1948"/>
        <w:spacing w:after="0" w:line="236" w:lineRule="auto"/>
        <w:tabs>
          <w:tab w:leader="none" w:pos="2874" w:val="left"/>
        </w:tabs>
        <w:numPr>
          <w:ilvl w:val="0"/>
          <w:numId w:val="94"/>
        </w:numPr>
        <w:rPr>
          <w:rFonts w:ascii="Arial" w:cs="Arial" w:eastAsia="Arial" w:hAnsi="Arial"/>
          <w:sz w:val="22"/>
          <w:szCs w:val="22"/>
          <w:color w:val="auto"/>
        </w:rPr>
      </w:pPr>
      <w:r>
        <w:rPr>
          <w:rFonts w:ascii="Arial" w:cs="Arial" w:eastAsia="Arial" w:hAnsi="Arial"/>
          <w:sz w:val="22"/>
          <w:szCs w:val="22"/>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7" w:lineRule="exact"/>
        <w:rPr>
          <w:rFonts w:ascii="Arial" w:cs="Arial" w:eastAsia="Arial" w:hAnsi="Arial"/>
          <w:sz w:val="22"/>
          <w:szCs w:val="22"/>
          <w:color w:val="auto"/>
        </w:rPr>
      </w:pPr>
    </w:p>
    <w:p>
      <w:pPr>
        <w:jc w:val="both"/>
        <w:ind w:left="180" w:firstLine="1948"/>
        <w:spacing w:after="0" w:line="273" w:lineRule="auto"/>
        <w:tabs>
          <w:tab w:leader="none" w:pos="2920" w:val="left"/>
        </w:tabs>
        <w:numPr>
          <w:ilvl w:val="0"/>
          <w:numId w:val="94"/>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55" w:lineRule="exact"/>
        <w:rPr>
          <w:sz w:val="20"/>
          <w:szCs w:val="20"/>
          <w:color w:val="auto"/>
        </w:rPr>
      </w:pPr>
    </w:p>
    <w:p>
      <w:pPr>
        <w:jc w:val="both"/>
        <w:ind w:left="180" w:firstLine="652"/>
        <w:spacing w:after="0" w:line="276" w:lineRule="auto"/>
        <w:tabs>
          <w:tab w:leader="none" w:pos="1543"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Participant’s participation in the</w:t>
      </w:r>
    </w:p>
    <w:p>
      <w:pPr>
        <w:spacing w:after="0" w:line="1" w:lineRule="exact"/>
        <w:rPr>
          <w:sz w:val="20"/>
          <w:szCs w:val="20"/>
          <w:color w:val="auto"/>
        </w:rPr>
      </w:pPr>
    </w:p>
    <w:p>
      <w:pPr>
        <w:jc w:val="both"/>
        <w:ind w:left="180"/>
        <w:spacing w:after="0" w:line="287" w:lineRule="auto"/>
        <w:rPr>
          <w:sz w:val="20"/>
          <w:szCs w:val="20"/>
          <w:color w:val="auto"/>
        </w:rPr>
      </w:pPr>
      <w:r>
        <w:rPr>
          <w:rFonts w:ascii="Arial" w:cs="Arial" w:eastAsia="Arial" w:hAnsi="Arial"/>
          <w:sz w:val="19"/>
          <w:szCs w:val="19"/>
          <w:color w:val="auto"/>
        </w:rPr>
        <w:t>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143" w:lineRule="exact"/>
        <w:rPr>
          <w:sz w:val="20"/>
          <w:szCs w:val="20"/>
          <w:color w:val="auto"/>
        </w:rPr>
      </w:pPr>
    </w:p>
    <w:p>
      <w:pPr>
        <w:jc w:val="both"/>
        <w:ind w:left="180" w:firstLine="652"/>
        <w:spacing w:after="0" w:line="249" w:lineRule="auto"/>
        <w:tabs>
          <w:tab w:leader="none" w:pos="1584" w:val="left"/>
        </w:tabs>
        <w:numPr>
          <w:ilvl w:val="0"/>
          <w:numId w:val="96"/>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Privacy</w:t>
      </w:r>
      <w:r>
        <w:rPr>
          <w:rFonts w:ascii="Arial" w:cs="Arial" w:eastAsia="Arial" w:hAnsi="Arial"/>
          <w:sz w:val="21"/>
          <w:szCs w:val="21"/>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8"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9"/>
          <w:szCs w:val="19"/>
          <w:b w:val="1"/>
          <w:bCs w:val="1"/>
          <w:i w:val="1"/>
          <w:iCs w:val="1"/>
          <w:color w:val="auto"/>
        </w:rPr>
        <w:t>Participant understands that the Company and the Service Recipient may hold certain personal information about Participant, including, but not limited to, Participant’s name, home address, email address and telephone number, date of birth, social insurance number, passport or other identification number (e.g., resident registration number), salary, nationality, job title, any Shares or directorships held in the Company, details of all equity awards or any other entitlement to Shares awarded, canceled, exercised, vested, unvested or outstanding in Participant’s favor (“Data”), for the exclusive purpose of implementing, administering and managing the Plan.</w:t>
      </w:r>
    </w:p>
    <w:p>
      <w:pPr>
        <w:spacing w:after="0" w:line="152" w:lineRule="exact"/>
        <w:rPr>
          <w:sz w:val="20"/>
          <w:szCs w:val="20"/>
          <w:color w:val="auto"/>
        </w:rPr>
      </w:pPr>
    </w:p>
    <w:p>
      <w:pPr>
        <w:jc w:val="both"/>
        <w:ind w:left="180" w:firstLine="648"/>
        <w:spacing w:after="0" w:line="279" w:lineRule="auto"/>
        <w:rPr>
          <w:sz w:val="20"/>
          <w:szCs w:val="20"/>
          <w:color w:val="auto"/>
        </w:rPr>
      </w:pPr>
      <w:r>
        <w:rPr>
          <w:rFonts w:ascii="Arial" w:cs="Arial" w:eastAsia="Arial" w:hAnsi="Arial"/>
          <w:sz w:val="19"/>
          <w:szCs w:val="19"/>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117" w:name="page118"/>
    <w:bookmarkEnd w:id="117"/>
    <w:p>
      <w:pPr>
        <w:jc w:val="both"/>
        <w:ind w:left="180"/>
        <w:spacing w:after="0" w:line="270" w:lineRule="auto"/>
        <w:rPr>
          <w:sz w:val="20"/>
          <w:szCs w:val="20"/>
          <w:color w:val="auto"/>
        </w:rPr>
      </w:pPr>
      <w:r>
        <w:rPr>
          <w:rFonts w:ascii="Arial" w:cs="Arial" w:eastAsia="Arial" w:hAnsi="Arial"/>
          <w:sz w:val="19"/>
          <w:szCs w:val="19"/>
          <w:b w:val="1"/>
          <w:bCs w:val="1"/>
          <w:i w:val="1"/>
          <w:iCs w:val="1"/>
          <w:color w:val="auto"/>
        </w:rPr>
        <w:t>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57" w:lineRule="exact"/>
        <w:rPr>
          <w:sz w:val="20"/>
          <w:szCs w:val="20"/>
          <w:color w:val="auto"/>
        </w:rPr>
      </w:pPr>
    </w:p>
    <w:p>
      <w:pPr>
        <w:jc w:val="both"/>
        <w:ind w:left="180" w:firstLine="652"/>
        <w:spacing w:after="0" w:line="238" w:lineRule="auto"/>
        <w:tabs>
          <w:tab w:leader="none" w:pos="1557"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Award Agreement will be addressed to the Company, in care of its Chief Financial Officer at Pacific Biosciences of California, Inc., 1305 O’Brien Drive, Menlo Park, CA 94025, U.S.A., or at such other address as the Company may hereafter designate in writing.</w:t>
      </w:r>
    </w:p>
    <w:p>
      <w:pPr>
        <w:spacing w:after="0" w:line="184" w:lineRule="exact"/>
        <w:rPr>
          <w:rFonts w:ascii="Arial" w:cs="Arial" w:eastAsia="Arial" w:hAnsi="Arial"/>
          <w:sz w:val="22"/>
          <w:szCs w:val="22"/>
          <w:color w:val="auto"/>
        </w:rPr>
      </w:pPr>
    </w:p>
    <w:p>
      <w:pPr>
        <w:jc w:val="both"/>
        <w:ind w:left="180" w:firstLine="652"/>
        <w:spacing w:after="0" w:line="279" w:lineRule="auto"/>
        <w:tabs>
          <w:tab w:leader="none" w:pos="1543"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50" w:lineRule="exact"/>
        <w:rPr>
          <w:rFonts w:ascii="Arial" w:cs="Arial" w:eastAsia="Arial" w:hAnsi="Arial"/>
          <w:sz w:val="19"/>
          <w:szCs w:val="19"/>
          <w:color w:val="auto"/>
        </w:rPr>
      </w:pPr>
    </w:p>
    <w:p>
      <w:pPr>
        <w:jc w:val="both"/>
        <w:ind w:left="180" w:firstLine="652"/>
        <w:spacing w:after="0" w:line="282" w:lineRule="auto"/>
        <w:tabs>
          <w:tab w:leader="none" w:pos="1543"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47" w:lineRule="exact"/>
        <w:rPr>
          <w:rFonts w:ascii="Arial" w:cs="Arial" w:eastAsia="Arial" w:hAnsi="Arial"/>
          <w:sz w:val="19"/>
          <w:szCs w:val="19"/>
          <w:color w:val="auto"/>
        </w:rPr>
      </w:pPr>
    </w:p>
    <w:p>
      <w:pPr>
        <w:jc w:val="both"/>
        <w:ind w:left="180" w:firstLine="652"/>
        <w:spacing w:after="0" w:line="279" w:lineRule="auto"/>
        <w:tabs>
          <w:tab w:leader="none" w:pos="1557"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 Subject to the limitation on</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334" w:right="1319" w:bottom="1440" w:gutter="0" w:footer="0" w:header="0"/>
        </w:sectPr>
      </w:pPr>
    </w:p>
    <w:bookmarkStart w:id="118" w:name="page119"/>
    <w:bookmarkEnd w:id="118"/>
    <w:p>
      <w:pPr>
        <w:ind w:left="180"/>
        <w:spacing w:after="0" w:line="328" w:lineRule="auto"/>
        <w:rPr>
          <w:sz w:val="20"/>
          <w:szCs w:val="20"/>
          <w:color w:val="auto"/>
        </w:rPr>
      </w:pPr>
      <w:r>
        <w:rPr>
          <w:rFonts w:ascii="Arial" w:cs="Arial" w:eastAsia="Arial" w:hAnsi="Arial"/>
          <w:sz w:val="19"/>
          <w:szCs w:val="19"/>
          <w:color w:val="auto"/>
        </w:rPr>
        <w:t>transferability of this Award contained herein, this Award Agreement will be binding upon and inure to the benefit of the heirs, legatees, legal representatives, successors and assigns of the parties hereto.</w:t>
      </w:r>
    </w:p>
    <w:p>
      <w:pPr>
        <w:spacing w:after="0" w:line="105" w:lineRule="exact"/>
        <w:rPr>
          <w:sz w:val="20"/>
          <w:szCs w:val="20"/>
          <w:color w:val="auto"/>
        </w:rPr>
      </w:pPr>
    </w:p>
    <w:p>
      <w:pPr>
        <w:jc w:val="both"/>
        <w:ind w:left="180" w:firstLine="652"/>
        <w:spacing w:after="0" w:line="270" w:lineRule="auto"/>
        <w:tabs>
          <w:tab w:leader="none" w:pos="1611"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qualification or rule compliance of the Shares upon any securities exchange or under any U.S. federal, state, local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 The Company will make all reasonable efforts to meet the requirements of any such Applicable Laws and to obtain any such registration, qualification, rule compliance, clearance, consent or approval of any such governmental regulatory authority.</w:t>
      </w:r>
    </w:p>
    <w:p>
      <w:pPr>
        <w:spacing w:after="0" w:line="168" w:lineRule="exact"/>
        <w:rPr>
          <w:rFonts w:ascii="Arial" w:cs="Arial" w:eastAsia="Arial" w:hAnsi="Arial"/>
          <w:sz w:val="19"/>
          <w:szCs w:val="19"/>
          <w:color w:val="auto"/>
        </w:rPr>
      </w:pPr>
    </w:p>
    <w:p>
      <w:pPr>
        <w:jc w:val="both"/>
        <w:ind w:left="180" w:firstLine="652"/>
        <w:spacing w:after="0" w:line="257" w:lineRule="auto"/>
        <w:tabs>
          <w:tab w:leader="none" w:pos="1557"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Language</w:t>
      </w:r>
      <w:r>
        <w:rPr>
          <w:rFonts w:ascii="Arial" w:cs="Arial" w:eastAsia="Arial" w:hAnsi="Arial"/>
          <w:sz w:val="21"/>
          <w:szCs w:val="21"/>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69" w:lineRule="exact"/>
        <w:rPr>
          <w:rFonts w:ascii="Arial" w:cs="Arial" w:eastAsia="Arial" w:hAnsi="Arial"/>
          <w:sz w:val="21"/>
          <w:szCs w:val="21"/>
          <w:color w:val="auto"/>
        </w:rPr>
      </w:pPr>
    </w:p>
    <w:p>
      <w:pPr>
        <w:jc w:val="both"/>
        <w:ind w:left="180" w:firstLine="652"/>
        <w:spacing w:after="0" w:line="275" w:lineRule="auto"/>
        <w:tabs>
          <w:tab w:leader="none" w:pos="157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7" w:lineRule="exact"/>
        <w:rPr>
          <w:rFonts w:ascii="Arial" w:cs="Arial" w:eastAsia="Arial" w:hAnsi="Arial"/>
          <w:sz w:val="19"/>
          <w:szCs w:val="19"/>
          <w:color w:val="auto"/>
        </w:rPr>
      </w:pPr>
    </w:p>
    <w:p>
      <w:pPr>
        <w:ind w:left="180" w:firstLine="652"/>
        <w:spacing w:after="0" w:line="250" w:lineRule="auto"/>
        <w:tabs>
          <w:tab w:leader="none" w:pos="1543"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Award Agreement.</w:t>
      </w:r>
    </w:p>
    <w:p>
      <w:pPr>
        <w:spacing w:after="0" w:line="174" w:lineRule="exact"/>
        <w:rPr>
          <w:rFonts w:ascii="Arial" w:cs="Arial" w:eastAsia="Arial" w:hAnsi="Arial"/>
          <w:sz w:val="22"/>
          <w:szCs w:val="22"/>
          <w:color w:val="auto"/>
        </w:rPr>
      </w:pPr>
    </w:p>
    <w:p>
      <w:pPr>
        <w:jc w:val="both"/>
        <w:ind w:left="180" w:firstLine="652"/>
        <w:spacing w:after="0" w:line="236" w:lineRule="auto"/>
        <w:tabs>
          <w:tab w:leader="none" w:pos="1597"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87" w:lineRule="exact"/>
        <w:rPr>
          <w:rFonts w:ascii="Arial" w:cs="Arial" w:eastAsia="Arial" w:hAnsi="Arial"/>
          <w:sz w:val="22"/>
          <w:szCs w:val="22"/>
          <w:color w:val="auto"/>
        </w:rPr>
      </w:pPr>
    </w:p>
    <w:p>
      <w:pPr>
        <w:jc w:val="both"/>
        <w:ind w:left="180" w:firstLine="652"/>
        <w:spacing w:after="0" w:line="287" w:lineRule="auto"/>
        <w:tabs>
          <w:tab w:leader="none" w:pos="1557"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Modifications to the Award Agreement</w:t>
      </w:r>
      <w:r>
        <w:rPr>
          <w:rFonts w:ascii="Arial" w:cs="Arial" w:eastAsia="Arial" w:hAnsi="Arial"/>
          <w:sz w:val="19"/>
          <w:szCs w:val="19"/>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119" w:name="page120"/>
    <w:bookmarkEnd w:id="119"/>
    <w:p>
      <w:pPr>
        <w:jc w:val="both"/>
        <w:ind w:left="180"/>
        <w:spacing w:after="0" w:line="245" w:lineRule="auto"/>
        <w:rPr>
          <w:sz w:val="20"/>
          <w:szCs w:val="20"/>
          <w:color w:val="auto"/>
        </w:rPr>
      </w:pPr>
      <w:r>
        <w:rPr>
          <w:rFonts w:ascii="Arial" w:cs="Arial" w:eastAsia="Arial" w:hAnsi="Arial"/>
          <w:sz w:val="21"/>
          <w:szCs w:val="21"/>
          <w:color w:val="auto"/>
        </w:rPr>
        <w:t>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Further, the Company reserves the right to impose other requirements on Participant’s participation in the Plan, on this Award of Restricted Stock Units and on any Shares acquired under the Plan, to the extent the Company determines it is necessary or advisable for legal or administrative reasons, and to require Participant to execute any additional agreements or undertakings that may be necessary to accomplish the foregoing.</w:t>
      </w:r>
    </w:p>
    <w:p>
      <w:pPr>
        <w:spacing w:after="0" w:line="181" w:lineRule="exact"/>
        <w:rPr>
          <w:sz w:val="20"/>
          <w:szCs w:val="20"/>
          <w:color w:val="auto"/>
        </w:rPr>
      </w:pPr>
    </w:p>
    <w:p>
      <w:pPr>
        <w:jc w:val="both"/>
        <w:ind w:left="180" w:firstLine="652"/>
        <w:spacing w:after="0" w:line="249" w:lineRule="exact"/>
        <w:tabs>
          <w:tab w:leader="none" w:pos="1543"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Governing Law; Venue; Severability</w:t>
      </w:r>
      <w:r>
        <w:rPr>
          <w:rFonts w:ascii="Arial" w:cs="Arial" w:eastAsia="Arial" w:hAnsi="Arial"/>
          <w:sz w:val="19"/>
          <w:szCs w:val="19"/>
          <w:color w:val="auto"/>
        </w:rPr>
        <w:t>. This Award Agreement and the Restricted Stock Units are governed by the internal substantive laws, but not the choice of law rules, of the State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 Mateo County, California, or the United States federal courts for the Northern District of California, and no other courts, where this Award Agreement is made and/or to be performed. In the event that any provision of this Award Agreement, including the country</w:t>
      </w:r>
      <w:r>
        <w:rPr>
          <w:rFonts w:ascii="MS PGothic" w:cs="MS PGothic" w:eastAsia="MS PGothic" w:hAnsi="MS PGothic"/>
          <w:sz w:val="19"/>
          <w:szCs w:val="19"/>
          <w:color w:val="auto"/>
        </w:rPr>
        <w:t>‑</w:t>
      </w:r>
      <w:r>
        <w:rPr>
          <w:rFonts w:ascii="Arial" w:cs="Arial" w:eastAsia="Arial" w:hAnsi="Arial"/>
          <w:sz w:val="19"/>
          <w:szCs w:val="19"/>
          <w:color w:val="auto"/>
        </w:rPr>
        <w:t>specific provisions set forth in an attachment to this Award Agreement (if any), will be held invalid or unenforceable, such provision will be severable from, and such invalidity or unenforceability will not be construed to have any effect on, the remaining provisions of this Award Agreement.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80" w:firstLine="652"/>
        <w:spacing w:after="0" w:line="248" w:lineRule="auto"/>
        <w:tabs>
          <w:tab w:leader="none" w:pos="1543"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6" w:lineRule="exact"/>
        <w:rPr>
          <w:rFonts w:ascii="Arial" w:cs="Arial" w:eastAsia="Arial" w:hAnsi="Arial"/>
          <w:sz w:val="21"/>
          <w:szCs w:val="21"/>
          <w:color w:val="auto"/>
        </w:rPr>
      </w:pPr>
    </w:p>
    <w:p>
      <w:pPr>
        <w:jc w:val="both"/>
        <w:ind w:left="180" w:firstLine="652"/>
        <w:spacing w:after="0" w:line="233" w:lineRule="auto"/>
        <w:tabs>
          <w:tab w:leader="none" w:pos="1557"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Country Addendum</w:t>
      </w:r>
      <w:r>
        <w:rPr>
          <w:rFonts w:ascii="Arial" w:cs="Arial" w:eastAsia="Arial" w:hAnsi="Arial"/>
          <w:sz w:val="22"/>
          <w:szCs w:val="22"/>
          <w:color w:val="auto"/>
        </w:rPr>
        <w:t>. The Restricted Stock Unit grant shall be subject to any special terms and conditions set forth in an exhibit, appendix, addendum or other attachment (if any) to this Award Agreement for any country whose laws are applicable to Participant and this Award of Restricted Stock Units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92" w:lineRule="exact"/>
        <w:rPr>
          <w:rFonts w:ascii="Arial" w:cs="Arial" w:eastAsia="Arial" w:hAnsi="Arial"/>
          <w:sz w:val="22"/>
          <w:szCs w:val="22"/>
          <w:color w:val="auto"/>
        </w:rPr>
      </w:pPr>
    </w:p>
    <w:p>
      <w:pPr>
        <w:ind w:left="396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120" w:name="page121"/>
    <w:bookmarkEnd w:id="120"/>
    <w:p>
      <w:pPr>
        <w:jc w:val="center"/>
        <w:ind w:right="-179"/>
        <w:spacing w:after="0"/>
        <w:rPr>
          <w:sz w:val="20"/>
          <w:szCs w:val="20"/>
          <w:color w:val="auto"/>
        </w:rPr>
      </w:pPr>
      <w:r>
        <w:rPr>
          <w:rFonts w:ascii="Arial" w:cs="Arial" w:eastAsia="Arial" w:hAnsi="Arial"/>
          <w:sz w:val="22"/>
          <w:szCs w:val="22"/>
          <w:b w:val="1"/>
          <w:bCs w:val="1"/>
          <w:u w:val="single" w:color="auto"/>
          <w:color w:val="auto"/>
        </w:rPr>
        <w:t>EXHIBIT B</w:t>
      </w: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GLOBAL RESTRICTED STOCK UNIT AGREEMENT</w:t>
      </w: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COUNTRY ADDENDUM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spacing w:after="0" w:line="246" w:lineRule="auto"/>
        <w:rPr>
          <w:sz w:val="20"/>
          <w:szCs w:val="20"/>
          <w:color w:val="auto"/>
        </w:rPr>
      </w:pPr>
      <w:r>
        <w:rPr>
          <w:rFonts w:ascii="Arial" w:cs="Arial" w:eastAsia="Arial" w:hAnsi="Arial"/>
          <w:sz w:val="21"/>
          <w:szCs w:val="21"/>
          <w:color w:val="auto"/>
        </w:rPr>
        <w:t>This Country Addendum includes additional terms and conditions that govern the Award of Restricted Stock Units granted pursuant to the terms and conditions of the Omniome Equity Incentive Plan of Pacific Biosciences of California, Inc. (the “Plan”) and the Global Restricted Stock Unit Agreement to which this Country Addendum is attached (the “Award Agreement”) to the extent the individual to whom the Restricted Stock Units were granted (“Participant”) resides in one of the countries listed below. Capitalized terms used but not defined herein will have the meanings set forth in the Award Agreement or the Plan, as applicable.</w:t>
      </w:r>
    </w:p>
    <w:p>
      <w:pPr>
        <w:spacing w:after="0" w:line="184" w:lineRule="exact"/>
        <w:rPr>
          <w:sz w:val="20"/>
          <w:szCs w:val="20"/>
          <w:color w:val="auto"/>
        </w:rPr>
      </w:pPr>
    </w:p>
    <w:p>
      <w:pPr>
        <w:jc w:val="both"/>
        <w:ind w:left="180"/>
        <w:spacing w:after="0" w:line="275" w:lineRule="auto"/>
        <w:rPr>
          <w:sz w:val="20"/>
          <w:szCs w:val="20"/>
          <w:color w:val="auto"/>
        </w:rPr>
      </w:pPr>
      <w:r>
        <w:rPr>
          <w:rFonts w:ascii="Arial" w:cs="Arial" w:eastAsia="Arial" w:hAnsi="Arial"/>
          <w:sz w:val="19"/>
          <w:szCs w:val="19"/>
          <w:color w:val="auto"/>
        </w:rPr>
        <w:t xml:space="preserve">This Country Addendum also includes information regarding exchange controls and certain other issues of which Participant should be aware with respect to Participant’s participation in the Plan. The information is based on the securities, exchange control and other laws in effect in the respective countries as of </w:t>
      </w:r>
      <w:r>
        <w:rPr>
          <w:rFonts w:ascii="Arial" w:cs="Arial" w:eastAsia="Arial" w:hAnsi="Arial"/>
          <w:sz w:val="19"/>
          <w:szCs w:val="19"/>
          <w:b w:val="1"/>
          <w:bCs w:val="1"/>
          <w:color w:val="auto"/>
        </w:rPr>
        <w:t>[August 2020]</w:t>
      </w:r>
      <w:r>
        <w:rPr>
          <w:rFonts w:ascii="Arial" w:cs="Arial" w:eastAsia="Arial" w:hAnsi="Arial"/>
          <w:sz w:val="19"/>
          <w:szCs w:val="19"/>
          <w:color w:val="auto"/>
        </w:rPr>
        <w:t>. Such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 in or receives or sells the Shares covered by the Restricted Stock Units.</w:t>
      </w:r>
    </w:p>
    <w:p>
      <w:pPr>
        <w:spacing w:after="0" w:line="157" w:lineRule="exact"/>
        <w:rPr>
          <w:sz w:val="20"/>
          <w:szCs w:val="20"/>
          <w:color w:val="auto"/>
        </w:rPr>
      </w:pPr>
    </w:p>
    <w:p>
      <w:pPr>
        <w:jc w:val="both"/>
        <w:ind w:left="180"/>
        <w:spacing w:after="0" w:line="252" w:lineRule="auto"/>
        <w:rPr>
          <w:sz w:val="20"/>
          <w:szCs w:val="20"/>
          <w:color w:val="auto"/>
        </w:rPr>
      </w:pPr>
      <w:r>
        <w:rPr>
          <w:rFonts w:ascii="Arial" w:cs="Arial" w:eastAsia="Arial" w:hAnsi="Arial"/>
          <w:sz w:val="21"/>
          <w:szCs w:val="21"/>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of Participant’s country may apply to Participant’s situation.</w:t>
      </w:r>
    </w:p>
    <w:p>
      <w:pPr>
        <w:spacing w:after="0" w:line="174" w:lineRule="exact"/>
        <w:rPr>
          <w:sz w:val="20"/>
          <w:szCs w:val="20"/>
          <w:color w:val="auto"/>
        </w:rPr>
      </w:pPr>
    </w:p>
    <w:p>
      <w:pPr>
        <w:jc w:val="both"/>
        <w:ind w:left="180"/>
        <w:spacing w:after="0" w:line="235" w:lineRule="auto"/>
        <w:rPr>
          <w:sz w:val="20"/>
          <w:szCs w:val="20"/>
          <w:color w:val="auto"/>
        </w:rPr>
      </w:pPr>
      <w:r>
        <w:rPr>
          <w:rFonts w:ascii="Arial" w:cs="Arial" w:eastAsia="Arial" w:hAnsi="Arial"/>
          <w:sz w:val="22"/>
          <w:szCs w:val="22"/>
          <w:color w:val="auto"/>
        </w:rPr>
        <w:t>Finally, if Participant is a citizen or resident of a country other than the one in which Participant currently is working or transfers to another country after the grant of the Restricted Stock Units, or is considered a resident of another country for local law purposes, the information contained herein may not be applicable to Participant in the same manner. In addition, the Company, in its sole discretion, shall determine the extent to which the terms and conditions contained herein shall apply to Participant under these circumstances.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[Australia</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256" w:lineRule="auto"/>
        <w:rPr>
          <w:sz w:val="20"/>
          <w:szCs w:val="20"/>
          <w:color w:val="auto"/>
        </w:rPr>
      </w:pPr>
      <w:r>
        <w:rPr>
          <w:rFonts w:ascii="Arial" w:cs="Arial" w:eastAsia="Arial" w:hAnsi="Arial"/>
          <w:sz w:val="22"/>
          <w:szCs w:val="22"/>
          <w:b w:val="1"/>
          <w:bCs w:val="1"/>
          <w:u w:val="single" w:color="auto"/>
          <w:color w:val="auto"/>
        </w:rPr>
        <w:t>Tax Information</w:t>
      </w:r>
      <w:r>
        <w:rPr>
          <w:rFonts w:ascii="Arial" w:cs="Arial" w:eastAsia="Arial" w:hAnsi="Arial"/>
          <w:sz w:val="22"/>
          <w:szCs w:val="22"/>
          <w:color w:val="auto"/>
        </w:rPr>
        <w:t>. The Plan is a plan to which Subdivision 83A-C of the Income Tax Assessment</w:t>
      </w:r>
      <w:r>
        <w:rPr>
          <w:rFonts w:ascii="Arial" w:cs="Arial" w:eastAsia="Arial" w:hAnsi="Arial"/>
          <w:sz w:val="22"/>
          <w:szCs w:val="22"/>
          <w:b w:val="1"/>
          <w:bCs w:val="1"/>
          <w:color w:val="auto"/>
        </w:rPr>
        <w:t xml:space="preserve"> </w:t>
      </w:r>
      <w:r>
        <w:rPr>
          <w:rFonts w:ascii="Arial" w:cs="Arial" w:eastAsia="Arial" w:hAnsi="Arial"/>
          <w:sz w:val="22"/>
          <w:szCs w:val="22"/>
          <w:color w:val="auto"/>
        </w:rPr>
        <w:t>Act 1997 (Cth) applies (subject to the conditions in that Act).</w:t>
      </w:r>
    </w:p>
    <w:p>
      <w:pPr>
        <w:spacing w:after="0" w:line="16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1" w:right="1319" w:bottom="1440" w:gutter="0" w:footer="0" w:header="0"/>
        </w:sectPr>
      </w:pPr>
    </w:p>
    <w:bookmarkStart w:id="121" w:name="page122"/>
    <w:bookmarkEnd w:id="121"/>
    <w:p>
      <w:pPr>
        <w:ind w:left="180"/>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ind w:left="180"/>
        <w:spacing w:after="0"/>
        <w:tabs>
          <w:tab w:leader="none" w:pos="3160" w:val="left"/>
        </w:tabs>
        <w:rPr>
          <w:sz w:val="20"/>
          <w:szCs w:val="20"/>
          <w:color w:val="auto"/>
        </w:rPr>
      </w:pPr>
      <w:r>
        <w:rPr>
          <w:rFonts w:ascii="Arial" w:cs="Arial" w:eastAsia="Arial" w:hAnsi="Arial"/>
          <w:sz w:val="22"/>
          <w:szCs w:val="22"/>
          <w:b w:val="1"/>
          <w:bCs w:val="1"/>
          <w:u w:val="single" w:color="auto"/>
          <w:color w:val="auto"/>
        </w:rPr>
        <w:t>Company’s Obligation to Pay</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color w:val="auto"/>
        </w:rPr>
        <w:t>This provision supplements Section 2 of the Award Agreement:</w:t>
      </w:r>
    </w:p>
    <w:p>
      <w:pPr>
        <w:spacing w:after="0" w:line="212" w:lineRule="exact"/>
        <w:rPr>
          <w:sz w:val="20"/>
          <w:szCs w:val="20"/>
          <w:color w:val="auto"/>
        </w:rPr>
      </w:pPr>
    </w:p>
    <w:p>
      <w:pPr>
        <w:jc w:val="both"/>
        <w:ind w:left="180"/>
        <w:spacing w:after="0" w:line="250" w:lineRule="auto"/>
        <w:rPr>
          <w:sz w:val="20"/>
          <w:szCs w:val="20"/>
          <w:color w:val="auto"/>
        </w:rPr>
      </w:pPr>
      <w:r>
        <w:rPr>
          <w:rFonts w:ascii="Arial" w:cs="Arial" w:eastAsia="Arial" w:hAnsi="Arial"/>
          <w:sz w:val="22"/>
          <w:szCs w:val="22"/>
          <w:color w:val="auto"/>
        </w:rPr>
        <w:t>Notwithstanding any discretion set out in Section 8(d) of the Plan, vested Restricted Stock Units will be paid in Shares and not in cash or a combination of Shares and cash.</w:t>
      </w:r>
    </w:p>
    <w:p>
      <w:pPr>
        <w:spacing w:after="0" w:line="169" w:lineRule="exact"/>
        <w:rPr>
          <w:sz w:val="20"/>
          <w:szCs w:val="20"/>
          <w:color w:val="auto"/>
        </w:rPr>
      </w:pPr>
    </w:p>
    <w:p>
      <w:pPr>
        <w:ind w:left="180"/>
        <w:spacing w:after="0"/>
        <w:tabs>
          <w:tab w:leader="none" w:pos="1920" w:val="left"/>
        </w:tabs>
        <w:rPr>
          <w:sz w:val="20"/>
          <w:szCs w:val="20"/>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This provision replaces Section 13(g) of the Award Agreement:</w:t>
      </w:r>
    </w:p>
    <w:p>
      <w:pPr>
        <w:spacing w:after="0" w:line="212" w:lineRule="exact"/>
        <w:rPr>
          <w:sz w:val="20"/>
          <w:szCs w:val="20"/>
          <w:color w:val="auto"/>
        </w:rPr>
      </w:pPr>
    </w:p>
    <w:p>
      <w:pPr>
        <w:jc w:val="both"/>
        <w:ind w:left="180"/>
        <w:spacing w:after="0" w:line="272" w:lineRule="auto"/>
        <w:rPr>
          <w:sz w:val="20"/>
          <w:szCs w:val="20"/>
          <w:color w:val="auto"/>
        </w:rPr>
      </w:pPr>
      <w:r>
        <w:rPr>
          <w:rFonts w:ascii="Arial" w:cs="Arial" w:eastAsia="Arial" w:hAnsi="Arial"/>
          <w:sz w:val="19"/>
          <w:szCs w:val="19"/>
          <w:color w:val="auto"/>
        </w:rPr>
        <w:t>For purposes of the Award of Restricted Stock Units, Participant’s employment or service relationship will be considered terminated as of the date that is the earlier of: (i) the date Participant’s employment is terminated, (ii) the date Participant receives notice of termination, and (iii) the date Participant is no longer actively providing services to the Company or any Parent or Subsidiary of the Company (regardless of the reason for such termination and whether or not later found to be invalid or in breach of employment laws in the jurisdiction where Participant is employed or the terms of Participant’s employment agreement, if any) and, unless otherwise expressly provided in this Award Agreement or determined by the Company, Participant’s right to vest in the Restricted Stock Units will terminate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w:t>
      </w: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following provisions will apply to Participant if he or she is a resident of Quebec:</w:t>
      </w:r>
    </w:p>
    <w:p>
      <w:pPr>
        <w:spacing w:after="0" w:line="206" w:lineRule="exact"/>
        <w:rPr>
          <w:sz w:val="20"/>
          <w:szCs w:val="20"/>
          <w:color w:val="auto"/>
        </w:rPr>
      </w:pPr>
    </w:p>
    <w:p>
      <w:pPr>
        <w:jc w:val="both"/>
        <w:ind w:left="180"/>
        <w:spacing w:after="0" w:line="300" w:lineRule="auto"/>
        <w:rPr>
          <w:sz w:val="20"/>
          <w:szCs w:val="20"/>
          <w:color w:val="auto"/>
        </w:rPr>
      </w:pPr>
      <w:r>
        <w:rPr>
          <w:rFonts w:ascii="Arial" w:cs="Arial" w:eastAsia="Arial" w:hAnsi="Arial"/>
          <w:sz w:val="19"/>
          <w:szCs w:val="19"/>
          <w:b w:val="1"/>
          <w:bCs w:val="1"/>
          <w:u w:val="single" w:color="auto"/>
          <w:color w:val="auto"/>
        </w:rPr>
        <w:t>Language Consent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acknowledge that it is their express wish that the Award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this Exhibit B, as well as all documents, notices, and legal proceedings entered into, given or instituted pursuant hereto or relating directly or indirectly hereto, be drawn up in English.</w:t>
      </w:r>
    </w:p>
    <w:p>
      <w:pPr>
        <w:spacing w:after="0" w:line="132" w:lineRule="exact"/>
        <w:rPr>
          <w:sz w:val="20"/>
          <w:szCs w:val="20"/>
          <w:color w:val="auto"/>
        </w:rPr>
      </w:pPr>
    </w:p>
    <w:p>
      <w:pPr>
        <w:jc w:val="both"/>
        <w:ind w:left="180"/>
        <w:spacing w:after="0" w:line="252" w:lineRule="auto"/>
        <w:rPr>
          <w:sz w:val="20"/>
          <w:szCs w:val="20"/>
          <w:color w:val="auto"/>
        </w:rPr>
      </w:pPr>
      <w:r>
        <w:rPr>
          <w:rFonts w:ascii="Arial" w:cs="Arial" w:eastAsia="Arial" w:hAnsi="Arial"/>
          <w:sz w:val="21"/>
          <w:szCs w:val="21"/>
          <w:b w:val="1"/>
          <w:bCs w:val="1"/>
          <w:i w:val="1"/>
          <w:iCs w:val="1"/>
          <w:u w:val="single" w:color="auto"/>
          <w:color w:val="auto"/>
        </w:rPr>
        <w:t>Consentement Relatif à la Langue Utilisée</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Les parties reconnaissent avoir expressément souhaité</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que la convention («Award Agreement») ainsi que cette Annexe B, ainsi que tous les documents, avis et procédures judiciares, éxécutés, donnés ou intentés en vertu de, ou liés directement ou indirectement à la présente convention, soient rédigés en langue anglaise.</w:t>
      </w:r>
    </w:p>
    <w:p>
      <w:pPr>
        <w:spacing w:after="0" w:line="168" w:lineRule="exact"/>
        <w:rPr>
          <w:sz w:val="20"/>
          <w:szCs w:val="20"/>
          <w:color w:val="auto"/>
        </w:rPr>
      </w:pPr>
    </w:p>
    <w:p>
      <w:pPr>
        <w:ind w:left="180"/>
        <w:spacing w:after="0"/>
        <w:tabs>
          <w:tab w:leader="none" w:pos="1640" w:val="left"/>
        </w:tabs>
        <w:rPr>
          <w:sz w:val="20"/>
          <w:szCs w:val="20"/>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color w:val="auto"/>
        </w:rPr>
        <w:t>This provision supplements Section 15 of the Award Agreement:</w:t>
      </w:r>
    </w:p>
    <w:p>
      <w:pPr>
        <w:spacing w:after="0" w:line="212" w:lineRule="exact"/>
        <w:rPr>
          <w:sz w:val="20"/>
          <w:szCs w:val="20"/>
          <w:color w:val="auto"/>
        </w:rPr>
      </w:pPr>
    </w:p>
    <w:p>
      <w:pPr>
        <w:jc w:val="both"/>
        <w:ind w:left="180"/>
        <w:spacing w:after="0" w:line="246" w:lineRule="auto"/>
        <w:rPr>
          <w:sz w:val="20"/>
          <w:szCs w:val="20"/>
          <w:color w:val="auto"/>
        </w:rPr>
      </w:pPr>
      <w:r>
        <w:rPr>
          <w:rFonts w:ascii="Arial" w:cs="Arial" w:eastAsia="Arial" w:hAnsi="Arial"/>
          <w:sz w:val="21"/>
          <w:szCs w:val="21"/>
          <w:color w:val="auto"/>
        </w:rPr>
        <w:t>Participant hereby authorizes the Company and the Company’s representatives to discuss with and obtain all relevant information from all personnel, professional or not, involved in the administration and operation of the Plan. Participant further authorizes the Company and the Company’s Parent or Subsidiary employing or retaining Participant to disclose and discuss Participant’s participation in the Plan with their respective advisers. Participant further authorizes the Company and the Company’s Parent or Subsidiary employing or retaining Participant to record such information and to keep such information in Participant’s employee file.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328" w:right="1319" w:bottom="1440" w:gutter="0" w:footer="0" w:header="0"/>
        </w:sectPr>
      </w:pPr>
    </w:p>
    <w:bookmarkStart w:id="122" w:name="page123"/>
    <w:bookmarkEnd w:id="122"/>
    <w:p>
      <w:pPr>
        <w:jc w:val="both"/>
        <w:ind w:left="180"/>
        <w:spacing w:after="0" w:line="280" w:lineRule="auto"/>
        <w:rPr>
          <w:sz w:val="20"/>
          <w:szCs w:val="20"/>
          <w:color w:val="auto"/>
        </w:rPr>
      </w:pPr>
      <w:r>
        <w:rPr>
          <w:rFonts w:ascii="Arial" w:cs="Arial" w:eastAsia="Arial" w:hAnsi="Arial"/>
          <w:sz w:val="19"/>
          <w:szCs w:val="19"/>
          <w:b w:val="1"/>
          <w:bCs w:val="1"/>
          <w:u w:val="single" w:color="auto"/>
          <w:color w:val="auto"/>
        </w:rPr>
        <w:t>Securities Law Information</w:t>
      </w:r>
      <w:r>
        <w:rPr>
          <w:rFonts w:ascii="Arial" w:cs="Arial" w:eastAsia="Arial" w:hAnsi="Arial"/>
          <w:sz w:val="19"/>
          <w:szCs w:val="19"/>
          <w:color w:val="auto"/>
        </w:rPr>
        <w:t>. Participant understands that Participant is permitted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acquired pursuant to the Plan through the designated broker appointed under the Plan, if any, provided the sale of the Shares acquired pursuant to the Plan takes place outside of Canada through the facilities of a stock exchange on which the Shares are listed. The Company’s common stock are currently traded on the NASDAQ Global Select Market, which is located outside of Canada, under the ticker symbol “PACB” and Shares acquired under the Plan may be sold through this exchange.</w:t>
      </w:r>
    </w:p>
    <w:p>
      <w:pPr>
        <w:spacing w:after="0" w:line="145" w:lineRule="exact"/>
        <w:rPr>
          <w:sz w:val="20"/>
          <w:szCs w:val="20"/>
          <w:color w:val="auto"/>
        </w:rPr>
      </w:pPr>
    </w:p>
    <w:p>
      <w:pPr>
        <w:jc w:val="both"/>
        <w:ind w:left="180"/>
        <w:spacing w:after="0" w:line="271" w:lineRule="auto"/>
        <w:rPr>
          <w:sz w:val="20"/>
          <w:szCs w:val="20"/>
          <w:color w:val="auto"/>
        </w:rPr>
      </w:pPr>
      <w:r>
        <w:rPr>
          <w:rFonts w:ascii="Arial" w:cs="Arial" w:eastAsia="Arial" w:hAnsi="Arial"/>
          <w:sz w:val="19"/>
          <w:szCs w:val="19"/>
          <w:b w:val="1"/>
          <w:bCs w:val="1"/>
          <w:u w:val="single" w:color="auto"/>
          <w:color w:val="auto"/>
        </w:rPr>
        <w:t>Foreign Asset/Account Reporting Information</w:t>
      </w:r>
      <w:r>
        <w:rPr>
          <w:rFonts w:ascii="Arial" w:cs="Arial" w:eastAsia="Arial" w:hAnsi="Arial"/>
          <w:sz w:val="19"/>
          <w:szCs w:val="19"/>
          <w:color w:val="auto"/>
        </w:rPr>
        <w:t>. Foreign specified property, including Shares and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to Shares (</w:t>
      </w:r>
      <w:r>
        <w:rPr>
          <w:rFonts w:ascii="Arial" w:cs="Arial" w:eastAsia="Arial" w:hAnsi="Arial"/>
          <w:sz w:val="19"/>
          <w:szCs w:val="19"/>
          <w:i w:val="1"/>
          <w:iCs w:val="1"/>
          <w:color w:val="auto"/>
        </w:rPr>
        <w:t>e.g.</w:t>
      </w:r>
      <w:r>
        <w:rPr>
          <w:rFonts w:ascii="Arial" w:cs="Arial" w:eastAsia="Arial" w:hAnsi="Arial"/>
          <w:sz w:val="19"/>
          <w:szCs w:val="19"/>
          <w:color w:val="auto"/>
        </w:rPr>
        <w:t>, Restricted Stock Units), held by a Canadian resident must be reported annually on Form T1135 (Foreign Income Verification Statement) if the total cost of such foreign specified property exceeds C$100,000 at any time during the year. If applicable, Form T1135 is due by April 30th of the following year. Restricted Stock Units must be reported – generally at a nil cost – if the C$100,000 cost threshold is exceeded because of other foreign specified property held by Participant.</w:t>
      </w:r>
    </w:p>
    <w:p>
      <w:pPr>
        <w:spacing w:after="0" w:line="2" w:lineRule="exact"/>
        <w:rPr>
          <w:sz w:val="20"/>
          <w:szCs w:val="20"/>
          <w:color w:val="auto"/>
        </w:rPr>
      </w:pPr>
    </w:p>
    <w:p>
      <w:pPr>
        <w:jc w:val="both"/>
        <w:ind w:left="180" w:firstLine="54"/>
        <w:spacing w:after="0" w:line="245" w:lineRule="auto"/>
        <w:rPr>
          <w:sz w:val="20"/>
          <w:szCs w:val="20"/>
          <w:color w:val="auto"/>
        </w:rPr>
      </w:pPr>
      <w:r>
        <w:rPr>
          <w:rFonts w:ascii="Arial" w:cs="Arial" w:eastAsia="Arial" w:hAnsi="Arial"/>
          <w:sz w:val="21"/>
          <w:szCs w:val="21"/>
          <w:color w:val="auto"/>
        </w:rPr>
        <w:t xml:space="preserve">When Shares are acquired, their cost generally is the adjusted cost base (“ACB”) of the Shares. The ACB would ordinarily equal the fair market value of the Shares at the time of acquisition, but if other Shares are owned, this ACB may have to be averaged with the ACB of the other Shares. </w:t>
      </w:r>
      <w:r>
        <w:rPr>
          <w:rFonts w:ascii="Arial" w:cs="Arial" w:eastAsia="Arial" w:hAnsi="Arial"/>
          <w:sz w:val="21"/>
          <w:szCs w:val="21"/>
          <w:i w:val="1"/>
          <w:iCs w:val="1"/>
          <w:color w:val="auto"/>
        </w:rPr>
        <w:t>Participant</w:t>
      </w:r>
      <w:r>
        <w:rPr>
          <w:rFonts w:ascii="Arial" w:cs="Arial" w:eastAsia="Arial" w:hAnsi="Arial"/>
          <w:sz w:val="21"/>
          <w:szCs w:val="21"/>
          <w:color w:val="auto"/>
        </w:rPr>
        <w:t xml:space="preserve"> </w:t>
      </w:r>
      <w:r>
        <w:rPr>
          <w:rFonts w:ascii="Arial" w:cs="Arial" w:eastAsia="Arial" w:hAnsi="Arial"/>
          <w:sz w:val="21"/>
          <w:szCs w:val="21"/>
          <w:i w:val="1"/>
          <w:iCs w:val="1"/>
          <w:color w:val="auto"/>
        </w:rPr>
        <w:t>is responsible for ensuring his or her compliance with any applicable reporting obligations and should speak to his or her personal legal adviser on this matter.</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France</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jc w:val="both"/>
        <w:ind w:left="180"/>
        <w:spacing w:after="0" w:line="256" w:lineRule="auto"/>
        <w:rPr>
          <w:sz w:val="20"/>
          <w:szCs w:val="20"/>
          <w:color w:val="auto"/>
        </w:rPr>
      </w:pPr>
      <w:r>
        <w:rPr>
          <w:rFonts w:ascii="Arial" w:cs="Arial" w:eastAsia="Arial" w:hAnsi="Arial"/>
          <w:sz w:val="22"/>
          <w:szCs w:val="22"/>
          <w:b w:val="1"/>
          <w:bCs w:val="1"/>
          <w:u w:val="single" w:color="auto"/>
          <w:color w:val="auto"/>
        </w:rPr>
        <w:t>Type of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Units are not intended to qualify for specific</w:t>
      </w:r>
      <w:r>
        <w:rPr>
          <w:rFonts w:ascii="Arial" w:cs="Arial" w:eastAsia="Arial" w:hAnsi="Arial"/>
          <w:sz w:val="22"/>
          <w:szCs w:val="22"/>
          <w:b w:val="1"/>
          <w:bCs w:val="1"/>
          <w:color w:val="auto"/>
        </w:rPr>
        <w:t xml:space="preserve"> </w:t>
      </w:r>
      <w:r>
        <w:rPr>
          <w:rFonts w:ascii="Arial" w:cs="Arial" w:eastAsia="Arial" w:hAnsi="Arial"/>
          <w:sz w:val="22"/>
          <w:szCs w:val="22"/>
          <w:color w:val="auto"/>
        </w:rPr>
        <w:t>tax or social security treatment in France.</w:t>
      </w:r>
    </w:p>
    <w:p>
      <w:pPr>
        <w:spacing w:after="0" w:line="162" w:lineRule="exact"/>
        <w:rPr>
          <w:sz w:val="20"/>
          <w:szCs w:val="20"/>
          <w:color w:val="auto"/>
        </w:rPr>
      </w:pPr>
    </w:p>
    <w:p>
      <w:pPr>
        <w:jc w:val="both"/>
        <w:ind w:left="180"/>
        <w:spacing w:after="0" w:line="239" w:lineRule="auto"/>
        <w:rPr>
          <w:sz w:val="20"/>
          <w:szCs w:val="20"/>
          <w:color w:val="auto"/>
        </w:rPr>
      </w:pPr>
      <w:r>
        <w:rPr>
          <w:rFonts w:ascii="Arial" w:cs="Arial" w:eastAsia="Arial" w:hAnsi="Arial"/>
          <w:sz w:val="22"/>
          <w:szCs w:val="22"/>
          <w:b w:val="1"/>
          <w:bCs w:val="1"/>
          <w:u w:val="single" w:color="auto"/>
          <w:color w:val="auto"/>
        </w:rPr>
        <w:t>Language Consent</w:t>
      </w:r>
      <w:r>
        <w:rPr>
          <w:rFonts w:ascii="Arial" w:cs="Arial" w:eastAsia="Arial" w:hAnsi="Arial"/>
          <w:sz w:val="22"/>
          <w:szCs w:val="22"/>
          <w:b w:val="1"/>
          <w:bCs w:val="1"/>
          <w:color w:val="auto"/>
        </w:rPr>
        <w:t xml:space="preserve">. </w:t>
      </w:r>
      <w:r>
        <w:rPr>
          <w:rFonts w:ascii="Arial" w:cs="Arial" w:eastAsia="Arial" w:hAnsi="Arial"/>
          <w:sz w:val="22"/>
          <w:szCs w:val="22"/>
          <w:color w:val="auto"/>
        </w:rPr>
        <w:t>By accepting the Award Agreement providing for the terms and conditions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Participant confirms having read and understood the documents relating to this grant (the Plan and this Award Agreement) which were provided in English language. Participant accepts the terms of those documents accordingly.</w:t>
      </w:r>
    </w:p>
    <w:p>
      <w:pPr>
        <w:spacing w:after="0" w:line="186" w:lineRule="exact"/>
        <w:rPr>
          <w:sz w:val="20"/>
          <w:szCs w:val="20"/>
          <w:color w:val="auto"/>
        </w:rPr>
      </w:pPr>
    </w:p>
    <w:p>
      <w:pPr>
        <w:jc w:val="both"/>
        <w:ind w:left="180"/>
        <w:spacing w:after="0" w:line="276" w:lineRule="auto"/>
        <w:rPr>
          <w:sz w:val="20"/>
          <w:szCs w:val="20"/>
          <w:color w:val="auto"/>
        </w:rPr>
      </w:pPr>
      <w:r>
        <w:rPr>
          <w:rFonts w:ascii="Arial" w:cs="Arial" w:eastAsia="Arial" w:hAnsi="Arial"/>
          <w:sz w:val="19"/>
          <w:szCs w:val="19"/>
          <w:b w:val="1"/>
          <w:bCs w:val="1"/>
          <w:i w:val="1"/>
          <w:iCs w:val="1"/>
          <w:u w:val="single" w:color="auto"/>
          <w:color w:val="auto"/>
        </w:rPr>
        <w:t>Consentement Relatif à la Langue Utilisée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En acceptant le Contrat d'Attribution décrivant les</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termes et conditions de l’attribution, le Participant confirme avoir lu et compris les documents relatifs</w:t>
      </w:r>
    </w:p>
    <w:p>
      <w:pPr>
        <w:spacing w:after="0" w:line="1" w:lineRule="exact"/>
        <w:rPr>
          <w:sz w:val="20"/>
          <w:szCs w:val="20"/>
          <w:color w:val="auto"/>
        </w:rPr>
      </w:pPr>
    </w:p>
    <w:p>
      <w:pPr>
        <w:ind w:left="180" w:firstLine="4"/>
        <w:spacing w:after="0" w:line="236" w:lineRule="auto"/>
        <w:tabs>
          <w:tab w:leader="none" w:pos="424" w:val="left"/>
        </w:tabs>
        <w:numPr>
          <w:ilvl w:val="0"/>
          <w:numId w:val="100"/>
        </w:numPr>
        <w:rPr>
          <w:rFonts w:ascii="Arial" w:cs="Arial" w:eastAsia="Arial" w:hAnsi="Arial"/>
          <w:sz w:val="22"/>
          <w:szCs w:val="22"/>
          <w:i w:val="1"/>
          <w:iCs w:val="1"/>
          <w:color w:val="auto"/>
        </w:rPr>
      </w:pPr>
      <w:r>
        <w:rPr>
          <w:rFonts w:ascii="Arial" w:cs="Arial" w:eastAsia="Arial" w:hAnsi="Arial"/>
          <w:sz w:val="22"/>
          <w:szCs w:val="22"/>
          <w:i w:val="1"/>
          <w:iCs w:val="1"/>
          <w:color w:val="auto"/>
        </w:rPr>
        <w:t>cette attribution (le Plan et ce Contrat d'Attribution) qui ont été communiqués en langue anglaise. Le Participant accepte les termes de ces documents en connaissance de cause.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300" w:lineRule="auto"/>
        <w:rPr>
          <w:sz w:val="20"/>
          <w:szCs w:val="20"/>
          <w:color w:val="auto"/>
        </w:rPr>
      </w:pPr>
      <w:r>
        <w:rPr>
          <w:rFonts w:ascii="Arial" w:cs="Arial" w:eastAsia="Arial" w:hAnsi="Arial"/>
          <w:sz w:val="19"/>
          <w:szCs w:val="19"/>
          <w:b w:val="1"/>
          <w:bCs w:val="1"/>
          <w:u w:val="single" w:color="auto"/>
          <w:color w:val="auto"/>
        </w:rPr>
        <w:t>Foreign Asset/Account Reporting Information</w:t>
      </w:r>
      <w:r>
        <w:rPr>
          <w:rFonts w:ascii="Arial" w:cs="Arial" w:eastAsia="Arial" w:hAnsi="Arial"/>
          <w:sz w:val="19"/>
          <w:szCs w:val="19"/>
          <w:color w:val="auto"/>
        </w:rPr>
        <w:t>. Participant may hold Shares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outside of France provided Participant annually declares all foreign bank and stock accounts, whether open, current, or closed, together with Participant’s personal income tax returns.</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Germany</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Exchange Control Information</w:t>
      </w:r>
      <w:r>
        <w:rPr>
          <w:rFonts w:ascii="Arial" w:cs="Arial" w:eastAsia="Arial" w:hAnsi="Arial"/>
          <w:sz w:val="22"/>
          <w:szCs w:val="22"/>
          <w:b w:val="1"/>
          <w:bCs w:val="1"/>
          <w:color w:val="auto"/>
        </w:rPr>
        <w:t>.</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328" w:right="1319" w:bottom="1440" w:gutter="0" w:footer="0" w:header="0"/>
        </w:sectPr>
      </w:pPr>
    </w:p>
    <w:bookmarkStart w:id="123" w:name="page124"/>
    <w:bookmarkEnd w:id="123"/>
    <w:p>
      <w:pPr>
        <w:ind w:left="180" w:right="360"/>
        <w:spacing w:after="0" w:line="287" w:lineRule="auto"/>
        <w:rPr>
          <w:sz w:val="20"/>
          <w:szCs w:val="20"/>
          <w:color w:val="auto"/>
        </w:rPr>
      </w:pPr>
      <w:r>
        <w:rPr>
          <w:rFonts w:ascii="Arial" w:cs="Arial" w:eastAsia="Arial" w:hAnsi="Arial"/>
          <w:sz w:val="19"/>
          <w:szCs w:val="19"/>
          <w:color w:val="auto"/>
        </w:rPr>
        <w:t xml:space="preserve">Cross-border payments in excess of €12,500 must be reported electronically, on a monthly basis, to the </w:t>
      </w:r>
      <w:r>
        <w:rPr>
          <w:rFonts w:ascii="Arial" w:cs="Arial" w:eastAsia="Arial" w:hAnsi="Arial"/>
          <w:sz w:val="19"/>
          <w:szCs w:val="19"/>
          <w:i w:val="1"/>
          <w:iCs w:val="1"/>
          <w:color w:val="auto"/>
        </w:rPr>
        <w:t>Servicezentrum Außenwirtschaftsstatistik</w:t>
      </w:r>
      <w:r>
        <w:rPr>
          <w:rFonts w:ascii="Arial" w:cs="Arial" w:eastAsia="Arial" w:hAnsi="Arial"/>
          <w:sz w:val="19"/>
          <w:szCs w:val="19"/>
          <w:color w:val="auto"/>
        </w:rPr>
        <w:t xml:space="preserve">, which is the competent federal office of the </w:t>
      </w:r>
      <w:r>
        <w:rPr>
          <w:rFonts w:ascii="Arial" w:cs="Arial" w:eastAsia="Arial" w:hAnsi="Arial"/>
          <w:sz w:val="19"/>
          <w:szCs w:val="19"/>
          <w:i w:val="1"/>
          <w:iCs w:val="1"/>
          <w:color w:val="auto"/>
        </w:rPr>
        <w:t>Deutsche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Bundesbank </w:t>
      </w:r>
      <w:r>
        <w:rPr>
          <w:rFonts w:ascii="Arial" w:cs="Arial" w:eastAsia="Arial" w:hAnsi="Arial"/>
          <w:sz w:val="19"/>
          <w:szCs w:val="19"/>
          <w:color w:val="auto"/>
        </w:rPr>
        <w:t>(the German Central Bank) for such notifications in Germany. The</w:t>
      </w:r>
      <w:r>
        <w:rPr>
          <w:rFonts w:ascii="Arial" w:cs="Arial" w:eastAsia="Arial" w:hAnsi="Arial"/>
          <w:sz w:val="19"/>
          <w:szCs w:val="19"/>
          <w:i w:val="1"/>
          <w:iCs w:val="1"/>
          <w:color w:val="auto"/>
        </w:rPr>
        <w:t xml:space="preserve"> Allgemeinesc Meldeportal Statistik </w:t>
      </w:r>
      <w:r>
        <w:rPr>
          <w:rFonts w:ascii="Arial" w:cs="Arial" w:eastAsia="Arial" w:hAnsi="Arial"/>
          <w:sz w:val="19"/>
          <w:szCs w:val="19"/>
          <w:color w:val="auto"/>
        </w:rPr>
        <w:t>(General Statistics Reporting Portal) can be accessed at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www.bundesbank.de</w:t>
      </w:r>
      <w:r>
        <w:rPr>
          <w:rFonts w:ascii="Arial" w:cs="Arial" w:eastAsia="Arial" w:hAnsi="Arial"/>
          <w:sz w:val="19"/>
          <w:szCs w:val="19"/>
          <w:color w:val="auto"/>
        </w:rPr>
        <w:t>.</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Japan</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236" w:lineRule="auto"/>
        <w:rPr>
          <w:sz w:val="20"/>
          <w:szCs w:val="20"/>
          <w:color w:val="auto"/>
        </w:rPr>
      </w:pPr>
      <w:r>
        <w:rPr>
          <w:rFonts w:ascii="Arial" w:cs="Arial" w:eastAsia="Arial" w:hAnsi="Arial"/>
          <w:sz w:val="22"/>
          <w:szCs w:val="22"/>
          <w:b w:val="1"/>
          <w:bCs w:val="1"/>
          <w:color w:val="auto"/>
        </w:rPr>
        <w:t xml:space="preserve">Foreign Asset / Account Reporting Information. </w:t>
      </w:r>
      <w:r>
        <w:rPr>
          <w:rFonts w:ascii="Arial" w:cs="Arial" w:eastAsia="Arial" w:hAnsi="Arial"/>
          <w:sz w:val="22"/>
          <w:szCs w:val="22"/>
          <w:color w:val="auto"/>
        </w:rPr>
        <w:t>Participant will be required to report details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any assets held outside of Japan as of December 31st to the extent such assets have a total net fair market value exceeding ¥50,000,000. Such report will be due by March 15th each year. </w:t>
      </w:r>
      <w:r>
        <w:rPr>
          <w:rFonts w:ascii="Arial" w:cs="Arial" w:eastAsia="Arial" w:hAnsi="Arial"/>
          <w:sz w:val="22"/>
          <w:szCs w:val="22"/>
          <w:i w:val="1"/>
          <w:iCs w:val="1"/>
          <w:color w:val="auto"/>
        </w:rPr>
        <w:t>Participant</w:t>
      </w:r>
      <w:r>
        <w:rPr>
          <w:rFonts w:ascii="Arial" w:cs="Arial" w:eastAsia="Arial" w:hAnsi="Arial"/>
          <w:sz w:val="22"/>
          <w:szCs w:val="22"/>
          <w:color w:val="auto"/>
        </w:rPr>
        <w:t xml:space="preserve"> </w:t>
      </w:r>
      <w:r>
        <w:rPr>
          <w:rFonts w:ascii="Arial" w:cs="Arial" w:eastAsia="Arial" w:hAnsi="Arial"/>
          <w:sz w:val="22"/>
          <w:szCs w:val="22"/>
          <w:i w:val="1"/>
          <w:iCs w:val="1"/>
          <w:color w:val="auto"/>
        </w:rPr>
        <w:t>should consult with his or her personal tax adviser as to whether the reporting obligation applies to him or her and whether the requirement extends to any outstanding Restricted Stock Units, Shares and/or cash acquired under the Plan.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Singapore</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274" w:lineRule="auto"/>
        <w:rPr>
          <w:sz w:val="20"/>
          <w:szCs w:val="20"/>
          <w:color w:val="auto"/>
        </w:rPr>
      </w:pPr>
      <w:r>
        <w:rPr>
          <w:rFonts w:ascii="Arial" w:cs="Arial" w:eastAsia="Arial" w:hAnsi="Arial"/>
          <w:sz w:val="19"/>
          <w:szCs w:val="19"/>
          <w:b w:val="1"/>
          <w:bCs w:val="1"/>
          <w:u w:val="single" w:color="auto"/>
          <w:color w:val="auto"/>
        </w:rPr>
        <w:t>Securities Law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Award of Restricted Stock Units under the Plan is being made</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“Qualifying Person” exemption under section 273(1)(f) of the Securities and Futures Act (Chapter 289, 2006 Ed.) (“SFA”). The Plan has not been lodged or registered as a prospectus with the Monetary Authority of Singapore. Participant should note that the Restricted Stock Units are subject to section 257 of the SFA and the Participant should not make (i) any subsequent sale of the Shares in Singapore or (ii) any offer of such subsequent sale of the Shares subject to the Restricted Stock Units in Singapore, unless such sale or offer is made more than six (6) months after the Date of Grant or pursuant to the exemptions under Part XIII Division 1 Subdivision (4) (other than section 280) of the SFA. The Company’s common stock is traded on the Nasdaq Global Select Market, which is located outside of Singapore, under the ticker symbol “PACB” and Shares acquired under the Plan may be sold through this exchange.</w:t>
      </w:r>
    </w:p>
    <w:p>
      <w:pPr>
        <w:spacing w:after="0" w:line="395" w:lineRule="exact"/>
        <w:rPr>
          <w:sz w:val="20"/>
          <w:szCs w:val="20"/>
          <w:color w:val="auto"/>
        </w:rPr>
      </w:pPr>
    </w:p>
    <w:p>
      <w:pPr>
        <w:jc w:val="both"/>
        <w:ind w:left="180"/>
        <w:spacing w:after="0" w:line="257" w:lineRule="auto"/>
        <w:rPr>
          <w:sz w:val="20"/>
          <w:szCs w:val="20"/>
          <w:color w:val="auto"/>
        </w:rPr>
      </w:pPr>
      <w:r>
        <w:rPr>
          <w:rFonts w:ascii="Arial" w:cs="Arial" w:eastAsia="Arial" w:hAnsi="Arial"/>
          <w:sz w:val="20"/>
          <w:szCs w:val="20"/>
          <w:b w:val="1"/>
          <w:bCs w:val="1"/>
          <w:u w:val="single" w:color="auto"/>
          <w:color w:val="auto"/>
        </w:rPr>
        <w:t>CEO and Director Notification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Participant is the Chief Executive Officer (“CEO”)</w:t>
      </w:r>
      <w:r>
        <w:rPr>
          <w:rFonts w:ascii="Arial" w:cs="Arial" w:eastAsia="Arial" w:hAnsi="Arial"/>
          <w:sz w:val="20"/>
          <w:szCs w:val="20"/>
          <w:b w:val="1"/>
          <w:bCs w:val="1"/>
          <w:color w:val="auto"/>
        </w:rPr>
        <w:t xml:space="preserve"> </w:t>
      </w:r>
      <w:r>
        <w:rPr>
          <w:rFonts w:ascii="Arial" w:cs="Arial" w:eastAsia="Arial" w:hAnsi="Arial"/>
          <w:sz w:val="20"/>
          <w:szCs w:val="20"/>
          <w:color w:val="auto"/>
        </w:rPr>
        <w:t>or a director, associate director or shadow director</w:t>
      </w:r>
      <w:r>
        <w:rPr>
          <w:rFonts w:ascii="Arial" w:cs="Arial" w:eastAsia="Arial" w:hAnsi="Arial"/>
          <w:sz w:val="10"/>
          <w:szCs w:val="10"/>
          <w:color w:val="auto"/>
        </w:rPr>
        <w:t>1</w:t>
      </w:r>
      <w:r>
        <w:rPr>
          <w:rFonts w:ascii="Arial" w:cs="Arial" w:eastAsia="Arial" w:hAnsi="Arial"/>
          <w:sz w:val="20"/>
          <w:szCs w:val="20"/>
          <w:color w:val="auto"/>
        </w:rPr>
        <w:t xml:space="preserve"> of a Singaporean Parent or Subsidiary, Participant is subject to certain notification requirements under the Singapore Companies Act. Among these requirements is an obligation to notify the Singaporean Parent or Subsidiary in writing when Participant receives an interest in the Company (</w:t>
      </w:r>
      <w:r>
        <w:rPr>
          <w:rFonts w:ascii="Arial" w:cs="Arial" w:eastAsia="Arial" w:hAnsi="Arial"/>
          <w:sz w:val="20"/>
          <w:szCs w:val="20"/>
          <w:i w:val="1"/>
          <w:iCs w:val="1"/>
          <w:color w:val="auto"/>
        </w:rPr>
        <w:t>e.g.</w:t>
      </w:r>
      <w:r>
        <w:rPr>
          <w:rFonts w:ascii="Arial" w:cs="Arial" w:eastAsia="Arial" w:hAnsi="Arial"/>
          <w:sz w:val="20"/>
          <w:szCs w:val="20"/>
          <w:color w:val="auto"/>
        </w:rPr>
        <w:t>, Restricted Stock Units or Shares). In addition, Participant must notify the Singaporean Parent or Subsidiary when Participant disposes of an interest in the Company (including when Participant sells Shares acquired at vesting of the Restricted Stock</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____________________</w:t>
      </w:r>
    </w:p>
    <w:p>
      <w:pPr>
        <w:spacing w:after="0" w:line="222" w:lineRule="exact"/>
        <w:rPr>
          <w:sz w:val="20"/>
          <w:szCs w:val="20"/>
          <w:color w:val="auto"/>
        </w:rPr>
      </w:pPr>
    </w:p>
    <w:p>
      <w:pPr>
        <w:jc w:val="both"/>
        <w:ind w:left="180" w:firstLine="328"/>
        <w:spacing w:after="0" w:line="238" w:lineRule="auto"/>
        <w:tabs>
          <w:tab w:leader="none" w:pos="612" w:val="left"/>
        </w:tabs>
        <w:numPr>
          <w:ilvl w:val="0"/>
          <w:numId w:val="101"/>
        </w:numPr>
        <w:rPr>
          <w:rFonts w:ascii="Arial" w:cs="Arial" w:eastAsia="Arial" w:hAnsi="Arial"/>
          <w:sz w:val="22"/>
          <w:szCs w:val="22"/>
          <w:color w:val="auto"/>
          <w:vertAlign w:val="superscript"/>
        </w:rPr>
      </w:pPr>
      <w:r>
        <w:rPr>
          <w:rFonts w:ascii="Arial" w:cs="Arial" w:eastAsia="Arial" w:hAnsi="Arial"/>
          <w:sz w:val="18"/>
          <w:szCs w:val="18"/>
          <w:color w:val="auto"/>
        </w:rPr>
        <w:t>A shadow director is an individual who is not on the board of directors of the Singapore Parent or Subsidiary but who has sufficient control so that the board of directors of the Singapore Parent or Subsidiary acts in accordance with the directions and instructions of the individual.</w:t>
      </w:r>
    </w:p>
    <w:p>
      <w:pPr>
        <w:spacing w:after="0" w:line="19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334" w:right="1319" w:bottom="1440" w:gutter="0" w:footer="0" w:header="0"/>
        </w:sectPr>
      </w:pPr>
    </w:p>
    <w:bookmarkStart w:id="124" w:name="page125"/>
    <w:bookmarkEnd w:id="124"/>
    <w:p>
      <w:pPr>
        <w:jc w:val="both"/>
        <w:ind w:left="180"/>
        <w:spacing w:after="0" w:line="273" w:lineRule="auto"/>
        <w:rPr>
          <w:sz w:val="20"/>
          <w:szCs w:val="20"/>
          <w:color w:val="auto"/>
        </w:rPr>
      </w:pPr>
      <w:r>
        <w:rPr>
          <w:rFonts w:ascii="Arial" w:cs="Arial" w:eastAsia="Arial" w:hAnsi="Arial"/>
          <w:sz w:val="19"/>
          <w:szCs w:val="19"/>
          <w:color w:val="auto"/>
        </w:rPr>
        <w:t>Units). These notifications must be made within two (2) business days of (i) acquiring or disposing of any interest in the Company, (ii) any change in a previously-disclosed interest (</w:t>
      </w:r>
      <w:r>
        <w:rPr>
          <w:rFonts w:ascii="Arial" w:cs="Arial" w:eastAsia="Arial" w:hAnsi="Arial"/>
          <w:sz w:val="19"/>
          <w:szCs w:val="19"/>
          <w:i w:val="1"/>
          <w:iCs w:val="1"/>
          <w:color w:val="auto"/>
        </w:rPr>
        <w:t>e.g.</w:t>
      </w:r>
      <w:r>
        <w:rPr>
          <w:rFonts w:ascii="Arial" w:cs="Arial" w:eastAsia="Arial" w:hAnsi="Arial"/>
          <w:sz w:val="19"/>
          <w:szCs w:val="19"/>
          <w:color w:val="auto"/>
        </w:rPr>
        <w:t>, upon vesting of the Restricted Stock Units or when Shares acquired under the Plan are subsequently sold), or</w:t>
      </w:r>
    </w:p>
    <w:p>
      <w:pPr>
        <w:spacing w:after="0" w:line="1" w:lineRule="exact"/>
        <w:rPr>
          <w:sz w:val="20"/>
          <w:szCs w:val="20"/>
          <w:color w:val="auto"/>
        </w:rPr>
      </w:pPr>
    </w:p>
    <w:p>
      <w:pPr>
        <w:ind w:left="180" w:firstLine="4"/>
        <w:spacing w:after="0" w:line="236" w:lineRule="auto"/>
        <w:tabs>
          <w:tab w:leader="none" w:pos="57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becoming the CEO or a director, associate director or shadow director if such an interest exists at such time.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276" w:lineRule="auto"/>
        <w:rPr>
          <w:sz w:val="20"/>
          <w:szCs w:val="20"/>
          <w:color w:val="auto"/>
        </w:rPr>
      </w:pPr>
      <w:r>
        <w:rPr>
          <w:rFonts w:ascii="Arial" w:cs="Arial" w:eastAsia="Arial" w:hAnsi="Arial"/>
          <w:sz w:val="19"/>
          <w:szCs w:val="19"/>
          <w:b w:val="1"/>
          <w:bCs w:val="1"/>
          <w:u w:val="single" w:color="auto"/>
          <w:color w:val="auto"/>
        </w:rPr>
        <w:t>Securities Law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Award of Restricted Stock Units under the Plan is considered a</w:t>
      </w:r>
      <w:r>
        <w:rPr>
          <w:rFonts w:ascii="Arial" w:cs="Arial" w:eastAsia="Arial" w:hAnsi="Arial"/>
          <w:sz w:val="19"/>
          <w:szCs w:val="19"/>
          <w:b w:val="1"/>
          <w:bCs w:val="1"/>
          <w:color w:val="auto"/>
        </w:rPr>
        <w:t xml:space="preserve"> </w:t>
      </w:r>
      <w:r>
        <w:rPr>
          <w:rFonts w:ascii="Arial" w:cs="Arial" w:eastAsia="Arial" w:hAnsi="Arial"/>
          <w:sz w:val="19"/>
          <w:szCs w:val="19"/>
          <w:color w:val="auto"/>
        </w:rPr>
        <w:t>private offering in Switzerland and is therefore not subject to registration in Switzerland. Neither this document nor any other materials relating to the Restricted Stock Units constitutes a prospectus as such term is understood pursuant to article 652a of the Swiss Code of Obligations, and neither this document nor any other materials relating to the Restricted Stock Units may be publicly distributed nor otherwise made publicly available in Switzerland. Neither this document nor any other offering or marketing material relating to the Restricted Stock Units has been filed with, approved, or supervised by any Swiss regulatory authority (in particular, the Swiss Financial Market Supervisory Authority (FINMA)).</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Taiwan</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ind w:left="180"/>
        <w:spacing w:after="0" w:line="239" w:lineRule="auto"/>
        <w:rPr>
          <w:sz w:val="20"/>
          <w:szCs w:val="20"/>
          <w:color w:val="auto"/>
        </w:rPr>
      </w:pPr>
      <w:r>
        <w:rPr>
          <w:rFonts w:ascii="Arial" w:cs="Arial" w:eastAsia="Arial" w:hAnsi="Arial"/>
          <w:sz w:val="22"/>
          <w:szCs w:val="22"/>
          <w:b w:val="1"/>
          <w:bCs w:val="1"/>
          <w:u w:val="single" w:color="auto"/>
          <w:color w:val="auto"/>
        </w:rPr>
        <w:t>Securities Law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Award of Restricted Stock Units and the Shares to be issued upon</w:t>
      </w:r>
      <w:r>
        <w:rPr>
          <w:rFonts w:ascii="Arial" w:cs="Arial" w:eastAsia="Arial" w:hAnsi="Arial"/>
          <w:sz w:val="22"/>
          <w:szCs w:val="22"/>
          <w:b w:val="1"/>
          <w:bCs w:val="1"/>
          <w:color w:val="auto"/>
        </w:rPr>
        <w:t xml:space="preserve"> </w:t>
      </w:r>
      <w:r>
        <w:rPr>
          <w:rFonts w:ascii="Arial" w:cs="Arial" w:eastAsia="Arial" w:hAnsi="Arial"/>
          <w:sz w:val="22"/>
          <w:szCs w:val="22"/>
          <w:color w:val="auto"/>
        </w:rPr>
        <w:t>vesting of the Restricted Stock Units is available only for employees of the Company and any Parent or Subsidiary. It is not a public offer of securities by a Taiwanese company; therefore, it is exempt from registration in Taiwan.</w:t>
      </w:r>
    </w:p>
    <w:p>
      <w:pPr>
        <w:spacing w:after="0" w:line="180" w:lineRule="exact"/>
        <w:rPr>
          <w:sz w:val="20"/>
          <w:szCs w:val="20"/>
          <w:color w:val="auto"/>
        </w:rPr>
      </w:pPr>
    </w:p>
    <w:p>
      <w:pPr>
        <w:jc w:val="both"/>
        <w:ind w:left="180"/>
        <w:spacing w:after="0" w:line="236" w:lineRule="auto"/>
        <w:rPr>
          <w:sz w:val="20"/>
          <w:szCs w:val="20"/>
          <w:color w:val="auto"/>
        </w:rPr>
      </w:pPr>
      <w:r>
        <w:rPr>
          <w:rFonts w:ascii="Arial" w:cs="Arial" w:eastAsia="Arial" w:hAnsi="Arial"/>
          <w:sz w:val="22"/>
          <w:szCs w:val="22"/>
          <w:b w:val="1"/>
          <w:bCs w:val="1"/>
          <w:u w:val="single" w:color="auto"/>
          <w:color w:val="auto"/>
        </w:rPr>
        <w:t>Exchange Control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may acquire and remit foreign currency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funds for the purchase of Shares and proceeds from the sale of Shares) up to US$5,000,000 per year without justification. If the transaction amount is TWD500,000 or more in a single transaction, Participant must submit a Foreign Exchange Transaction Form. If the transaction amount is US$500,000 or more in a single transaction, Participant must also provide supporting documentation to the satisfaction of the remitting bank.</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provision supplements Section 7 of the Award Agreement:</w:t>
      </w:r>
    </w:p>
    <w:p>
      <w:pPr>
        <w:spacing w:after="0" w:line="212" w:lineRule="exact"/>
        <w:rPr>
          <w:sz w:val="20"/>
          <w:szCs w:val="20"/>
          <w:color w:val="auto"/>
        </w:rPr>
      </w:pPr>
    </w:p>
    <w:p>
      <w:pPr>
        <w:jc w:val="both"/>
        <w:ind w:left="180"/>
        <w:spacing w:after="0" w:line="279" w:lineRule="auto"/>
        <w:rPr>
          <w:sz w:val="20"/>
          <w:szCs w:val="20"/>
          <w:color w:val="auto"/>
        </w:rPr>
      </w:pPr>
      <w:r>
        <w:rPr>
          <w:rFonts w:ascii="Arial" w:cs="Arial" w:eastAsia="Arial" w:hAnsi="Arial"/>
          <w:sz w:val="19"/>
          <w:szCs w:val="19"/>
          <w:color w:val="auto"/>
        </w:rPr>
        <w:t>Without limitation to Section 7 of the Award Agreement, Participant agrees that Participant is liable for all Tax-Related Items and hereby covenants to pay all such Tax-Related Items, as and when requested by the Company or the Parent or Subsidiary employing or retaining Participant or by Her Majesty's Revenue and Customs (“HMRC”) (or any other tax authority or any other relevant authority). Participant also agrees to indemnify and keep indemnified the Company and the Company’s Parent or Subsidiary employing or retaining Participant against any Tax–Related Items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334" w:right="1319" w:bottom="1440" w:gutter="0" w:footer="0" w:header="0"/>
        </w:sectPr>
      </w:pPr>
    </w:p>
    <w:bookmarkStart w:id="125" w:name="page126"/>
    <w:bookmarkEnd w:id="125"/>
    <w:p>
      <w:pPr>
        <w:ind w:left="180"/>
        <w:spacing w:after="0" w:line="250" w:lineRule="auto"/>
        <w:rPr>
          <w:sz w:val="20"/>
          <w:szCs w:val="20"/>
          <w:color w:val="auto"/>
        </w:rPr>
      </w:pPr>
      <w:r>
        <w:rPr>
          <w:rFonts w:ascii="Arial" w:cs="Arial" w:eastAsia="Arial" w:hAnsi="Arial"/>
          <w:sz w:val="22"/>
          <w:szCs w:val="22"/>
          <w:color w:val="auto"/>
        </w:rPr>
        <w:t>that they are required to pay or withhold or have paid or will pay to HMRC (or any other tax authority or any other relevant authority) on Participant’s behalf.</w:t>
      </w:r>
      <w:r>
        <w:rPr>
          <w:rFonts w:ascii="Arial" w:cs="Arial" w:eastAsia="Arial" w:hAnsi="Arial"/>
          <w:sz w:val="22"/>
          <w:szCs w:val="22"/>
          <w:b w:val="1"/>
          <w:bCs w:val="1"/>
          <w:color w:val="auto"/>
        </w:rPr>
        <w:t>]</w:t>
      </w:r>
    </w:p>
    <w:p>
      <w:pPr>
        <w:spacing w:after="0" w:line="175" w:lineRule="exact"/>
        <w:rPr>
          <w:sz w:val="20"/>
          <w:szCs w:val="20"/>
          <w:color w:val="auto"/>
        </w:rPr>
      </w:pPr>
    </w:p>
    <w:p>
      <w:pPr>
        <w:ind w:left="3960"/>
        <w:spacing w:after="0"/>
        <w:tabs>
          <w:tab w:leader="none" w:pos="4600" w:val="left"/>
          <w:tab w:leader="none" w:pos="52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734685"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334" w:right="1319" w:bottom="1440" w:gutter="0" w:footer="0" w:header="0"/>
        </w:sectPr>
      </w:pPr>
    </w:p>
    <w:bookmarkStart w:id="126" w:name="page127"/>
    <w:bookmarkEnd w:id="126"/>
    <w:p>
      <w:pPr>
        <w:jc w:val="right"/>
        <w:ind w:right="199"/>
        <w:spacing w:after="0"/>
        <w:rPr>
          <w:sz w:val="20"/>
          <w:szCs w:val="20"/>
          <w:color w:val="auto"/>
        </w:rPr>
      </w:pPr>
      <w:r>
        <w:rPr>
          <w:rFonts w:ascii="Arial" w:cs="Arial" w:eastAsia="Arial" w:hAnsi="Arial"/>
          <w:sz w:val="22"/>
          <w:szCs w:val="22"/>
          <w:b w:val="1"/>
          <w:bCs w:val="1"/>
          <w:color w:val="auto"/>
        </w:rPr>
        <w:t>Exhibit 31.1</w:t>
      </w:r>
    </w:p>
    <w:p>
      <w:pPr>
        <w:spacing w:after="0" w:line="135" w:lineRule="exact"/>
        <w:rPr>
          <w:sz w:val="20"/>
          <w:szCs w:val="20"/>
          <w:color w:val="auto"/>
        </w:rPr>
      </w:pPr>
    </w:p>
    <w:p>
      <w:pPr>
        <w:jc w:val="center"/>
        <w:ind w:left="180" w:right="199"/>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13a-15(e), AS ADOPTED PURSUANT TO SECTION 302 OF THE SARBANES-OXLEY ACT OF 2002</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Christian Henry, certify that:</w:t>
      </w:r>
    </w:p>
    <w:p>
      <w:pPr>
        <w:spacing w:after="0" w:line="50" w:lineRule="exact"/>
        <w:rPr>
          <w:sz w:val="20"/>
          <w:szCs w:val="20"/>
          <w:color w:val="auto"/>
        </w:rPr>
      </w:pPr>
    </w:p>
    <w:p>
      <w:pPr>
        <w:ind w:left="800" w:hanging="175"/>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Pacific Biosciences of California, Inc.;</w:t>
      </w:r>
    </w:p>
    <w:p>
      <w:pPr>
        <w:spacing w:after="0" w:line="130" w:lineRule="exact"/>
        <w:rPr>
          <w:rFonts w:ascii="Arial" w:cs="Arial" w:eastAsia="Arial" w:hAnsi="Arial"/>
          <w:sz w:val="18"/>
          <w:szCs w:val="18"/>
          <w:color w:val="auto"/>
        </w:rPr>
      </w:pPr>
    </w:p>
    <w:p>
      <w:pPr>
        <w:ind w:left="180" w:right="319" w:firstLine="445"/>
        <w:spacing w:after="0" w:line="224" w:lineRule="auto"/>
        <w:tabs>
          <w:tab w:leader="none" w:pos="8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180" w:right="219" w:firstLine="445"/>
        <w:spacing w:after="0" w:line="224" w:lineRule="auto"/>
        <w:tabs>
          <w:tab w:leader="none" w:pos="8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180" w:right="219" w:firstLine="445"/>
        <w:spacing w:after="0" w:line="237" w:lineRule="auto"/>
        <w:tabs>
          <w:tab w:leader="none" w:pos="79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180" w:right="279" w:firstLine="445"/>
        <w:spacing w:after="0" w:line="219" w:lineRule="auto"/>
        <w:tabs>
          <w:tab w:leader="none" w:pos="80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8"/>
          <w:szCs w:val="18"/>
          <w:color w:val="auto"/>
        </w:rPr>
      </w:pPr>
    </w:p>
    <w:p>
      <w:pPr>
        <w:ind w:left="180" w:right="219" w:firstLine="445"/>
        <w:spacing w:after="0" w:line="219" w:lineRule="auto"/>
        <w:tabs>
          <w:tab w:leader="none" w:pos="81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180" w:right="199" w:firstLine="445"/>
        <w:spacing w:after="0" w:line="224" w:lineRule="auto"/>
        <w:tabs>
          <w:tab w:leader="none" w:pos="80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180" w:right="439" w:firstLine="445"/>
        <w:spacing w:after="0" w:line="219" w:lineRule="auto"/>
        <w:tabs>
          <w:tab w:leader="none" w:pos="81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180" w:right="219" w:firstLine="445"/>
        <w:spacing w:after="0" w:line="224" w:lineRule="auto"/>
        <w:tabs>
          <w:tab w:leader="none" w:pos="79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299" w:firstLine="445"/>
        <w:spacing w:after="0" w:line="224" w:lineRule="auto"/>
        <w:tabs>
          <w:tab w:leader="none" w:pos="79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80" w:right="299" w:firstLine="445"/>
        <w:spacing w:after="0" w:line="235" w:lineRule="auto"/>
        <w:tabs>
          <w:tab w:leader="none" w:pos="80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55" w:lineRule="exact"/>
        <w:rPr>
          <w:sz w:val="20"/>
          <w:szCs w:val="20"/>
          <w:color w:val="auto"/>
        </w:rPr>
      </w:pPr>
    </w:p>
    <w:p>
      <w:pPr>
        <w:ind w:left="48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23056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4"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Christian O. Henry</w:t>
      </w:r>
    </w:p>
    <w:p>
      <w:pPr>
        <w:jc w:val="center"/>
        <w:ind w:left="4980"/>
        <w:spacing w:after="0" w:line="203" w:lineRule="auto"/>
        <w:rPr>
          <w:sz w:val="20"/>
          <w:szCs w:val="20"/>
          <w:color w:val="auto"/>
        </w:rPr>
      </w:pPr>
      <w:r>
        <w:rPr>
          <w:rFonts w:ascii="Arial" w:cs="Arial" w:eastAsia="Arial" w:hAnsi="Arial"/>
          <w:sz w:val="18"/>
          <w:szCs w:val="18"/>
          <w:color w:val="auto"/>
        </w:rPr>
        <w:t>Chief Executive Officer and President</w:t>
      </w:r>
    </w:p>
    <w:p>
      <w:pPr>
        <w:jc w:val="center"/>
        <w:ind w:left="4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-24765</wp:posOffset>
            </wp:positionV>
            <wp:extent cx="5528945"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7" w:name="page128"/>
    <w:bookmarkEnd w:id="127"/>
    <w:p>
      <w:pPr>
        <w:jc w:val="right"/>
        <w:ind w:right="199"/>
        <w:spacing w:after="0"/>
        <w:rPr>
          <w:sz w:val="20"/>
          <w:szCs w:val="20"/>
          <w:color w:val="auto"/>
        </w:rPr>
      </w:pPr>
      <w:r>
        <w:rPr>
          <w:rFonts w:ascii="Arial" w:cs="Arial" w:eastAsia="Arial" w:hAnsi="Arial"/>
          <w:sz w:val="22"/>
          <w:szCs w:val="22"/>
          <w:b w:val="1"/>
          <w:bCs w:val="1"/>
          <w:color w:val="auto"/>
        </w:rPr>
        <w:t>Exhibit 31.2</w:t>
      </w:r>
    </w:p>
    <w:p>
      <w:pPr>
        <w:spacing w:after="0" w:line="135" w:lineRule="exact"/>
        <w:rPr>
          <w:sz w:val="20"/>
          <w:szCs w:val="20"/>
          <w:color w:val="auto"/>
        </w:rPr>
      </w:pPr>
    </w:p>
    <w:p>
      <w:pPr>
        <w:jc w:val="center"/>
        <w:ind w:left="180" w:right="199"/>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13a-15(e), AS ADOPTED PURSUANT TO SECTION 302 OF THE SARBANES-OXLEY ACT OF 2002</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Susan Kim, certify that:</w:t>
      </w:r>
    </w:p>
    <w:p>
      <w:pPr>
        <w:spacing w:after="0" w:line="50" w:lineRule="exact"/>
        <w:rPr>
          <w:sz w:val="20"/>
          <w:szCs w:val="20"/>
          <w:color w:val="auto"/>
        </w:rPr>
      </w:pPr>
    </w:p>
    <w:p>
      <w:pPr>
        <w:ind w:left="800" w:hanging="175"/>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Pacific Biosciences of California, Inc.;</w:t>
      </w:r>
    </w:p>
    <w:p>
      <w:pPr>
        <w:spacing w:after="0" w:line="130" w:lineRule="exact"/>
        <w:rPr>
          <w:rFonts w:ascii="Arial" w:cs="Arial" w:eastAsia="Arial" w:hAnsi="Arial"/>
          <w:sz w:val="18"/>
          <w:szCs w:val="18"/>
          <w:color w:val="auto"/>
        </w:rPr>
      </w:pPr>
    </w:p>
    <w:p>
      <w:pPr>
        <w:ind w:left="180" w:right="319" w:firstLine="445"/>
        <w:spacing w:after="0" w:line="224" w:lineRule="auto"/>
        <w:tabs>
          <w:tab w:leader="none" w:pos="8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180" w:right="219" w:firstLine="445"/>
        <w:spacing w:after="0" w:line="224" w:lineRule="auto"/>
        <w:tabs>
          <w:tab w:leader="none" w:pos="8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180" w:right="219" w:firstLine="445"/>
        <w:spacing w:after="0" w:line="237" w:lineRule="auto"/>
        <w:tabs>
          <w:tab w:leader="none" w:pos="79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180" w:right="279" w:firstLine="445"/>
        <w:spacing w:after="0" w:line="219" w:lineRule="auto"/>
        <w:tabs>
          <w:tab w:leader="none" w:pos="80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80" w:right="219" w:firstLine="445"/>
        <w:spacing w:after="0" w:line="219" w:lineRule="auto"/>
        <w:tabs>
          <w:tab w:leader="none" w:pos="81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180" w:right="199" w:firstLine="445"/>
        <w:spacing w:after="0" w:line="224" w:lineRule="auto"/>
        <w:tabs>
          <w:tab w:leader="none" w:pos="80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180" w:right="439" w:firstLine="445"/>
        <w:spacing w:after="0" w:line="219" w:lineRule="auto"/>
        <w:tabs>
          <w:tab w:leader="none" w:pos="81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180" w:right="219" w:firstLine="445"/>
        <w:spacing w:after="0" w:line="224" w:lineRule="auto"/>
        <w:tabs>
          <w:tab w:leader="none" w:pos="79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299" w:firstLine="445"/>
        <w:spacing w:after="0" w:line="224" w:lineRule="auto"/>
        <w:tabs>
          <w:tab w:leader="none" w:pos="79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80" w:right="299" w:firstLine="445"/>
        <w:spacing w:after="0" w:line="235" w:lineRule="auto"/>
        <w:tabs>
          <w:tab w:leader="none" w:pos="8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55" w:lineRule="exact"/>
        <w:rPr>
          <w:sz w:val="20"/>
          <w:szCs w:val="20"/>
          <w:color w:val="auto"/>
        </w:rPr>
      </w:pPr>
    </w:p>
    <w:p>
      <w:pPr>
        <w:ind w:left="488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23056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Susan G. Kim</w:t>
      </w:r>
    </w:p>
    <w:p>
      <w:pPr>
        <w:ind w:left="6140"/>
        <w:spacing w:after="0" w:line="203" w:lineRule="auto"/>
        <w:rPr>
          <w:sz w:val="20"/>
          <w:szCs w:val="20"/>
          <w:color w:val="auto"/>
        </w:rPr>
      </w:pPr>
      <w:r>
        <w:rPr>
          <w:rFonts w:ascii="Arial" w:cs="Arial" w:eastAsia="Arial" w:hAnsi="Arial"/>
          <w:sz w:val="18"/>
          <w:szCs w:val="18"/>
          <w:color w:val="auto"/>
        </w:rPr>
        <w:t>Chief Financial Officer</w:t>
      </w:r>
    </w:p>
    <w:p>
      <w:pPr>
        <w:ind w:left="5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-24765</wp:posOffset>
            </wp:positionV>
            <wp:extent cx="5528945"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8" w:name="page129"/>
    <w:bookmarkEnd w:id="128"/>
    <w:p>
      <w:pPr>
        <w:jc w:val="right"/>
        <w:ind w:right="199"/>
        <w:spacing w:after="0"/>
        <w:rPr>
          <w:sz w:val="20"/>
          <w:szCs w:val="20"/>
          <w:color w:val="auto"/>
        </w:rPr>
      </w:pPr>
      <w:r>
        <w:rPr>
          <w:rFonts w:ascii="Arial" w:cs="Arial" w:eastAsia="Arial" w:hAnsi="Arial"/>
          <w:sz w:val="22"/>
          <w:szCs w:val="22"/>
          <w:b w:val="1"/>
          <w:bCs w:val="1"/>
          <w:color w:val="auto"/>
        </w:rPr>
        <w:t>Exhibit 32.1</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CEO Furnished Pursuant to 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5" w:lineRule="exact"/>
        <w:rPr>
          <w:sz w:val="20"/>
          <w:szCs w:val="20"/>
          <w:color w:val="auto"/>
        </w:rPr>
      </w:pPr>
    </w:p>
    <w:p>
      <w:pPr>
        <w:ind w:left="180" w:right="219"/>
        <w:spacing w:after="0" w:line="216" w:lineRule="auto"/>
        <w:rPr>
          <w:sz w:val="20"/>
          <w:szCs w:val="20"/>
          <w:color w:val="auto"/>
        </w:rPr>
      </w:pPr>
      <w:r>
        <w:rPr>
          <w:rFonts w:ascii="Arial" w:cs="Arial" w:eastAsia="Arial" w:hAnsi="Arial"/>
          <w:sz w:val="18"/>
          <w:szCs w:val="18"/>
          <w:color w:val="auto"/>
        </w:rPr>
        <w:t>In connection with the Quarterly Report of Pacific Biosciences of California, Inc. (the “Company”) on Form 10-Q for the period ended September 30, 2021,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108" w:lineRule="exact"/>
        <w:rPr>
          <w:sz w:val="20"/>
          <w:szCs w:val="20"/>
          <w:color w:val="auto"/>
        </w:rPr>
      </w:pPr>
    </w:p>
    <w:p>
      <w:pPr>
        <w:ind w:left="180" w:right="299" w:firstLine="445"/>
        <w:spacing w:after="0" w:line="289" w:lineRule="auto"/>
        <w:tabs>
          <w:tab w:leader="none" w:pos="83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2021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180" w:right="499" w:firstLine="445"/>
        <w:spacing w:after="0" w:line="235" w:lineRule="auto"/>
        <w:tabs>
          <w:tab w:leader="none" w:pos="88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ind w:left="180"/>
        <w:spacing w:after="0"/>
        <w:tabs>
          <w:tab w:leader="none" w:pos="58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6"/>
          <w:szCs w:val="16"/>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27000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0"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Christian O. Henry</w:t>
      </w:r>
    </w:p>
    <w:p>
      <w:pPr>
        <w:spacing w:after="0" w:line="7"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Chief Executive Officer and President</w:t>
      </w:r>
    </w:p>
    <w:p>
      <w:pPr>
        <w:jc w:val="cente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266065</wp:posOffset>
            </wp:positionV>
            <wp:extent cx="5528945"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9" w:name="page130"/>
    <w:bookmarkEnd w:id="129"/>
    <w:p>
      <w:pPr>
        <w:jc w:val="right"/>
        <w:ind w:right="199"/>
        <w:spacing w:after="0"/>
        <w:rPr>
          <w:sz w:val="20"/>
          <w:szCs w:val="20"/>
          <w:color w:val="auto"/>
        </w:rPr>
      </w:pPr>
      <w:r>
        <w:rPr>
          <w:rFonts w:ascii="Arial" w:cs="Arial" w:eastAsia="Arial" w:hAnsi="Arial"/>
          <w:sz w:val="22"/>
          <w:szCs w:val="22"/>
          <w:b w:val="1"/>
          <w:bCs w:val="1"/>
          <w:color w:val="auto"/>
        </w:rPr>
        <w:t>Exhibit 32.2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CFO Furnished Pursuant to 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5" w:lineRule="exact"/>
        <w:rPr>
          <w:sz w:val="20"/>
          <w:szCs w:val="20"/>
          <w:color w:val="auto"/>
        </w:rPr>
      </w:pPr>
    </w:p>
    <w:p>
      <w:pPr>
        <w:ind w:left="180" w:right="239"/>
        <w:spacing w:after="0" w:line="216" w:lineRule="auto"/>
        <w:rPr>
          <w:sz w:val="20"/>
          <w:szCs w:val="20"/>
          <w:color w:val="auto"/>
        </w:rPr>
      </w:pPr>
      <w:r>
        <w:rPr>
          <w:rFonts w:ascii="Arial" w:cs="Arial" w:eastAsia="Arial" w:hAnsi="Arial"/>
          <w:sz w:val="18"/>
          <w:szCs w:val="18"/>
          <w:color w:val="auto"/>
        </w:rPr>
        <w:t>In connection with the Quarterly Report of Pacific Biosciences of California, Inc. (the “Company”) on Form 10-Q for the period ended September 30, 2021,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w:t>
      </w:r>
    </w:p>
    <w:p>
      <w:pPr>
        <w:spacing w:after="0" w:line="108" w:lineRule="exact"/>
        <w:rPr>
          <w:sz w:val="20"/>
          <w:szCs w:val="20"/>
          <w:color w:val="auto"/>
        </w:rPr>
      </w:pPr>
    </w:p>
    <w:p>
      <w:pPr>
        <w:ind w:left="180" w:right="299" w:firstLine="445"/>
        <w:spacing w:after="0" w:line="289" w:lineRule="auto"/>
        <w:tabs>
          <w:tab w:leader="none" w:pos="83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2021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180" w:right="499" w:firstLine="445"/>
        <w:spacing w:after="0" w:line="235" w:lineRule="auto"/>
        <w:tabs>
          <w:tab w:leader="none" w:pos="8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6"/>
          <w:szCs w:val="16"/>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7000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jc w:val="center"/>
        <w:ind w:left="4380"/>
        <w:spacing w:after="0"/>
        <w:rPr>
          <w:sz w:val="20"/>
          <w:szCs w:val="20"/>
          <w:color w:val="auto"/>
        </w:rPr>
      </w:pPr>
      <w:r>
        <w:rPr>
          <w:rFonts w:ascii="Arial" w:cs="Arial" w:eastAsia="Arial" w:hAnsi="Arial"/>
          <w:sz w:val="18"/>
          <w:szCs w:val="18"/>
          <w:color w:val="auto"/>
        </w:rPr>
        <w:t>Susan G. Kim</w:t>
      </w:r>
    </w:p>
    <w:p>
      <w:pPr>
        <w:jc w:val="center"/>
        <w:ind w:left="4380"/>
        <w:spacing w:after="0" w:line="203" w:lineRule="auto"/>
        <w:rPr>
          <w:sz w:val="20"/>
          <w:szCs w:val="20"/>
          <w:color w:val="auto"/>
        </w:rPr>
      </w:pPr>
      <w:r>
        <w:rPr>
          <w:rFonts w:ascii="Arial" w:cs="Arial" w:eastAsia="Arial" w:hAnsi="Arial"/>
          <w:sz w:val="18"/>
          <w:szCs w:val="18"/>
          <w:color w:val="auto"/>
        </w:rPr>
        <w:t>Chief Financial Officer</w:t>
      </w:r>
    </w:p>
    <w:p>
      <w:pPr>
        <w:jc w:val="cente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814705</wp:posOffset>
            </wp:positionV>
            <wp:extent cx="5528945"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x"/>
      <w:numFmt w:val="bullet"/>
      <w:start w:val="1"/>
    </w:lvl>
  </w:abstractNum>
  <w:abstractNum w:abstractNumId="1">
    <w:nsid w:val="1CF10FD8"/>
    <w:multiLevelType w:val="hybridMultilevel"/>
    <w:lvl w:ilvl="0">
      <w:lvlJc w:val="left"/>
      <w:lvlText w:val="o"/>
      <w:numFmt w:val="bullet"/>
      <w:start w:val="1"/>
    </w:lvl>
  </w:abstractNum>
  <w:abstractNum w:abstractNumId="2">
    <w:nsid w:val="180115BE"/>
    <w:multiLevelType w:val="hybridMultilevel"/>
    <w:lvl w:ilvl="0">
      <w:lvlJc w:val="left"/>
      <w:lvlText w:val="%1."/>
      <w:numFmt w:val="decimal"/>
      <w:start w:val="19"/>
    </w:lvl>
  </w:abstractNum>
  <w:abstractNum w:abstractNumId="3">
    <w:nsid w:val="235BA861"/>
    <w:multiLevelType w:val="hybridMultilevel"/>
    <w:lvl w:ilvl="0">
      <w:lvlJc w:val="left"/>
      <w:lvlText w:val="‡"/>
      <w:numFmt w:val="bullet"/>
      <w:start w:val="1"/>
    </w:lvl>
    <w:lvl w:ilvl="1">
      <w:lvlJc w:val="left"/>
      <w:lvlText w:val="%2"/>
      <w:numFmt w:val="decimal"/>
      <w:start w:val="104"/>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1."/>
      <w:numFmt w:val="decimal"/>
      <w:start w:val="1"/>
    </w:lvl>
    <w:lvl w:ilvl="1">
      <w:lvlJc w:val="left"/>
      <w:lvlText w:val="·"/>
      <w:numFmt w:val="bullet"/>
      <w:start w:val="1"/>
    </w:lvl>
  </w:abstractNum>
  <w:abstractNum w:abstractNumId="6">
    <w:nsid w:val="15B5AF5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7">
    <w:nsid w:val="741226BB"/>
    <w:multiLevelType w:val="hybridMultilevel"/>
    <w:lvl w:ilvl="0">
      <w:lvlJc w:val="left"/>
      <w:lvlText w:val="(%1)"/>
      <w:numFmt w:val="lowerRoman"/>
      <w:start w:val="2"/>
    </w:lvl>
  </w:abstractNum>
  <w:abstractNum w:abstractNumId="8">
    <w:nsid w:val="D34B6A8"/>
    <w:multiLevelType w:val="hybridMultilevel"/>
    <w:lvl w:ilvl="0">
      <w:lvlJc w:val="left"/>
      <w:lvlText w:val="%1"/>
      <w:numFmt w:val="decimal"/>
      <w:start w:val="1"/>
    </w:lvl>
    <w:lvl w:ilvl="1">
      <w:lvlJc w:val="left"/>
      <w:lvlText w:val="(%2)"/>
      <w:numFmt w:val="lowerRoman"/>
      <w:start w:val="3"/>
    </w:lvl>
  </w:abstractNum>
  <w:abstractNum w:abstractNumId="9">
    <w:nsid w:val="10233C99"/>
    <w:multiLevelType w:val="hybridMultilevel"/>
    <w:lvl w:ilvl="0">
      <w:lvlJc w:val="left"/>
      <w:lvlText w:val="(%1)"/>
      <w:numFmt w:val="decimal"/>
      <w:start w:val="1"/>
    </w:lvl>
    <w:lvl w:ilvl="1">
      <w:lvlJc w:val="left"/>
      <w:lvlText w:val="%2"/>
      <w:numFmt w:val="lowerRoman"/>
      <w:start w:val="1"/>
    </w:lvl>
  </w:abstractNum>
  <w:abstractNum w:abstractNumId="10">
    <w:nsid w:val="3F6AB60F"/>
    <w:multiLevelType w:val="hybridMultilevel"/>
    <w:lvl w:ilvl="0">
      <w:lvlJc w:val="left"/>
      <w:lvlText w:val="(%1)"/>
      <w:numFmt w:val="lowerLetter"/>
      <w:start w:val="7"/>
    </w:lvl>
  </w:abstractNum>
  <w:abstractNum w:abstractNumId="11">
    <w:nsid w:val="61574095"/>
    <w:multiLevelType w:val="hybridMultilevel"/>
    <w:lvl w:ilvl="0">
      <w:lvlJc w:val="left"/>
      <w:lvlText w:val="(%1)"/>
      <w:numFmt w:val="lowerRoman"/>
      <w:start w:val="1"/>
    </w:lvl>
  </w:abstractNum>
  <w:abstractNum w:abstractNumId="12">
    <w:nsid w:val="7E0C57B1"/>
    <w:multiLevelType w:val="hybridMultilevel"/>
    <w:lvl w:ilvl="0">
      <w:lvlJc w:val="left"/>
      <w:lvlText w:val="(%1)"/>
      <w:numFmt w:val="lowerRoman"/>
      <w:start w:val="2"/>
    </w:lvl>
  </w:abstractNum>
  <w:abstractNum w:abstractNumId="13">
    <w:nsid w:val="77AE35EB"/>
    <w:multiLevelType w:val="hybridMultilevel"/>
    <w:lvl w:ilvl="0">
      <w:lvlJc w:val="left"/>
      <w:lvlText w:val="%1"/>
      <w:numFmt w:val="lowerLetter"/>
      <w:start w:val="1"/>
    </w:lvl>
    <w:lvl w:ilvl="1">
      <w:lvlJc w:val="left"/>
      <w:lvlText w:val="(%2)"/>
      <w:numFmt w:val="lowerLetter"/>
      <w:start w:val="61"/>
    </w:lvl>
  </w:abstractNum>
  <w:abstractNum w:abstractNumId="14">
    <w:nsid w:val="579BE4F1"/>
    <w:multiLevelType w:val="hybridMultilevel"/>
    <w:lvl w:ilvl="0">
      <w:lvlJc w:val="left"/>
      <w:lvlText w:val="(%1)"/>
      <w:numFmt w:val="lowerLetter"/>
      <w:start w:val="18"/>
    </w:lvl>
    <w:lvl w:ilvl="1">
      <w:lvlJc w:val="left"/>
      <w:lvlText w:val="%2"/>
      <w:numFmt w:val="lowerLetter"/>
      <w:start w:val="1"/>
    </w:lvl>
  </w:abstractNum>
  <w:abstractNum w:abstractNumId="15">
    <w:nsid w:val="310C50B3"/>
    <w:multiLevelType w:val="hybridMultilevel"/>
    <w:lvl w:ilvl="0">
      <w:lvlJc w:val="left"/>
      <w:lvlText w:val="(%1)"/>
      <w:numFmt w:val="lowerLetter"/>
      <w:start w:val="25"/>
    </w:lvl>
  </w:abstractNum>
  <w:abstractNum w:abstractNumId="16">
    <w:nsid w:val="5FF87E05"/>
    <w:multiLevelType w:val="hybridMultilevel"/>
    <w:lvl w:ilvl="0">
      <w:lvlJc w:val="left"/>
      <w:lvlText w:val="(%1)"/>
      <w:numFmt w:val="lowerLetter"/>
      <w:start w:val="27"/>
    </w:lvl>
  </w:abstractNum>
  <w:abstractNum w:abstractNumId="17">
    <w:nsid w:val="2F305DEF"/>
    <w:multiLevelType w:val="hybridMultilevel"/>
    <w:lvl w:ilvl="0">
      <w:lvlJc w:val="left"/>
      <w:lvlText w:val="%1"/>
      <w:numFmt w:val="decimal"/>
      <w:start w:val="1"/>
    </w:lvl>
    <w:lvl w:ilvl="1">
      <w:lvlJc w:val="left"/>
      <w:lvlText w:val="(%2)"/>
      <w:numFmt w:val="lowerLetter"/>
      <w:start w:val="40"/>
    </w:lvl>
  </w:abstractNum>
  <w:abstractNum w:abstractNumId="18">
    <w:nsid w:val="25A70BF7"/>
    <w:multiLevelType w:val="hybridMultilevel"/>
    <w:lvl w:ilvl="0">
      <w:lvlJc w:val="left"/>
      <w:lvlText w:val="%1."/>
      <w:numFmt w:val="decimal"/>
      <w:start w:val="3"/>
    </w:lvl>
    <w:lvl w:ilvl="1">
      <w:lvlJc w:val="left"/>
      <w:lvlText w:val="(%2)"/>
      <w:numFmt w:val="lowerLetter"/>
      <w:start w:val="1"/>
    </w:lvl>
  </w:abstractNum>
  <w:abstractNum w:abstractNumId="19">
    <w:nsid w:val="1DBABF00"/>
    <w:multiLevelType w:val="hybridMultilevel"/>
    <w:lvl w:ilvl="0">
      <w:lvlJc w:val="left"/>
      <w:lvlText w:val="(%1)"/>
      <w:numFmt w:val="lowerLetter"/>
      <w:start w:val="9"/>
    </w:lvl>
    <w:lvl w:ilvl="1">
      <w:lvlJc w:val="left"/>
      <w:lvlText w:val="(%2)"/>
      <w:numFmt w:val="lowerLetter"/>
      <w:start w:val="2"/>
    </w:lvl>
  </w:abstractNum>
  <w:abstractNum w:abstractNumId="20">
    <w:nsid w:val="4AD084E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1">
    <w:nsid w:val="1F48EAA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2">
    <w:nsid w:val="1381823A"/>
    <w:multiLevelType w:val="hybridMultilevel"/>
    <w:lvl w:ilvl="0">
      <w:lvlJc w:val="left"/>
      <w:lvlText w:val="(%1)"/>
      <w:numFmt w:val="lowerRoman"/>
      <w:start w:val="2"/>
    </w:lvl>
  </w:abstractNum>
  <w:abstractNum w:abstractNumId="23">
    <w:nsid w:val="5DB70AE5"/>
    <w:multiLevelType w:val="hybridMultilevel"/>
    <w:lvl w:ilvl="0">
      <w:lvlJc w:val="left"/>
      <w:lvlText w:val="%1"/>
      <w:numFmt w:val="lowerLetter"/>
      <w:start w:val="1"/>
    </w:lvl>
    <w:lvl w:ilvl="1">
      <w:lvlJc w:val="left"/>
      <w:lvlText w:val="(%2)"/>
      <w:numFmt w:val="lowerLetter"/>
      <w:start w:val="61"/>
    </w:lvl>
  </w:abstractNum>
  <w:abstractNum w:abstractNumId="24">
    <w:nsid w:val="100F8FCA"/>
    <w:multiLevelType w:val="hybridMultilevel"/>
    <w:lvl w:ilvl="0">
      <w:lvlJc w:val="left"/>
      <w:lvlText w:val="(%1)"/>
      <w:numFmt w:val="lowerLetter"/>
      <w:start w:val="2"/>
    </w:lvl>
    <w:lvl w:ilvl="1">
      <w:lvlJc w:val="left"/>
      <w:lvlText w:val="%2"/>
      <w:numFmt w:val="lowerLetter"/>
      <w:start w:val="1"/>
    </w:lvl>
  </w:abstractNum>
  <w:abstractNum w:abstractNumId="25">
    <w:nsid w:val="6590700B"/>
    <w:multiLevelType w:val="hybridMultilevel"/>
    <w:lvl w:ilvl="0">
      <w:lvlJc w:val="left"/>
      <w:lvlText w:val="(%1)"/>
      <w:numFmt w:val="lowerRoman"/>
      <w:start w:val="1"/>
    </w:lvl>
  </w:abstractNum>
  <w:abstractNum w:abstractNumId="26">
    <w:nsid w:val="15014ACB"/>
    <w:multiLevelType w:val="hybridMultilevel"/>
    <w:lvl w:ilvl="0">
      <w:lvlJc w:val="left"/>
      <w:lvlText w:val="(%1)"/>
      <w:numFmt w:val="lowerRoman"/>
      <w:start w:val="3"/>
    </w:lvl>
  </w:abstractNum>
  <w:abstractNum w:abstractNumId="27">
    <w:nsid w:val="5F5E7FD0"/>
    <w:multiLevelType w:val="hybridMultilevel"/>
    <w:lvl w:ilvl="0">
      <w:lvlJc w:val="left"/>
      <w:lvlText w:val="(%1)"/>
      <w:numFmt w:val="lowerRoman"/>
      <w:start w:val="4"/>
    </w:lvl>
  </w:abstractNum>
  <w:abstractNum w:abstractNumId="28">
    <w:nsid w:val="98A3148"/>
    <w:multiLevelType w:val="hybridMultilevel"/>
    <w:lvl w:ilvl="0">
      <w:lvlJc w:val="left"/>
      <w:lvlText w:val="(%1)"/>
      <w:numFmt w:val="lowerRoman"/>
      <w:start w:val="5"/>
    </w:lvl>
  </w:abstractNum>
  <w:abstractNum w:abstractNumId="29">
    <w:nsid w:val="799D0247"/>
    <w:multiLevelType w:val="hybridMultilevel"/>
    <w:lvl w:ilvl="0">
      <w:lvlJc w:val="left"/>
      <w:lvlText w:val="(%1)"/>
      <w:numFmt w:val="lowerRoman"/>
      <w:start w:val="6"/>
    </w:lvl>
  </w:abstractNum>
  <w:abstractNum w:abstractNumId="30">
    <w:nsid w:val="6B94764"/>
    <w:multiLevelType w:val="hybridMultilevel"/>
    <w:lvl w:ilvl="0">
      <w:lvlJc w:val="left"/>
      <w:lvlText w:val="(%1)"/>
      <w:numFmt w:val="lowerRoman"/>
      <w:start w:val="8"/>
    </w:lvl>
  </w:abstractNum>
  <w:abstractNum w:abstractNumId="31">
    <w:nsid w:val="42C296BD"/>
    <w:multiLevelType w:val="hybridMultilevel"/>
    <w:lvl w:ilvl="0">
      <w:lvlJc w:val="left"/>
      <w:lvlText w:val="(%1)"/>
      <w:numFmt w:val="lowerRoman"/>
      <w:start w:val="9"/>
    </w:lvl>
  </w:abstractNum>
  <w:abstractNum w:abstractNumId="32">
    <w:nsid w:val="168E121F"/>
    <w:multiLevelType w:val="hybridMultilevel"/>
    <w:lvl w:ilvl="0">
      <w:lvlJc w:val="left"/>
      <w:lvlText w:val="(%1)"/>
      <w:numFmt w:val="lowerRoman"/>
      <w:start w:val="10"/>
    </w:lvl>
  </w:abstractNum>
  <w:abstractNum w:abstractNumId="33">
    <w:nsid w:val="1EBA5D23"/>
    <w:multiLevelType w:val="hybridMultilevel"/>
    <w:lvl w:ilvl="0">
      <w:lvlJc w:val="left"/>
      <w:lvlText w:val="(%1)"/>
      <w:numFmt w:val="lowerRoman"/>
      <w:start w:val="11"/>
    </w:lvl>
  </w:abstractNum>
  <w:abstractNum w:abstractNumId="34">
    <w:nsid w:val="661E3F1E"/>
    <w:multiLevelType w:val="hybridMultilevel"/>
    <w:lvl w:ilvl="0">
      <w:lvlJc w:val="left"/>
      <w:lvlText w:val="(%1)"/>
      <w:numFmt w:val="lowerRoman"/>
      <w:start w:val="12"/>
    </w:lvl>
  </w:abstractNum>
  <w:abstractNum w:abstractNumId="35">
    <w:nsid w:val="5DC79EA8"/>
    <w:multiLevelType w:val="hybridMultilevel"/>
    <w:lvl w:ilvl="0">
      <w:lvlJc w:val="left"/>
      <w:lvlText w:val="%1"/>
      <w:numFmt w:val="lowerLetter"/>
      <w:start w:val="1"/>
    </w:lvl>
    <w:lvl w:ilvl="1">
      <w:lvlJc w:val="left"/>
      <w:lvlText w:val="(%2)"/>
      <w:numFmt w:val="lowerRoman"/>
      <w:start w:val="13"/>
    </w:lvl>
  </w:abstractNum>
  <w:abstractNum w:abstractNumId="36">
    <w:nsid w:val="540A471C"/>
    <w:multiLevelType w:val="hybridMultilevel"/>
    <w:lvl w:ilvl="0">
      <w:lvlJc w:val="left"/>
      <w:lvlText w:val="(%1)"/>
      <w:numFmt w:val="lowerLetter"/>
      <w:start w:val="3"/>
    </w:lvl>
    <w:lvl w:ilvl="1">
      <w:lvlJc w:val="left"/>
      <w:lvlText w:val="%2"/>
      <w:numFmt w:val="lowerRoman"/>
      <w:start w:val="1"/>
    </w:lvl>
  </w:abstractNum>
  <w:abstractNum w:abstractNumId="37">
    <w:nsid w:val="7BD3EE7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38">
    <w:nsid w:val="51D9C56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9">
    <w:nsid w:val="613EFDC5"/>
    <w:multiLevelType w:val="hybridMultilevel"/>
    <w:lvl w:ilvl="0">
      <w:lvlJc w:val="left"/>
      <w:lvlText w:val="(%1)"/>
      <w:numFmt w:val="lowerRoman"/>
      <w:start w:val="2"/>
    </w:lvl>
  </w:abstractNum>
  <w:abstractNum w:abstractNumId="40">
    <w:nsid w:val="BF72B14"/>
    <w:multiLevelType w:val="hybridMultilevel"/>
    <w:lvl w:ilvl="0">
      <w:lvlJc w:val="left"/>
      <w:lvlText w:val="(%1)"/>
      <w:numFmt w:val="lowerRoman"/>
      <w:start w:val="3"/>
    </w:lvl>
  </w:abstractNum>
  <w:abstractNum w:abstractNumId="41">
    <w:nsid w:val="11447B73"/>
    <w:multiLevelType w:val="hybridMultilevel"/>
    <w:lvl w:ilvl="0">
      <w:lvlJc w:val="left"/>
      <w:lvlText w:val="(%1)"/>
      <w:numFmt w:val="lowerLetter"/>
      <w:start w:val="6"/>
    </w:lvl>
    <w:lvl w:ilvl="1">
      <w:lvlJc w:val="left"/>
      <w:lvlText w:val="(%2)"/>
      <w:numFmt w:val="lowerLetter"/>
      <w:start w:val="9"/>
    </w:lvl>
  </w:abstractNum>
  <w:abstractNum w:abstractNumId="42">
    <w:nsid w:val="42963E5A"/>
    <w:multiLevelType w:val="hybridMultilevel"/>
    <w:lvl w:ilvl="0">
      <w:lvlJc w:val="left"/>
      <w:lvlText w:val="(%1)"/>
      <w:numFmt w:val="lowerRoman"/>
      <w:start w:val="1"/>
    </w:lvl>
  </w:abstractNum>
  <w:abstractNum w:abstractNumId="43">
    <w:nsid w:val="A0382C5"/>
    <w:multiLevelType w:val="hybridMultilevel"/>
    <w:lvl w:ilvl="0">
      <w:lvlJc w:val="left"/>
      <w:lvlText w:val="(%1)"/>
      <w:numFmt w:val="lowerRoman"/>
      <w:start w:val="2"/>
    </w:lvl>
  </w:abstractNum>
  <w:abstractNum w:abstractNumId="44">
    <w:nsid w:val="8F2B15E"/>
    <w:multiLevelType w:val="hybridMultilevel"/>
    <w:lvl w:ilvl="0">
      <w:lvlJc w:val="left"/>
      <w:lvlText w:val="(%1)"/>
      <w:numFmt w:val="lowerRoman"/>
      <w:start w:val="3"/>
    </w:lvl>
  </w:abstractNum>
  <w:abstractNum w:abstractNumId="45">
    <w:nsid w:val="1A32234B"/>
    <w:multiLevelType w:val="hybridMultilevel"/>
    <w:lvl w:ilvl="0">
      <w:lvlJc w:val="left"/>
      <w:lvlText w:val="(%1)"/>
      <w:numFmt w:val="lowerRoman"/>
      <w:start w:val="4"/>
    </w:lvl>
  </w:abstractNum>
  <w:abstractNum w:abstractNumId="46">
    <w:nsid w:val="3B0FD37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7">
    <w:nsid w:val="68EB2F63"/>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48">
    <w:nsid w:val="4962813B"/>
    <w:multiLevelType w:val="hybridMultilevel"/>
    <w:lvl w:ilvl="0">
      <w:lvlJc w:val="left"/>
      <w:lvlText w:val="%1"/>
      <w:numFmt w:val="decimal"/>
      <w:start w:val="1"/>
    </w:lvl>
    <w:lvl w:ilvl="1">
      <w:lvlJc w:val="left"/>
      <w:lvlText w:val="(%2)"/>
      <w:numFmt w:val="lowerLetter"/>
      <w:start w:val="2"/>
    </w:lvl>
  </w:abstractNum>
  <w:abstractNum w:abstractNumId="49">
    <w:nsid w:val="60B6DF70"/>
    <w:multiLevelType w:val="hybridMultilevel"/>
    <w:lvl w:ilvl="0">
      <w:lvlJc w:val="left"/>
      <w:lvlText w:val="%1."/>
      <w:numFmt w:val="decimal"/>
      <w:start w:val="8"/>
    </w:lvl>
    <w:lvl w:ilvl="1">
      <w:lvlJc w:val="left"/>
      <w:lvlText w:val="(%2)"/>
      <w:numFmt w:val="lowerLetter"/>
      <w:start w:val="1"/>
    </w:lvl>
  </w:abstractNum>
  <w:abstractNum w:abstractNumId="50">
    <w:nsid w:val="6A5EE64"/>
    <w:multiLevelType w:val="hybridMultilevel"/>
    <w:lvl w:ilvl="0">
      <w:lvlJc w:val="left"/>
      <w:lvlText w:val="%1"/>
      <w:numFmt w:val="decimal"/>
      <w:start w:val="1"/>
    </w:lvl>
    <w:lvl w:ilvl="1">
      <w:lvlJc w:val="left"/>
      <w:lvlText w:val="(%2)"/>
      <w:numFmt w:val="lowerLetter"/>
      <w:start w:val="5"/>
    </w:lvl>
  </w:abstractNum>
  <w:abstractNum w:abstractNumId="51">
    <w:nsid w:val="14330624"/>
    <w:multiLevelType w:val="hybridMultilevel"/>
    <w:lvl w:ilvl="0">
      <w:lvlJc w:val="left"/>
      <w:lvlText w:val="%1."/>
      <w:numFmt w:val="decimal"/>
      <w:start w:val="9"/>
    </w:lvl>
    <w:lvl w:ilvl="1">
      <w:lvlJc w:val="left"/>
      <w:lvlText w:val="(%2)"/>
      <w:numFmt w:val="lowerLetter"/>
      <w:start w:val="1"/>
    </w:lvl>
  </w:abstractNum>
  <w:abstractNum w:abstractNumId="52">
    <w:nsid w:val="7FFFCA11"/>
    <w:multiLevelType w:val="hybridMultilevel"/>
    <w:lvl w:ilvl="0">
      <w:lvlJc w:val="left"/>
      <w:lvlText w:val="(%1)"/>
      <w:numFmt w:val="lowerRoman"/>
      <w:start w:val="1"/>
    </w:lvl>
  </w:abstractNum>
  <w:abstractNum w:abstractNumId="53">
    <w:nsid w:val="1A27709E"/>
    <w:multiLevelType w:val="hybridMultilevel"/>
    <w:lvl w:ilvl="0">
      <w:lvlJc w:val="left"/>
      <w:lvlText w:val="(%1)"/>
      <w:numFmt w:val="lowerRoman"/>
      <w:start w:val="2"/>
    </w:lvl>
  </w:abstractNum>
  <w:abstractNum w:abstractNumId="54">
    <w:nsid w:val="71EA1109"/>
    <w:multiLevelType w:val="hybridMultilevel"/>
    <w:lvl w:ilvl="0">
      <w:lvlJc w:val="left"/>
      <w:lvlText w:val="%1."/>
      <w:numFmt w:val="decimal"/>
      <w:start w:val="10"/>
    </w:lvl>
    <w:lvl w:ilvl="1">
      <w:lvlJc w:val="left"/>
      <w:lvlText w:val="(%2)"/>
      <w:numFmt w:val="lowerLetter"/>
      <w:start w:val="1"/>
    </w:lvl>
  </w:abstractNum>
  <w:abstractNum w:abstractNumId="55">
    <w:nsid w:val="100F59DC"/>
    <w:multiLevelType w:val="hybridMultilevel"/>
    <w:lvl w:ilvl="0">
      <w:lvlJc w:val="left"/>
      <w:lvlText w:val="%1"/>
      <w:numFmt w:val="decimal"/>
      <w:start w:val="1"/>
    </w:lvl>
    <w:lvl w:ilvl="1">
      <w:lvlJc w:val="left"/>
      <w:lvlText w:val="(%2)"/>
      <w:numFmt w:val="lowerLetter"/>
      <w:start w:val="2"/>
    </w:lvl>
  </w:abstractNum>
  <w:abstractNum w:abstractNumId="56">
    <w:nsid w:val="7FB7E0AA"/>
    <w:multiLevelType w:val="hybridMultilevel"/>
    <w:lvl w:ilvl="0">
      <w:lvlJc w:val="left"/>
      <w:lvlText w:val="%1."/>
      <w:numFmt w:val="decimal"/>
      <w:start w:val="11"/>
    </w:lvl>
    <w:lvl w:ilvl="1">
      <w:lvlJc w:val="left"/>
      <w:lvlText w:val="%2"/>
      <w:numFmt w:val="lowerLetter"/>
      <w:start w:val="1"/>
    </w:lvl>
  </w:abstractNum>
  <w:abstractNum w:abstractNumId="57">
    <w:nsid w:val="6EB5BD4"/>
    <w:multiLevelType w:val="hybridMultilevel"/>
    <w:lvl w:ilvl="0">
      <w:lvlJc w:val="left"/>
      <w:lvlText w:val="%1."/>
      <w:numFmt w:val="decimal"/>
      <w:start w:val="12"/>
    </w:lvl>
    <w:lvl w:ilvl="1">
      <w:lvlJc w:val="left"/>
      <w:lvlText w:val="(%2)"/>
      <w:numFmt w:val="lowerLetter"/>
      <w:start w:val="1"/>
    </w:lvl>
  </w:abstractNum>
  <w:abstractNum w:abstractNumId="58">
    <w:nsid w:val="6F6DD9AC"/>
    <w:multiLevelType w:val="hybridMultilevel"/>
    <w:lvl w:ilvl="0">
      <w:lvlJc w:val="left"/>
      <w:lvlText w:val="(%1)"/>
      <w:numFmt w:val="upperLetter"/>
      <w:start w:val="2"/>
    </w:lvl>
  </w:abstractNum>
  <w:abstractNum w:abstractNumId="59">
    <w:nsid w:val="94211F2"/>
    <w:multiLevelType w:val="hybridMultilevel"/>
    <w:lvl w:ilvl="0">
      <w:lvlJc w:val="left"/>
      <w:lvlText w:val="%1"/>
      <w:numFmt w:val="decimal"/>
      <w:start w:val="1"/>
    </w:lvl>
    <w:lvl w:ilvl="1">
      <w:lvlJc w:val="left"/>
      <w:lvlText w:val="(%2)"/>
      <w:numFmt w:val="lowerLetter"/>
      <w:start w:val="4"/>
    </w:lvl>
  </w:abstractNum>
  <w:abstractNum w:abstractNumId="60">
    <w:nsid w:val="885E1B"/>
    <w:multiLevelType w:val="hybridMultilevel"/>
    <w:lvl w:ilvl="0">
      <w:lvlJc w:val="left"/>
      <w:lvlText w:val="%1."/>
      <w:numFmt w:val="decimal"/>
      <w:start w:val="15"/>
    </w:lvl>
    <w:lvl w:ilvl="1">
      <w:lvlJc w:val="left"/>
      <w:lvlText w:val="(%2)"/>
      <w:numFmt w:val="lowerLetter"/>
      <w:start w:val="1"/>
    </w:lvl>
  </w:abstractNum>
  <w:abstractNum w:abstractNumId="61">
    <w:nsid w:val="76272110"/>
    <w:multiLevelType w:val="hybridMultilevel"/>
    <w:lvl w:ilvl="0">
      <w:lvlJc w:val="left"/>
      <w:lvlText w:val="(%1)"/>
      <w:numFmt w:val="lowerLetter"/>
      <w:start w:val="3"/>
    </w:lvl>
  </w:abstractNum>
  <w:abstractNum w:abstractNumId="62">
    <w:nsid w:val="4C04A8AF"/>
    <w:multiLevelType w:val="hybridMultilevel"/>
    <w:lvl w:ilvl="0">
      <w:lvlJc w:val="left"/>
      <w:lvlText w:val="%1."/>
      <w:numFmt w:val="decimal"/>
      <w:start w:val="16"/>
    </w:lvl>
    <w:lvl w:ilvl="1">
      <w:lvlJc w:val="left"/>
      <w:lvlText w:val="(%2)"/>
      <w:numFmt w:val="lowerLetter"/>
      <w:start w:val="1"/>
    </w:lvl>
  </w:abstractNum>
  <w:abstractNum w:abstractNumId="63">
    <w:nsid w:val="1716703B"/>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64">
    <w:nsid w:val="14E17E33"/>
    <w:multiLevelType w:val="hybridMultilevel"/>
    <w:lvl w:ilvl="0">
      <w:lvlJc w:val="left"/>
      <w:lvlText w:val="%1."/>
      <w:numFmt w:val="decimal"/>
      <w:start w:val="1"/>
    </w:lvl>
    <w:lvl w:ilvl="1">
      <w:lvlJc w:val="left"/>
      <w:lvlText w:val="(%2)"/>
      <w:numFmt w:val="lowerLetter"/>
      <w:start w:val="1"/>
    </w:lvl>
  </w:abstractNum>
  <w:abstractNum w:abstractNumId="65">
    <w:nsid w:val="3222E7CD"/>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66">
    <w:nsid w:val="74DE0EE3"/>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67">
    <w:nsid w:val="68EBC550"/>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68">
    <w:nsid w:val="2DF6D648"/>
    <w:multiLevelType w:val="hybridMultilevel"/>
    <w:lvl w:ilvl="0">
      <w:lvlJc w:val="left"/>
      <w:lvlText w:val="%1."/>
      <w:numFmt w:val="decimal"/>
      <w:start w:val="7"/>
    </w:lvl>
    <w:lvl w:ilvl="1">
      <w:lvlJc w:val="left"/>
      <w:lvlText w:val="-"/>
      <w:numFmt w:val="bullet"/>
      <w:start w:val="1"/>
    </w:lvl>
  </w:abstractNum>
  <w:abstractNum w:abstractNumId="69">
    <w:nsid w:val="46B7D447"/>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70">
    <w:nsid w:val="4A2AC315"/>
    <w:multiLevelType w:val="hybridMultilevel"/>
    <w:lvl w:ilvl="0">
      <w:lvlJc w:val="left"/>
      <w:lvlText w:val="(%1)"/>
      <w:numFmt w:val="lowerLetter"/>
      <w:start w:val="10"/>
    </w:lvl>
    <w:lvl w:ilvl="1">
      <w:lvlJc w:val="left"/>
      <w:lvlText w:val="(%2)"/>
      <w:numFmt w:val="lowerLetter"/>
      <w:start w:val="9"/>
    </w:lvl>
  </w:abstractNum>
  <w:abstractNum w:abstractNumId="71">
    <w:nsid w:val="39EE015C"/>
    <w:multiLevelType w:val="hybridMultilevel"/>
    <w:lvl w:ilvl="0">
      <w:lvlJc w:val="left"/>
      <w:lvlText w:val="(%1)"/>
      <w:numFmt w:val="lowerRoman"/>
      <w:start w:val="2"/>
    </w:lvl>
  </w:abstractNum>
  <w:abstractNum w:abstractNumId="72">
    <w:nsid w:val="57FC4FBB"/>
    <w:multiLevelType w:val="hybridMultilevel"/>
    <w:lvl w:ilvl="0">
      <w:lvlJc w:val="left"/>
      <w:lvlText w:val="%1"/>
      <w:numFmt w:val="decimal"/>
      <w:start w:val="1"/>
    </w:lvl>
    <w:lvl w:ilvl="1">
      <w:lvlJc w:val="left"/>
      <w:lvlText w:val="(%2)"/>
      <w:numFmt w:val="lowerRoman"/>
      <w:start w:val="3"/>
    </w:lvl>
    <w:lvl w:ilvl="2">
      <w:lvlJc w:val="left"/>
      <w:lvlText w:val="-"/>
      <w:numFmt w:val="bullet"/>
      <w:start w:val="1"/>
    </w:lvl>
  </w:abstractNum>
  <w:abstractNum w:abstractNumId="73">
    <w:nsid w:val="CC1016F"/>
    <w:multiLevelType w:val="hybridMultilevel"/>
    <w:lvl w:ilvl="0">
      <w:lvlJc w:val="left"/>
      <w:lvlText w:val="%1."/>
      <w:numFmt w:val="decimal"/>
      <w:start w:val="13"/>
    </w:lvl>
    <w:lvl w:ilvl="1">
      <w:lvlJc w:val="left"/>
      <w:lvlText w:val="%2"/>
      <w:numFmt w:val="lowerRoman"/>
      <w:start w:val="1"/>
    </w:lvl>
    <w:lvl w:ilvl="2">
      <w:lvlJc w:val="left"/>
      <w:lvlText w:val="-"/>
      <w:numFmt w:val="bullet"/>
      <w:start w:val="1"/>
    </w:lvl>
  </w:abstractNum>
  <w:abstractNum w:abstractNumId="74">
    <w:nsid w:val="43F18422"/>
    <w:multiLevelType w:val="hybridMultilevel"/>
    <w:lvl w:ilvl="0">
      <w:lvlJc w:val="left"/>
      <w:lvlText w:val="%1."/>
      <w:numFmt w:val="decimal"/>
      <w:start w:val="14"/>
    </w:lvl>
  </w:abstractNum>
  <w:abstractNum w:abstractNumId="75">
    <w:nsid w:val="60EF0119"/>
    <w:multiLevelType w:val="hybridMultilevel"/>
    <w:lvl w:ilvl="0">
      <w:lvlJc w:val="left"/>
      <w:lvlText w:val="%1."/>
      <w:numFmt w:val="decimal"/>
      <w:start w:val="15"/>
    </w:lvl>
    <w:lvl w:ilvl="1">
      <w:lvlJc w:val="left"/>
      <w:lvlText w:val="-"/>
      <w:numFmt w:val="bullet"/>
      <w:start w:val="1"/>
    </w:lvl>
  </w:abstractNum>
  <w:abstractNum w:abstractNumId="76">
    <w:nsid w:val="26F324BA"/>
    <w:multiLevelType w:val="hybridMultilevel"/>
    <w:lvl w:ilvl="0">
      <w:lvlJc w:val="left"/>
      <w:lvlText w:val="%1."/>
      <w:numFmt w:val="decimal"/>
      <w:start w:val="20"/>
    </w:lvl>
    <w:lvl w:ilvl="1">
      <w:lvlJc w:val="left"/>
      <w:lvlText w:val="-"/>
      <w:numFmt w:val="bullet"/>
      <w:start w:val="1"/>
    </w:lvl>
  </w:abstractNum>
  <w:abstractNum w:abstractNumId="77">
    <w:nsid w:val="7F01579B"/>
    <w:multiLevelType w:val="hybridMultilevel"/>
    <w:lvl w:ilvl="0">
      <w:lvlJc w:val="left"/>
      <w:lvlText w:val="%1."/>
      <w:numFmt w:val="decimal"/>
      <w:start w:val="26"/>
    </w:lvl>
    <w:lvl w:ilvl="1">
      <w:lvlJc w:val="left"/>
      <w:lvlText w:val="*"/>
      <w:numFmt w:val="bullet"/>
      <w:start w:val="1"/>
    </w:lvl>
    <w:lvl w:ilvl="2">
      <w:lvlJc w:val="left"/>
      <w:lvlText w:val="-"/>
      <w:numFmt w:val="bullet"/>
      <w:start w:val="1"/>
    </w:lvl>
  </w:abstractNum>
  <w:abstractNum w:abstractNumId="78">
    <w:nsid w:val="49DA307D"/>
    <w:multiLevelType w:val="hybridMultilevel"/>
    <w:lvl w:ilvl="0">
      <w:lvlJc w:val="left"/>
      <w:lvlText w:val="%1."/>
      <w:numFmt w:val="decimal"/>
      <w:start w:val="1"/>
    </w:lvl>
  </w:abstractNum>
  <w:abstractNum w:abstractNumId="79">
    <w:nsid w:val="7055A5F5"/>
    <w:multiLevelType w:val="hybridMultilevel"/>
    <w:lvl w:ilvl="0">
      <w:lvlJc w:val="left"/>
      <w:lvlText w:val="%1."/>
      <w:numFmt w:val="decimal"/>
      <w:start w:val="6"/>
    </w:lvl>
  </w:abstractNum>
  <w:abstractNum w:abstractNumId="80">
    <w:nsid w:val="5FB8370B"/>
    <w:multiLevelType w:val="hybridMultilevel"/>
    <w:lvl w:ilvl="0">
      <w:lvlJc w:val="left"/>
      <w:lvlText w:val="1"/>
      <w:numFmt w:val="bullet"/>
      <w:start w:val="1"/>
    </w:lvl>
    <w:lvl w:ilvl="1">
      <w:lvlJc w:val="left"/>
      <w:lvlText w:val="-"/>
      <w:numFmt w:val="bullet"/>
      <w:start w:val="1"/>
    </w:lvl>
  </w:abstractNum>
  <w:abstractNum w:abstractNumId="81">
    <w:nsid w:val="50801EE1"/>
    <w:multiLevelType w:val="hybridMultilevel"/>
    <w:lvl w:ilvl="0">
      <w:lvlJc w:val="left"/>
      <w:lvlText w:val="(%1)"/>
      <w:numFmt w:val="decimal"/>
      <w:start w:val="4"/>
    </w:lvl>
  </w:abstractNum>
  <w:abstractNum w:abstractNumId="82">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3">
    <w:nsid w:val="5FB801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84">
    <w:nsid w:val="6AA78F7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85">
    <w:nsid w:val="7672BD23"/>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86">
    <w:nsid w:val="6FC75A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87">
    <w:nsid w:val="6A5F7029"/>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88">
    <w:nsid w:val="7D5E18F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89">
    <w:nsid w:val="5F3534A4"/>
    <w:multiLevelType w:val="hybridMultilevel"/>
    <w:lvl w:ilvl="0">
      <w:lvlJc w:val="left"/>
      <w:lvlText w:val="%1"/>
      <w:numFmt w:val="decimal"/>
      <w:start w:val="1"/>
    </w:lvl>
    <w:lvl w:ilvl="1">
      <w:lvlJc w:val="left"/>
      <w:lvlText w:val="(%2)"/>
      <w:numFmt w:val="lowerLetter"/>
      <w:start w:val="3"/>
    </w:lvl>
  </w:abstractNum>
  <w:abstractNum w:abstractNumId="90">
    <w:nsid w:val="73A1821B"/>
    <w:multiLevelType w:val="hybridMultilevel"/>
    <w:lvl w:ilvl="0">
      <w:lvlJc w:val="left"/>
      <w:lvlText w:val="%1."/>
      <w:numFmt w:val="decimal"/>
      <w:start w:val="8"/>
    </w:lvl>
    <w:lvl w:ilvl="1">
      <w:lvlJc w:val="left"/>
      <w:lvlText w:val="%2"/>
      <w:numFmt w:val="lowerLetter"/>
      <w:start w:val="1"/>
    </w:lvl>
  </w:abstractNum>
  <w:abstractNum w:abstractNumId="91">
    <w:nsid w:val="7DE67713"/>
    <w:multiLevelType w:val="hybridMultilevel"/>
    <w:lvl w:ilvl="0">
      <w:lvlJc w:val="left"/>
      <w:lvlText w:val="%1."/>
      <w:numFmt w:val="decimal"/>
      <w:start w:val="10"/>
    </w:lvl>
  </w:abstractNum>
  <w:abstractNum w:abstractNumId="92">
    <w:nsid w:val="555C55B5"/>
    <w:multiLevelType w:val="hybridMultilevel"/>
    <w:lvl w:ilvl="0">
      <w:lvlJc w:val="left"/>
      <w:lvlText w:val="(%1)"/>
      <w:numFmt w:val="lowerLetter"/>
      <w:start w:val="1"/>
    </w:lvl>
  </w:abstractNum>
  <w:abstractNum w:abstractNumId="93">
    <w:nsid w:val="3FA62ACA"/>
    <w:multiLevelType w:val="hybridMultilevel"/>
    <w:lvl w:ilvl="0">
      <w:lvlJc w:val="left"/>
      <w:lvlText w:val="(%1)"/>
      <w:numFmt w:val="lowerRoman"/>
      <w:start w:val="1"/>
    </w:lvl>
  </w:abstractNum>
  <w:abstractNum w:abstractNumId="94">
    <w:nsid w:val="14FCE74E"/>
    <w:multiLevelType w:val="hybridMultilevel"/>
    <w:lvl w:ilvl="0">
      <w:lvlJc w:val="left"/>
      <w:lvlText w:val="%1."/>
      <w:numFmt w:val="decimal"/>
      <w:start w:val="14"/>
    </w:lvl>
  </w:abstractNum>
  <w:abstractNum w:abstractNumId="95">
    <w:nsid w:val="6A3DD3E8"/>
    <w:multiLevelType w:val="hybridMultilevel"/>
    <w:lvl w:ilvl="0">
      <w:lvlJc w:val="left"/>
      <w:lvlText w:val="%1."/>
      <w:numFmt w:val="decimal"/>
      <w:start w:val="15"/>
    </w:lvl>
  </w:abstractNum>
  <w:abstractNum w:abstractNumId="96">
    <w:nsid w:val="71C91298"/>
    <w:multiLevelType w:val="hybridMultilevel"/>
    <w:lvl w:ilvl="0">
      <w:lvlJc w:val="left"/>
      <w:lvlText w:val="%1."/>
      <w:numFmt w:val="decimal"/>
      <w:start w:val="16"/>
    </w:lvl>
  </w:abstractNum>
  <w:abstractNum w:abstractNumId="97">
    <w:nsid w:val="9DAF632"/>
    <w:multiLevelType w:val="hybridMultilevel"/>
    <w:lvl w:ilvl="0">
      <w:lvlJc w:val="left"/>
      <w:lvlText w:val="%1."/>
      <w:numFmt w:val="decimal"/>
      <w:start w:val="20"/>
    </w:lvl>
  </w:abstractNum>
  <w:abstractNum w:abstractNumId="98">
    <w:nsid w:val="53299938"/>
    <w:multiLevelType w:val="hybridMultilevel"/>
    <w:lvl w:ilvl="0">
      <w:lvlJc w:val="left"/>
      <w:lvlText w:val="%1."/>
      <w:numFmt w:val="decimal"/>
      <w:start w:val="26"/>
    </w:lvl>
    <w:lvl w:ilvl="1">
      <w:lvlJc w:val="left"/>
      <w:lvlText w:val="*"/>
      <w:numFmt w:val="bullet"/>
      <w:start w:val="1"/>
    </w:lvl>
  </w:abstractNum>
  <w:abstractNum w:abstractNumId="99">
    <w:nsid w:val="1FBFE8E0"/>
    <w:multiLevelType w:val="hybridMultilevel"/>
    <w:lvl w:ilvl="0">
      <w:lvlJc w:val="left"/>
      <w:lvlText w:val="à"/>
      <w:numFmt w:val="bullet"/>
      <w:start w:val="1"/>
    </w:lvl>
  </w:abstractNum>
  <w:abstractNum w:abstractNumId="100">
    <w:nsid w:val="5092CA79"/>
    <w:multiLevelType w:val="hybridMultilevel"/>
    <w:lvl w:ilvl="0">
      <w:lvlJc w:val="left"/>
      <w:lvlText w:val="1"/>
      <w:numFmt w:val="bullet"/>
      <w:start w:val="1"/>
    </w:lvl>
  </w:abstractNum>
  <w:abstractNum w:abstractNumId="101">
    <w:nsid w:val="1D545C4D"/>
    <w:multiLevelType w:val="hybridMultilevel"/>
    <w:lvl w:ilvl="0">
      <w:lvlJc w:val="left"/>
      <w:lvlText w:val="(%1)"/>
      <w:numFmt w:val="lowerRoman"/>
      <w:start w:val="3"/>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lowerLetter"/>
      <w:start w:val="1"/>
    </w:lvl>
  </w:abstractNum>
  <w:abstractNum w:abstractNumId="104">
    <w:nsid w:val="2A155DBC"/>
    <w:multiLevelType w:val="hybridMultilevel"/>
    <w:lvl w:ilvl="0">
      <w:lvlJc w:val="left"/>
      <w:lvlText w:val="%1."/>
      <w:numFmt w:val="decimal"/>
      <w:start w:val="5"/>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1."/>
      <w:numFmt w:val="decimal"/>
      <w:start w:val="1"/>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decimal"/>
      <w:start w:val="5"/>
    </w:lvl>
  </w:abstractNum>
  <w:abstractNum w:abstractNumId="109">
    <w:nsid w:val="53584BCB"/>
    <w:multiLevelType w:val="hybridMultilevel"/>
    <w:lvl w:ilvl="0">
      <w:lvlJc w:val="left"/>
      <w:lvlText w:val="%1)"/>
      <w:numFmt w:val="lowerLetter"/>
      <w:start w:val="1"/>
    </w:lvl>
  </w:abstractNum>
  <w:abstractNum w:abstractNumId="110">
    <w:nsid w:val="415E286C"/>
    <w:multiLevelType w:val="hybridMultilevel"/>
    <w:lvl w:ilvl="0">
      <w:lvlJc w:val="left"/>
      <w:lvlText w:val="(%1)"/>
      <w:numFmt w:val="lowerRoman"/>
      <w:start w:val="1"/>
    </w:lvl>
  </w:abstractNum>
  <w:abstractNum w:abstractNumId="111">
    <w:nsid w:val="7C58FD0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07" Type="http://schemas.openxmlformats.org/officeDocument/2006/relationships/hyperlink" Target="http://www.sec.gov/Archives/edgar/data/0001299130/000129913021000049/pacb-20210216xex4_1.htm" TargetMode="External"/><Relationship Id="rId108" Type="http://schemas.openxmlformats.org/officeDocument/2006/relationships/hyperlink" Target="http://www.sec.gov/Archives/edgar/data/1299130/000129913021000049/pacb-20210216xex4_1.htm" TargetMode="External"/><Relationship Id="rId109" Type="http://schemas.openxmlformats.org/officeDocument/2006/relationships/hyperlink" Target="http://www.sec.gov/Archives/edgar/data/0001299130/000119312521219136/d198514dex101.htm" TargetMode="External"/><Relationship Id="rId110" Type="http://schemas.openxmlformats.org/officeDocument/2006/relationships/hyperlink" Target="http://www.sec.gov/Archives/edgar/data/0001299130/000119312521219136/d198514dex102.htm" TargetMode="External"/><Relationship Id="rId111" Type="http://schemas.openxmlformats.org/officeDocument/2006/relationships/hyperlink" Target="http://www.sec.gov/Archives/edgar/data/0001299130/000119312521219136/d19851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2021-11-05T05:37:11Z</dcterms:created>
  <dcterms:modified xsi:type="dcterms:W3CDTF">2021-11-05T05:37:11Z</dcterms:modified>
</cp:coreProperties>
</file>