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105410</wp:posOffset>
            </wp:positionV>
            <wp:extent cx="226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3660" w:right="1660" w:hanging="3652"/>
        <w:spacing w:after="0" w:line="415" w:lineRule="auto"/>
        <w:tabs>
          <w:tab w:leader="none" w:pos="45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317"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120015</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Pacific Biosciences of California,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107315</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7"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Pr>
          <w:p>
            <w:pPr>
              <w:jc w:val="center"/>
              <w:ind w:left="1708"/>
              <w:spacing w:after="0"/>
              <w:rPr>
                <w:sz w:val="20"/>
                <w:szCs w:val="20"/>
                <w:color w:val="auto"/>
              </w:rPr>
            </w:pPr>
            <w:r>
              <w:rPr>
                <w:rFonts w:ascii="Arial" w:cs="Arial" w:eastAsia="Arial" w:hAnsi="Arial"/>
                <w:sz w:val="14"/>
                <w:szCs w:val="14"/>
                <w:b w:val="1"/>
                <w:bCs w:val="1"/>
                <w:color w:val="auto"/>
                <w:w w:val="94"/>
              </w:rPr>
              <w:t>Delaware</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408"/>
              <w:spacing w:after="0"/>
              <w:rPr>
                <w:sz w:val="20"/>
                <w:szCs w:val="20"/>
                <w:color w:val="auto"/>
              </w:rPr>
            </w:pPr>
            <w:r>
              <w:rPr>
                <w:rFonts w:ascii="Arial" w:cs="Arial" w:eastAsia="Arial" w:hAnsi="Arial"/>
                <w:sz w:val="14"/>
                <w:szCs w:val="14"/>
                <w:b w:val="1"/>
                <w:bCs w:val="1"/>
                <w:color w:val="auto"/>
              </w:rPr>
              <w:t>16-1590339</w:t>
            </w:r>
          </w:p>
        </w:tc>
      </w:tr>
      <w:tr>
        <w:trPr>
          <w:trHeight w:val="148"/>
        </w:trPr>
        <w:tc>
          <w:tcPr>
            <w:tcW w:w="3840" w:type="dxa"/>
            <w:vAlign w:val="bottom"/>
          </w:tcPr>
          <w:p>
            <w:pPr>
              <w:jc w:val="center"/>
              <w:ind w:left="17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Pr>
          <w:p>
            <w:pPr>
              <w:jc w:val="center"/>
              <w:ind w:right="1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4"/>
              </w:rPr>
              <w:t>incorporation or organization)</w:t>
            </w:r>
          </w:p>
        </w:tc>
        <w:tc>
          <w:tcPr>
            <w:tcW w:w="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6"/>
              </w:rPr>
              <w:t>1305 O’Brien Drive</w:t>
            </w:r>
          </w:p>
        </w:tc>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62"/>
        </w:trPr>
        <w:tc>
          <w:tcPr>
            <w:tcW w:w="3840" w:type="dxa"/>
            <w:vAlign w:val="bottom"/>
          </w:tcPr>
          <w:p>
            <w:pPr>
              <w:jc w:val="center"/>
              <w:ind w:left="1728"/>
              <w:spacing w:after="0"/>
              <w:rPr>
                <w:sz w:val="20"/>
                <w:szCs w:val="20"/>
                <w:color w:val="auto"/>
              </w:rPr>
            </w:pPr>
            <w:r>
              <w:rPr>
                <w:rFonts w:ascii="Arial" w:cs="Arial" w:eastAsia="Arial" w:hAnsi="Arial"/>
                <w:sz w:val="14"/>
                <w:szCs w:val="14"/>
                <w:b w:val="1"/>
                <w:bCs w:val="1"/>
                <w:color w:val="auto"/>
                <w:w w:val="97"/>
              </w:rPr>
              <w:t>Menlo Park, CA</w:t>
            </w:r>
          </w:p>
        </w:tc>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jc w:val="right"/>
              <w:ind w:right="2568"/>
              <w:spacing w:after="0"/>
              <w:rPr>
                <w:sz w:val="20"/>
                <w:szCs w:val="20"/>
                <w:color w:val="auto"/>
              </w:rPr>
            </w:pPr>
            <w:r>
              <w:rPr>
                <w:rFonts w:ascii="Arial" w:cs="Arial" w:eastAsia="Arial" w:hAnsi="Arial"/>
                <w:sz w:val="14"/>
                <w:szCs w:val="14"/>
                <w:b w:val="1"/>
                <w:bCs w:val="1"/>
                <w:color w:val="auto"/>
              </w:rPr>
              <w:t>94025</w:t>
            </w:r>
          </w:p>
        </w:tc>
      </w:tr>
      <w:tr>
        <w:trPr>
          <w:trHeight w:val="186"/>
        </w:trPr>
        <w:tc>
          <w:tcPr>
            <w:tcW w:w="7400" w:type="dxa"/>
            <w:vAlign w:val="bottom"/>
            <w:gridSpan w:val="4"/>
          </w:tcPr>
          <w:p>
            <w:pPr>
              <w:jc w:val="center"/>
              <w:ind w:right="1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40" w:type="dxa"/>
            <w:vAlign w:val="bottom"/>
          </w:tcPr>
          <w:p>
            <w:pPr>
              <w:spacing w:after="0"/>
              <w:rPr>
                <w:sz w:val="23"/>
                <w:szCs w:val="23"/>
                <w:color w:val="auto"/>
              </w:rPr>
            </w:pPr>
          </w:p>
        </w:tc>
        <w:tc>
          <w:tcPr>
            <w:tcW w:w="320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(650) 521-8000</w:t>
            </w:r>
          </w:p>
        </w:tc>
        <w:tc>
          <w:tcPr>
            <w:tcW w:w="360" w:type="dxa"/>
            <w:vAlign w:val="bottom"/>
          </w:tcPr>
          <w:p>
            <w:pPr>
              <w:spacing w:after="0"/>
              <w:rPr>
                <w:sz w:val="23"/>
                <w:szCs w:val="23"/>
                <w:color w:val="auto"/>
              </w:rPr>
            </w:pPr>
          </w:p>
        </w:tc>
        <w:tc>
          <w:tcPr>
            <w:tcW w:w="3860" w:type="dxa"/>
            <w:vAlign w:val="bottom"/>
          </w:tcPr>
          <w:p>
            <w:pPr>
              <w:spacing w:after="0"/>
              <w:rPr>
                <w:sz w:val="23"/>
                <w:szCs w:val="23"/>
                <w:color w:val="auto"/>
              </w:rPr>
            </w:pPr>
          </w:p>
        </w:tc>
      </w:tr>
      <w:tr>
        <w:trPr>
          <w:trHeight w:val="186"/>
        </w:trPr>
        <w:tc>
          <w:tcPr>
            <w:tcW w:w="3840" w:type="dxa"/>
            <w:vAlign w:val="bottom"/>
          </w:tcPr>
          <w:p>
            <w:pPr>
              <w:spacing w:after="0"/>
              <w:rPr>
                <w:sz w:val="16"/>
                <w:szCs w:val="16"/>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60" w:type="dxa"/>
            <w:vAlign w:val="bottom"/>
          </w:tcPr>
          <w:p>
            <w:pPr>
              <w:spacing w:after="0"/>
              <w:rPr>
                <w:sz w:val="16"/>
                <w:szCs w:val="16"/>
                <w:color w:val="auto"/>
              </w:rPr>
            </w:pPr>
          </w:p>
        </w:tc>
      </w:tr>
      <w:tr>
        <w:trPr>
          <w:trHeight w:val="147"/>
        </w:trPr>
        <w:tc>
          <w:tcPr>
            <w:tcW w:w="38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60" w:type="dxa"/>
            <w:vAlign w:val="bottom"/>
          </w:tcPr>
          <w:p>
            <w:pPr>
              <w:spacing w:after="0"/>
              <w:rPr>
                <w:sz w:val="12"/>
                <w:szCs w:val="12"/>
                <w:color w:val="auto"/>
              </w:rPr>
            </w:pPr>
          </w:p>
        </w:tc>
      </w:tr>
      <w:tr>
        <w:trPr>
          <w:trHeight w:val="265"/>
        </w:trPr>
        <w:tc>
          <w:tcPr>
            <w:tcW w:w="3840" w:type="dxa"/>
            <w:vAlign w:val="bottom"/>
          </w:tcPr>
          <w:p>
            <w:pPr>
              <w:spacing w:after="0"/>
              <w:rPr>
                <w:sz w:val="23"/>
                <w:szCs w:val="23"/>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60" w:type="dxa"/>
            <w:vAlign w:val="bottom"/>
          </w:tcPr>
          <w:p>
            <w:pPr>
              <w:spacing w:after="0"/>
              <w:rPr>
                <w:sz w:val="23"/>
                <w:szCs w:val="23"/>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r>
      <w:tr>
        <w:trPr>
          <w:trHeight w:val="179"/>
        </w:trPr>
        <w:tc>
          <w:tcPr>
            <w:tcW w:w="384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Title of each class</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3840" w:type="dxa"/>
            <w:vAlign w:val="bottom"/>
            <w:tcBorders>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Common Stock, par value $0.001 per share</w:t>
            </w:r>
          </w:p>
        </w:tc>
        <w:tc>
          <w:tcPr>
            <w:tcW w:w="420" w:type="dxa"/>
            <w:vAlign w:val="bottom"/>
            <w:tcBorders>
              <w:bottom w:val="single" w:sz="8" w:color="auto"/>
              <w:right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PACB</w:t>
            </w:r>
          </w:p>
        </w:tc>
        <w:tc>
          <w:tcPr>
            <w:tcW w:w="36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308"/>
              <w:spacing w:after="0"/>
              <w:rPr>
                <w:sz w:val="20"/>
                <w:szCs w:val="20"/>
                <w:color w:val="auto"/>
              </w:rPr>
            </w:pPr>
            <w:r>
              <w:rPr>
                <w:rFonts w:ascii="Arial" w:cs="Arial" w:eastAsia="Arial" w:hAnsi="Arial"/>
                <w:sz w:val="14"/>
                <w:szCs w:val="14"/>
                <w:color w:val="auto"/>
                <w:w w:val="98"/>
              </w:rPr>
              <w:t>The NASDAQ Stock Market LLC</w:t>
            </w:r>
          </w:p>
        </w:tc>
      </w:tr>
    </w:tbl>
    <w:p>
      <w:pPr>
        <w:spacing w:after="0" w:line="292" w:lineRule="exact"/>
        <w:rPr>
          <w:sz w:val="24"/>
          <w:szCs w:val="24"/>
          <w:color w:val="auto"/>
        </w:rPr>
      </w:pPr>
    </w:p>
    <w:p>
      <w:pPr>
        <w:ind w:right="200" w:firstLine="4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8" w:lineRule="exact"/>
        <w:rPr>
          <w:sz w:val="24"/>
          <w:szCs w:val="24"/>
          <w:color w:val="auto"/>
        </w:rPr>
      </w:pPr>
    </w:p>
    <w:p>
      <w:pPr>
        <w:ind w:right="180" w:firstLine="4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120" w:lineRule="exact"/>
        <w:rPr>
          <w:sz w:val="24"/>
          <w:szCs w:val="24"/>
          <w:color w:val="auto"/>
        </w:rPr>
      </w:pPr>
    </w:p>
    <w:p>
      <w:pPr>
        <w:ind w:right="4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2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T</w:t>
            </w:r>
          </w:p>
        </w:tc>
        <w:tc>
          <w:tcPr>
            <w:tcW w:w="482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378"/>
        </w:trPr>
        <w:tc>
          <w:tcPr>
            <w:tcW w:w="2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100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3140" w:type="dxa"/>
            <w:vAlign w:val="bottom"/>
          </w:tcPr>
          <w:p>
            <w:pPr>
              <w:ind w:left="620"/>
              <w:spacing w:after="0"/>
              <w:rPr>
                <w:sz w:val="20"/>
                <w:szCs w:val="20"/>
                <w:color w:val="auto"/>
              </w:rPr>
            </w:pPr>
            <w:r>
              <w:rPr>
                <w:rFonts w:ascii="Arial" w:cs="Arial" w:eastAsia="Arial" w:hAnsi="Arial"/>
                <w:sz w:val="14"/>
                <w:szCs w:val="14"/>
                <w:color w:val="auto"/>
              </w:rPr>
              <w:t>o</w:t>
            </w:r>
          </w:p>
        </w:tc>
        <w:tc>
          <w:tcPr>
            <w:tcW w:w="48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586"/>
        </w:trPr>
        <w:tc>
          <w:tcPr>
            <w:tcW w:w="22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firstLine="4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0"/>
          <w:szCs w:val="20"/>
          <w:color w:val="auto"/>
        </w:rPr>
      </w:pPr>
    </w:p>
    <w:p>
      <w:pPr>
        <w:ind w:left="440" w:right="3120"/>
        <w:spacing w:after="0" w:line="494"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T Number of shares outstanding of the issuer’s common stock as of October 31, 2020: 180,212,604.</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0320" w:type="dxa"/>
            <w:vAlign w:val="bottom"/>
            <w:gridSpan w:val="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7"/>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gridSpan w:val="3"/>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412"/>
        </w:trPr>
        <w:tc>
          <w:tcPr>
            <w:tcW w:w="10320" w:type="dxa"/>
            <w:vAlign w:val="bottom"/>
            <w:gridSpan w:val="5"/>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 Financial Statements (unaudited):</w:t>
              </w:r>
            </w:hyperlink>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as of S</w:t>
              </w:r>
              <w:r>
                <w:rPr>
                  <w:rFonts w:ascii="Arial" w:cs="Arial" w:eastAsia="Arial" w:hAnsi="Arial"/>
                  <w:sz w:val="19"/>
                  <w:szCs w:val="19"/>
                  <w:u w:val="single" w:color="auto"/>
                  <w:color w:val="0000FF"/>
                </w:rPr>
                <w:t>eptember</w:t>
              </w:r>
              <w:r>
                <w:rPr>
                  <w:rFonts w:ascii="Arial" w:cs="Arial" w:eastAsia="Arial" w:hAnsi="Arial"/>
                  <w:sz w:val="18"/>
                  <w:szCs w:val="18"/>
                  <w:u w:val="single" w:color="auto"/>
                  <w:color w:val="0000FF"/>
                </w:rPr>
                <w:t xml:space="preserve"> 30, 2020 and December 31,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5"/>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Operations and Comprehensive Loss for the Three and N</w:t>
              </w:r>
              <w:r>
                <w:rPr>
                  <w:rFonts w:ascii="Arial" w:cs="Arial" w:eastAsia="Arial" w:hAnsi="Arial"/>
                  <w:sz w:val="19"/>
                  <w:szCs w:val="19"/>
                  <w:color w:val="0000FF"/>
                  <w:w w:val="93"/>
                </w:rPr>
                <w:t>ine</w:t>
              </w:r>
              <w:r>
                <w:rPr>
                  <w:rFonts w:ascii="Arial" w:cs="Arial" w:eastAsia="Arial" w:hAnsi="Arial"/>
                  <w:sz w:val="18"/>
                  <w:szCs w:val="18"/>
                  <w:color w:val="0000FF"/>
                  <w:w w:val="93"/>
                </w:rPr>
                <w:t>Months Ended S</w:t>
              </w:r>
              <w:r>
                <w:rPr>
                  <w:rFonts w:ascii="Arial" w:cs="Arial" w:eastAsia="Arial" w:hAnsi="Arial"/>
                  <w:sz w:val="19"/>
                  <w:szCs w:val="19"/>
                  <w:color w:val="0000FF"/>
                  <w:w w:val="93"/>
                </w:rPr>
                <w:t>eptember</w:t>
              </w:r>
              <w:r>
                <w:rPr>
                  <w:rFonts w:ascii="Arial" w:cs="Arial" w:eastAsia="Arial" w:hAnsi="Arial"/>
                  <w:sz w:val="18"/>
                  <w:szCs w:val="18"/>
                  <w:color w:val="0000FF"/>
                  <w:w w:val="93"/>
                </w:rPr>
                <w:t xml:space="preserve"> 30,</w:t>
              </w:r>
            </w:hyperlink>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0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2020 and 2019</w:t>
              </w:r>
            </w:hyperlink>
          </w:p>
        </w:tc>
        <w:tc>
          <w:tcPr>
            <w:tcW w:w="8140" w:type="dxa"/>
            <w:vAlign w:val="bottom"/>
            <w:tcBorders>
              <w:top w:val="single" w:sz="8" w:color="0000FF"/>
              <w:bottom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28"/>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w w:val="94"/>
              </w:rPr>
            </w:pPr>
            <w:hyperlink w:anchor="page6">
              <w:r>
                <w:rPr>
                  <w:rFonts w:ascii="Arial" w:cs="Arial" w:eastAsia="Arial" w:hAnsi="Arial"/>
                  <w:sz w:val="18"/>
                  <w:szCs w:val="18"/>
                  <w:u w:val="single" w:color="auto"/>
                  <w:color w:val="0000FF"/>
                  <w:w w:val="94"/>
                </w:rPr>
                <w:t>Condensed Consolidated Statements of Stockholders’ Equity for the Three and Nine Months Ended September 30, 2020 and 2019</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53"/>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NineMonths Ended September 30, 2020 and 2019</w:t>
              </w:r>
            </w:hyperlink>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 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rPr>
              <w:t>PART II. OTHER INFORMATION</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320" w:type="dxa"/>
            <w:vAlign w:val="bottom"/>
            <w:gridSpan w:val="5"/>
          </w:tcPr>
          <w:p>
            <w:pPr>
              <w:ind w:left="1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 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1A. 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2. 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3. Default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4. 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5.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320" w:type="dxa"/>
            <w:vAlign w:val="bottom"/>
            <w:gridSpan w:val="5"/>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 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9640" w:type="dxa"/>
            <w:vAlign w:val="bottom"/>
            <w:gridSpan w:val="3"/>
          </w:tcPr>
          <w:p>
            <w:pPr>
              <w:ind w:left="55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6"/>
                <w:szCs w:val="16"/>
                <w:color w:val="auto"/>
              </w:rPr>
            </w:pPr>
          </w:p>
        </w:tc>
        <w:tc>
          <w:tcPr>
            <w:tcW w:w="1760" w:type="dxa"/>
            <w:vAlign w:val="bottom"/>
          </w:tcPr>
          <w:p>
            <w:pPr>
              <w:jc w:val="right"/>
              <w:ind w:right="5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9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69,028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139,522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15,940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13,312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3,212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196"/>
        </w:trPr>
        <w:tc>
          <w:tcPr>
            <w:tcW w:w="5740" w:type="dxa"/>
            <w:vAlign w:val="bottom"/>
          </w:tcPr>
          <w:p>
            <w:pPr>
              <w:ind w:left="880"/>
              <w:spacing w:after="0" w:line="196" w:lineRule="exact"/>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239,508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jc w:val="right"/>
              <w:ind w:right="71"/>
              <w:spacing w:after="0" w:line="196" w:lineRule="exact"/>
              <w:rPr>
                <w:sz w:val="20"/>
                <w:szCs w:val="20"/>
                <w:color w:val="auto"/>
              </w:rPr>
            </w:pPr>
            <w:r>
              <w:rPr>
                <w:rFonts w:ascii="Arial" w:cs="Arial" w:eastAsia="Arial" w:hAnsi="Arial"/>
                <w:sz w:val="18"/>
                <w:szCs w:val="18"/>
                <w:color w:val="auto"/>
              </w:rPr>
              <w:t>81,046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26,568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30,070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30,700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32,827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CEEFF"/>
            </w:tcBorders>
            <w:shd w:val="clear" w:color="auto" w:fill="CCEEFF"/>
          </w:tcPr>
          <w:p>
            <w:pPr>
              <w:ind w:left="880"/>
              <w:spacing w:after="0" w:line="182" w:lineRule="exact"/>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ind w:right="91"/>
              <w:spacing w:after="0" w:line="182" w:lineRule="exact"/>
              <w:rPr>
                <w:sz w:val="20"/>
                <w:szCs w:val="20"/>
                <w:color w:val="auto"/>
              </w:rPr>
            </w:pPr>
            <w:r>
              <w:rPr>
                <w:rFonts w:ascii="Arial" w:cs="Arial" w:eastAsia="Arial" w:hAnsi="Arial"/>
                <w:sz w:val="18"/>
                <w:szCs w:val="18"/>
                <w:color w:val="auto"/>
              </w:rPr>
              <w:t>300,318</w:t>
            </w: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1"/>
              <w:spacing w:after="0" w:line="182" w:lineRule="exact"/>
              <w:rPr>
                <w:sz w:val="20"/>
                <w:szCs w:val="20"/>
                <w:color w:val="auto"/>
              </w:rPr>
            </w:pPr>
            <w:r>
              <w:rPr>
                <w:rFonts w:ascii="Arial" w:cs="Arial" w:eastAsia="Arial" w:hAnsi="Arial"/>
                <w:sz w:val="18"/>
                <w:szCs w:val="18"/>
                <w:color w:val="auto"/>
              </w:rPr>
              <w:t>147,985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5,406</w:t>
            </w:r>
          </w:p>
        </w:tc>
        <w:tc>
          <w:tcPr>
            <w:tcW w:w="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15,079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Deferred revenue, current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6,982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 lease liabilities, current</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4,217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Notes payable, current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15,871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gain from Reverse Termination Fee</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98,000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liabilities, current</w:t>
            </w:r>
          </w:p>
        </w:tc>
        <w:tc>
          <w:tcPr>
            <w:tcW w:w="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130,268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1"/>
              <w:spacing w:after="0" w:line="196" w:lineRule="exact"/>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9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38,793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41,964</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880"/>
              <w:spacing w:after="0" w:line="196" w:lineRule="exact"/>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1"/>
              <w:spacing w:after="0" w:line="196" w:lineRule="exact"/>
              <w:rPr>
                <w:sz w:val="20"/>
                <w:szCs w:val="20"/>
                <w:color w:val="auto"/>
              </w:rPr>
            </w:pPr>
            <w:r>
              <w:rPr>
                <w:rFonts w:ascii="Arial" w:cs="Arial" w:eastAsia="Arial" w:hAnsi="Arial"/>
                <w:sz w:val="18"/>
                <w:szCs w:val="18"/>
                <w:color w:val="auto"/>
              </w:rPr>
              <w:t>170,822</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$0.001 par value:</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560"/>
              <w:spacing w:after="0"/>
              <w:rPr>
                <w:sz w:val="20"/>
                <w:szCs w:val="20"/>
                <w:color w:val="auto"/>
              </w:rPr>
            </w:pPr>
            <w:r>
              <w:rPr>
                <w:rFonts w:ascii="Arial" w:cs="Arial" w:eastAsia="Arial" w:hAnsi="Arial"/>
                <w:sz w:val="18"/>
                <w:szCs w:val="18"/>
                <w:color w:val="auto"/>
              </w:rPr>
              <w:t>Authorized 50,000 shares; No shares issued or outstanding</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$0.001 par value:</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240"/>
          </w:cols>
          <w:pgMar w:left="320" w:top="112" w:right="339" w:bottom="1440" w:gutter="0" w:footer="0" w:header="0"/>
        </w:sectPr>
      </w:pPr>
    </w:p>
    <w:p>
      <w:pPr>
        <w:ind w:left="560" w:right="820"/>
        <w:spacing w:after="0" w:line="274" w:lineRule="auto"/>
        <w:rPr>
          <w:sz w:val="20"/>
          <w:szCs w:val="20"/>
          <w:color w:val="auto"/>
        </w:rPr>
      </w:pPr>
      <w:r>
        <w:rPr>
          <w:rFonts w:ascii="Arial" w:cs="Arial" w:eastAsia="Arial" w:hAnsi="Arial"/>
          <w:sz w:val="17"/>
          <w:szCs w:val="17"/>
          <w:color w:val="auto"/>
        </w:rPr>
        <w:t>Authorized 1,000,000 shares; issued and outstanding 179,937 shares and 153,119 shares at September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paid-in capital</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500"/>
        <w:spacing w:after="0"/>
        <w:tabs>
          <w:tab w:leader="none" w:pos="284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8"/>
          <w:szCs w:val="18"/>
          <w:color w:val="auto"/>
        </w:rPr>
        <w:t>153</w:t>
      </w:r>
    </w:p>
    <w:p>
      <w:pPr>
        <w:spacing w:after="0" w:line="198"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17"/>
          <w:szCs w:val="17"/>
          <w:color w:val="auto"/>
        </w:rPr>
        <w:t>1,241,002</w:t>
      </w:r>
      <w:r>
        <w:rPr>
          <w:sz w:val="20"/>
          <w:szCs w:val="20"/>
          <w:color w:val="auto"/>
        </w:rPr>
        <w:tab/>
      </w:r>
      <w:r>
        <w:rPr>
          <w:rFonts w:ascii="Arial" w:cs="Arial" w:eastAsia="Arial" w:hAnsi="Arial"/>
          <w:sz w:val="17"/>
          <w:szCs w:val="17"/>
          <w:color w:val="auto"/>
        </w:rPr>
        <w:t>1,120,999</w:t>
      </w:r>
    </w:p>
    <w:p>
      <w:pPr>
        <w:spacing w:after="0" w:line="88" w:lineRule="exact"/>
        <w:rPr>
          <w:sz w:val="20"/>
          <w:szCs w:val="20"/>
          <w:color w:val="auto"/>
        </w:rPr>
      </w:pPr>
    </w:p>
    <w:p>
      <w:pPr>
        <w:ind w:left="500"/>
        <w:spacing w:after="0"/>
        <w:tabs>
          <w:tab w:leader="none" w:pos="30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5</w:t>
      </w:r>
    </w:p>
    <w:p>
      <w:pPr>
        <w:spacing w:after="0" w:line="63" w:lineRule="exact"/>
        <w:rPr>
          <w:sz w:val="20"/>
          <w:szCs w:val="20"/>
          <w:color w:val="auto"/>
        </w:rPr>
      </w:pPr>
    </w:p>
    <w:p>
      <w:pPr>
        <w:spacing w:after="0"/>
        <w:tabs>
          <w:tab w:leader="none" w:pos="2320" w:val="left"/>
        </w:tabs>
        <w:rPr>
          <w:sz w:val="20"/>
          <w:szCs w:val="20"/>
          <w:color w:val="auto"/>
        </w:rPr>
      </w:pPr>
      <w:r>
        <w:rPr>
          <w:rFonts w:ascii="Arial" w:cs="Arial" w:eastAsia="Arial" w:hAnsi="Arial"/>
          <w:sz w:val="16"/>
          <w:szCs w:val="16"/>
          <w:color w:val="auto"/>
        </w:rPr>
        <w:t>(1,111,804)</w:t>
      </w:r>
      <w:r>
        <w:rPr>
          <w:sz w:val="20"/>
          <w:szCs w:val="20"/>
          <w:color w:val="auto"/>
        </w:rPr>
        <w:tab/>
      </w:r>
      <w:r>
        <w:rPr>
          <w:rFonts w:ascii="Arial" w:cs="Arial" w:eastAsia="Arial" w:hAnsi="Arial"/>
          <w:sz w:val="16"/>
          <w:szCs w:val="16"/>
          <w:color w:val="auto"/>
        </w:rPr>
        <w:t>(1,066,240)</w:t>
      </w:r>
    </w:p>
    <w:p>
      <w:pPr>
        <w:spacing w:after="0" w:line="52" w:lineRule="exact"/>
        <w:rPr>
          <w:sz w:val="20"/>
          <w:szCs w:val="20"/>
          <w:color w:val="auto"/>
        </w:rPr>
      </w:pPr>
    </w:p>
    <w:p>
      <w:pPr>
        <w:sectPr>
          <w:pgSz w:w="11900" w:h="16838" w:orient="portrait"/>
          <w:cols w:equalWidth="0" w:num="2">
            <w:col w:w="7220" w:space="720"/>
            <w:col w:w="330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2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129,496</w:t>
            </w:r>
          </w:p>
        </w:tc>
        <w:tc>
          <w:tcPr>
            <w:tcW w:w="2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54,917</w:t>
            </w:r>
          </w:p>
        </w:tc>
      </w:tr>
      <w:tr>
        <w:trPr>
          <w:trHeight w:val="277"/>
        </w:trPr>
        <w:tc>
          <w:tcPr>
            <w:tcW w:w="5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300,318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147,985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right"/>
        <w:ind w:right="256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20"/>
          </w:cols>
          <w:pgMar w:left="320" w:top="11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40"/>
        <w:spacing w:after="0" w:line="239" w:lineRule="auto"/>
        <w:rPr>
          <w:sz w:val="20"/>
          <w:szCs w:val="20"/>
          <w:color w:val="auto"/>
        </w:rPr>
      </w:pPr>
      <w:r>
        <w:rPr>
          <w:rFonts w:ascii="Arial" w:cs="Arial" w:eastAsia="Arial" w:hAnsi="Arial"/>
          <w:sz w:val="14"/>
          <w:szCs w:val="14"/>
          <w:b w:val="1"/>
          <w:bCs w:val="1"/>
          <w:u w:val="single" w:color="auto"/>
          <w:color w:val="auto"/>
        </w:rPr>
        <w:t>(in thousands, except per share amounts)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 Service and other revenue</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revenue</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revenue: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Cost of product revenue</w:t>
      </w:r>
    </w:p>
    <w:p>
      <w:pPr>
        <w:spacing w:after="0" w:line="34" w:lineRule="exact"/>
        <w:rPr>
          <w:sz w:val="20"/>
          <w:szCs w:val="20"/>
          <w:color w:val="auto"/>
        </w:rPr>
      </w:pPr>
    </w:p>
    <w:p>
      <w:pPr>
        <w:ind w:left="440" w:right="120"/>
        <w:spacing w:after="0" w:line="227" w:lineRule="auto"/>
        <w:rPr>
          <w:sz w:val="20"/>
          <w:szCs w:val="20"/>
          <w:color w:val="auto"/>
        </w:rPr>
      </w:pPr>
      <w:r>
        <w:rPr>
          <w:rFonts w:ascii="Arial" w:cs="Arial" w:eastAsia="Arial" w:hAnsi="Arial"/>
          <w:sz w:val="18"/>
          <w:szCs w:val="18"/>
          <w:color w:val="auto"/>
        </w:rPr>
        <w:t>Cost of service and other revenue</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Total cost of revenue</w:t>
      </w:r>
    </w:p>
    <w:p>
      <w:pPr>
        <w:spacing w:after="0" w:line="1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expense:</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w:t>
      </w:r>
    </w:p>
    <w:p>
      <w:pPr>
        <w:ind w:left="440"/>
        <w:spacing w:after="0" w:line="219" w:lineRule="auto"/>
        <w:rPr>
          <w:sz w:val="20"/>
          <w:szCs w:val="20"/>
          <w:color w:val="auto"/>
        </w:rPr>
      </w:pPr>
      <w:r>
        <w:rPr>
          <w:rFonts w:ascii="Arial" w:cs="Arial" w:eastAsia="Arial" w:hAnsi="Arial"/>
          <w:sz w:val="18"/>
          <w:szCs w:val="18"/>
          <w:color w:val="auto"/>
        </w:rPr>
        <w:t>development</w:t>
      </w:r>
    </w:p>
    <w:p>
      <w:pPr>
        <w:ind w:left="440"/>
        <w:spacing w:after="0" w:line="219" w:lineRule="auto"/>
        <w:rPr>
          <w:sz w:val="20"/>
          <w:szCs w:val="20"/>
          <w:color w:val="auto"/>
        </w:rPr>
      </w:pPr>
      <w:r>
        <w:rPr>
          <w:rFonts w:ascii="Arial" w:cs="Arial" w:eastAsia="Arial" w:hAnsi="Arial"/>
          <w:sz w:val="18"/>
          <w:szCs w:val="18"/>
          <w:color w:val="auto"/>
        </w:rPr>
        <w:t>Sales, general and</w:t>
      </w:r>
    </w:p>
    <w:p>
      <w:pPr>
        <w:ind w:left="440"/>
        <w:spacing w:after="0" w:line="219" w:lineRule="auto"/>
        <w:rPr>
          <w:sz w:val="20"/>
          <w:szCs w:val="20"/>
          <w:color w:val="auto"/>
        </w:rPr>
      </w:pPr>
      <w:r>
        <w:rPr>
          <w:rFonts w:ascii="Arial" w:cs="Arial" w:eastAsia="Arial" w:hAnsi="Arial"/>
          <w:sz w:val="18"/>
          <w:szCs w:val="18"/>
          <w:color w:val="auto"/>
        </w:rPr>
        <w:t>administrative</w:t>
      </w:r>
    </w:p>
    <w:p>
      <w:pPr>
        <w:ind w:left="760"/>
        <w:spacing w:after="0" w:line="219" w:lineRule="auto"/>
        <w:rPr>
          <w:sz w:val="20"/>
          <w:szCs w:val="20"/>
          <w:color w:val="auto"/>
        </w:rPr>
      </w:pPr>
      <w:r>
        <w:rPr>
          <w:rFonts w:ascii="Arial" w:cs="Arial" w:eastAsia="Arial" w:hAnsi="Arial"/>
          <w:sz w:val="18"/>
          <w:szCs w:val="18"/>
          <w:color w:val="auto"/>
        </w:rPr>
        <w:t>Total operating</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expense</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440" w:right="200"/>
        <w:spacing w:after="0" w:line="256" w:lineRule="auto"/>
        <w:rPr>
          <w:sz w:val="20"/>
          <w:szCs w:val="20"/>
          <w:color w:val="auto"/>
        </w:rPr>
      </w:pPr>
      <w:r>
        <w:rPr>
          <w:rFonts w:ascii="Arial" w:cs="Arial" w:eastAsia="Arial" w:hAnsi="Arial"/>
          <w:sz w:val="16"/>
          <w:szCs w:val="16"/>
          <w:color w:val="auto"/>
        </w:rPr>
        <w:t>Gain from Continuation Advances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w:t>
      </w:r>
    </w:p>
    <w:p>
      <w:pPr>
        <w:spacing w:after="0" w:line="7" w:lineRule="exact"/>
        <w:rPr>
          <w:sz w:val="20"/>
          <w:szCs w:val="20"/>
          <w:color w:val="auto"/>
        </w:rPr>
      </w:pPr>
    </w:p>
    <w:p>
      <w:pPr>
        <w:ind w:left="440" w:right="160"/>
        <w:spacing w:after="0" w:line="227" w:lineRule="auto"/>
        <w:rPr>
          <w:sz w:val="20"/>
          <w:szCs w:val="20"/>
          <w:color w:val="auto"/>
        </w:rPr>
      </w:pPr>
      <w:r>
        <w:rPr>
          <w:rFonts w:ascii="Arial" w:cs="Arial" w:eastAsia="Arial" w:hAnsi="Arial"/>
          <w:sz w:val="18"/>
          <w:szCs w:val="18"/>
          <w:color w:val="auto"/>
        </w:rPr>
        <w:t>Other income (expense), net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120" w:right="120"/>
        <w:spacing w:after="0" w:line="220" w:lineRule="auto"/>
        <w:rPr>
          <w:sz w:val="20"/>
          <w:szCs w:val="20"/>
          <w:color w:val="auto"/>
        </w:rPr>
      </w:pPr>
      <w:r>
        <w:rPr>
          <w:rFonts w:ascii="Arial" w:cs="Arial" w:eastAsia="Arial" w:hAnsi="Arial"/>
          <w:sz w:val="18"/>
          <w:szCs w:val="18"/>
          <w:color w:val="auto"/>
        </w:rPr>
        <w:t>Other comprehensive income (loss):</w:t>
      </w:r>
    </w:p>
    <w:p>
      <w:pPr>
        <w:ind w:left="440"/>
        <w:spacing w:after="0" w:line="232" w:lineRule="auto"/>
        <w:rPr>
          <w:sz w:val="20"/>
          <w:szCs w:val="20"/>
          <w:color w:val="auto"/>
        </w:rPr>
      </w:pPr>
      <w:r>
        <w:rPr>
          <w:rFonts w:ascii="Arial" w:cs="Arial" w:eastAsia="Arial" w:hAnsi="Arial"/>
          <w:sz w:val="17"/>
          <w:szCs w:val="17"/>
          <w:color w:val="auto"/>
        </w:rPr>
        <w:t>Unrealized income (loss)</w:t>
      </w:r>
    </w:p>
    <w:p>
      <w:pPr>
        <w:ind w:left="440"/>
        <w:spacing w:after="0"/>
        <w:rPr>
          <w:sz w:val="20"/>
          <w:szCs w:val="20"/>
          <w:color w:val="auto"/>
        </w:rPr>
      </w:pPr>
      <w:r>
        <w:rPr>
          <w:rFonts w:ascii="Arial" w:cs="Arial" w:eastAsia="Arial" w:hAnsi="Arial"/>
          <w:sz w:val="18"/>
          <w:szCs w:val="18"/>
          <w:color w:val="auto"/>
        </w:rPr>
        <w:t>on investments</w:t>
      </w:r>
    </w:p>
    <w:p>
      <w:pPr>
        <w:spacing w:after="0" w:line="7" w:lineRule="exact"/>
        <w:rPr>
          <w:sz w:val="20"/>
          <w:szCs w:val="20"/>
          <w:color w:val="auto"/>
        </w:rPr>
      </w:pPr>
    </w:p>
    <w:p>
      <w:pPr>
        <w:ind w:left="120"/>
        <w:spacing w:after="0"/>
        <w:tabs>
          <w:tab w:leader="none" w:pos="2260" w:val="left"/>
        </w:tabs>
        <w:rPr>
          <w:sz w:val="20"/>
          <w:szCs w:val="20"/>
          <w:color w:val="auto"/>
        </w:rPr>
      </w:pPr>
      <w:r>
        <w:rPr>
          <w:rFonts w:ascii="Arial" w:cs="Arial" w:eastAsia="Arial" w:hAnsi="Arial"/>
          <w:sz w:val="18"/>
          <w:szCs w:val="18"/>
          <w:color w:val="auto"/>
        </w:rPr>
        <w:t>Comprehensive loss</w:t>
      </w:r>
      <w:r>
        <w:rPr>
          <w:sz w:val="20"/>
          <w:szCs w:val="20"/>
          <w:color w:val="auto"/>
        </w:rPr>
        <w:tab/>
      </w:r>
      <w:r>
        <w:rPr>
          <w:rFonts w:ascii="Arial" w:cs="Arial" w:eastAsia="Arial" w:hAnsi="Arial"/>
          <w:sz w:val="13"/>
          <w:szCs w:val="13"/>
          <w:color w:val="auto"/>
        </w:rPr>
        <w:t>$</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w:t>
      </w:r>
    </w:p>
    <w:p>
      <w:pPr>
        <w:spacing w:after="0" w:line="23" w:lineRule="exact"/>
        <w:rPr>
          <w:sz w:val="20"/>
          <w:szCs w:val="20"/>
          <w:color w:val="auto"/>
        </w:rPr>
      </w:pPr>
    </w:p>
    <w:p>
      <w:pPr>
        <w:ind w:left="440"/>
        <w:spacing w:after="0" w:line="182" w:lineRule="auto"/>
        <w:rPr>
          <w:sz w:val="20"/>
          <w:szCs w:val="20"/>
          <w:color w:val="auto"/>
        </w:rPr>
      </w:pPr>
      <w:r>
        <w:rPr>
          <w:rFonts w:ascii="Arial" w:cs="Arial" w:eastAsia="Arial" w:hAnsi="Arial"/>
          <w:sz w:val="16"/>
          <w:szCs w:val="16"/>
          <w:color w:val="auto"/>
        </w:rPr>
        <w:t>Basic and diluted net loss</w:t>
      </w:r>
      <w:r>
        <w:rPr>
          <w:rFonts w:ascii="Arial" w:cs="Arial" w:eastAsia="Arial" w:hAnsi="Arial"/>
          <w:sz w:val="29"/>
          <w:szCs w:val="29"/>
          <w:color w:val="auto"/>
          <w:vertAlign w:val="subscript"/>
        </w:rPr>
        <w:t>$</w:t>
      </w:r>
      <w:r>
        <w:rPr>
          <w:rFonts w:ascii="Arial" w:cs="Arial" w:eastAsia="Arial" w:hAnsi="Arial"/>
          <w:sz w:val="16"/>
          <w:szCs w:val="16"/>
          <w:color w:val="auto"/>
        </w:rPr>
        <w:t xml:space="preserve"> per share</w:t>
      </w:r>
    </w:p>
    <w:p>
      <w:pPr>
        <w:spacing w:after="0" w:line="1" w:lineRule="exact"/>
        <w:rPr>
          <w:sz w:val="20"/>
          <w:szCs w:val="20"/>
          <w:color w:val="auto"/>
        </w:rPr>
      </w:pPr>
    </w:p>
    <w:p>
      <w:pPr>
        <w:ind w:left="440" w:right="140"/>
        <w:spacing w:after="0" w:line="292" w:lineRule="auto"/>
        <w:rPr>
          <w:sz w:val="20"/>
          <w:szCs w:val="20"/>
          <w:color w:val="auto"/>
        </w:rPr>
      </w:pPr>
      <w:r>
        <w:rPr>
          <w:rFonts w:ascii="Arial" w:cs="Arial" w:eastAsia="Arial" w:hAnsi="Arial"/>
          <w:sz w:val="15"/>
          <w:szCs w:val="15"/>
          <w:color w:val="auto"/>
        </w:rPr>
        <w:t>Shares used in computing basic and diluted 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171"/>
        </w:trPr>
        <w:tc>
          <w:tcPr>
            <w:tcW w:w="26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9"/>
              </w:rPr>
              <w:t>Three Months Ended September 30,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4"/>
        </w:trPr>
        <w:tc>
          <w:tcPr>
            <w:tcW w:w="1200" w:type="dxa"/>
            <w:vAlign w:val="bottom"/>
          </w:tcPr>
          <w:p>
            <w:pPr>
              <w:jc w:val="right"/>
              <w:ind w:right="812"/>
              <w:spacing w:after="0"/>
              <w:rPr>
                <w:sz w:val="20"/>
                <w:szCs w:val="20"/>
                <w:color w:val="auto"/>
              </w:rPr>
            </w:pPr>
            <w:r>
              <w:rPr>
                <w:rFonts w:ascii="Arial" w:cs="Arial" w:eastAsia="Arial" w:hAnsi="Arial"/>
                <w:sz w:val="14"/>
                <w:szCs w:val="14"/>
                <w:b w:val="1"/>
                <w:bCs w:val="1"/>
                <w:color w:val="auto"/>
                <w:w w:val="89"/>
              </w:rPr>
              <w:t>2020</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8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8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15,749</w:t>
            </w:r>
          </w:p>
        </w:tc>
        <w:tc>
          <w:tcPr>
            <w:tcW w:w="14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18,484</w:t>
            </w:r>
          </w:p>
        </w:tc>
        <w:tc>
          <w:tcPr>
            <w:tcW w:w="120" w:type="dxa"/>
            <w:vAlign w:val="bottom"/>
          </w:tcPr>
          <w:p>
            <w:pPr>
              <w:spacing w:after="0"/>
              <w:rPr>
                <w:sz w:val="24"/>
                <w:szCs w:val="24"/>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41,798</w:t>
            </w:r>
          </w:p>
        </w:tc>
        <w:tc>
          <w:tcPr>
            <w:tcW w:w="140" w:type="dxa"/>
            <w:vAlign w:val="bottom"/>
          </w:tcPr>
          <w:p>
            <w:pPr>
              <w:spacing w:after="0"/>
              <w:rPr>
                <w:sz w:val="24"/>
                <w:szCs w:val="24"/>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53,191</w:t>
            </w:r>
          </w:p>
        </w:tc>
        <w:tc>
          <w:tcPr>
            <w:tcW w:w="0" w:type="dxa"/>
            <w:vAlign w:val="bottom"/>
          </w:tcPr>
          <w:p>
            <w:pPr>
              <w:spacing w:after="0"/>
              <w:rPr>
                <w:sz w:val="1"/>
                <w:szCs w:val="1"/>
                <w:color w:val="auto"/>
              </w:rPr>
            </w:pPr>
          </w:p>
        </w:tc>
      </w:tr>
      <w:tr>
        <w:trPr>
          <w:trHeight w:val="284"/>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9,959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19,082</w:t>
            </w: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21,915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51,757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62,961</w:t>
            </w:r>
          </w:p>
        </w:tc>
        <w:tc>
          <w:tcPr>
            <w:tcW w:w="0" w:type="dxa"/>
            <w:vAlign w:val="bottom"/>
          </w:tcPr>
          <w:p>
            <w:pPr>
              <w:spacing w:after="0"/>
              <w:rPr>
                <w:sz w:val="1"/>
                <w:szCs w:val="1"/>
                <w:color w:val="auto"/>
              </w:rPr>
            </w:pPr>
          </w:p>
        </w:tc>
      </w:tr>
      <w:tr>
        <w:trPr>
          <w:trHeight w:val="431"/>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12,188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22,874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310"/>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7,718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12,018</w:t>
            </w: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15,001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30,592</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41,317</w:t>
            </w:r>
          </w:p>
        </w:tc>
        <w:tc>
          <w:tcPr>
            <w:tcW w:w="0" w:type="dxa"/>
            <w:vAlign w:val="bottom"/>
          </w:tcPr>
          <w:p>
            <w:pPr>
              <w:spacing w:after="0"/>
              <w:rPr>
                <w:sz w:val="1"/>
                <w:szCs w:val="1"/>
                <w:color w:val="auto"/>
              </w:rPr>
            </w:pPr>
          </w:p>
        </w:tc>
      </w:tr>
      <w:tr>
        <w:trPr>
          <w:trHeight w:val="224"/>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7,064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21,165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512"/>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16,467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14,962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46,727</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45,357</w:t>
            </w:r>
          </w:p>
        </w:tc>
        <w:tc>
          <w:tcPr>
            <w:tcW w:w="0" w:type="dxa"/>
            <w:vAlign w:val="bottom"/>
          </w:tcPr>
          <w:p>
            <w:pPr>
              <w:spacing w:after="0"/>
              <w:rPr>
                <w:sz w:val="1"/>
                <w:szCs w:val="1"/>
                <w:color w:val="auto"/>
              </w:rPr>
            </w:pPr>
          </w:p>
        </w:tc>
      </w:tr>
      <w:tr>
        <w:trPr>
          <w:trHeight w:val="378"/>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14,772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20,066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54,846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31,239</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35,028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101,573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104,272</w:t>
            </w:r>
          </w:p>
        </w:tc>
        <w:tc>
          <w:tcPr>
            <w:tcW w:w="0" w:type="dxa"/>
            <w:vAlign w:val="bottom"/>
          </w:tcPr>
          <w:p>
            <w:pPr>
              <w:spacing w:after="0"/>
              <w:rPr>
                <w:sz w:val="1"/>
                <w:szCs w:val="1"/>
                <w:color w:val="auto"/>
              </w:rPr>
            </w:pPr>
          </w:p>
        </w:tc>
      </w:tr>
      <w:tr>
        <w:trPr>
          <w:trHeight w:val="527"/>
        </w:trPr>
        <w:tc>
          <w:tcPr>
            <w:tcW w:w="1200" w:type="dxa"/>
            <w:vAlign w:val="bottom"/>
          </w:tcPr>
          <w:p>
            <w:pPr>
              <w:jc w:val="right"/>
              <w:ind w:right="32"/>
              <w:spacing w:after="0"/>
              <w:rPr>
                <w:sz w:val="20"/>
                <w:szCs w:val="20"/>
                <w:color w:val="auto"/>
              </w:rPr>
            </w:pPr>
            <w:r>
              <w:rPr>
                <w:rFonts w:ascii="Arial" w:cs="Arial" w:eastAsia="Arial" w:hAnsi="Arial"/>
                <w:sz w:val="18"/>
                <w:szCs w:val="18"/>
                <w:color w:val="auto"/>
              </w:rPr>
              <w:t>(24,175)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(28,114)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(80,408)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(82,628)</w:t>
            </w:r>
          </w:p>
        </w:tc>
        <w:tc>
          <w:tcPr>
            <w:tcW w:w="0" w:type="dxa"/>
            <w:vAlign w:val="bottom"/>
          </w:tcPr>
          <w:p>
            <w:pPr>
              <w:spacing w:after="0"/>
              <w:rPr>
                <w:sz w:val="1"/>
                <w:szCs w:val="1"/>
                <w:color w:val="auto"/>
              </w:rPr>
            </w:pPr>
          </w:p>
        </w:tc>
      </w:tr>
      <w:tr>
        <w:trPr>
          <w:trHeight w:val="310"/>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34,000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311"/>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(23,708)</w:t>
            </w: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(29,123)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(45,532)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(84,043)</w:t>
            </w:r>
          </w:p>
        </w:tc>
        <w:tc>
          <w:tcPr>
            <w:tcW w:w="0" w:type="dxa"/>
            <w:vAlign w:val="bottom"/>
          </w:tcPr>
          <w:p>
            <w:pPr>
              <w:spacing w:after="0"/>
              <w:rPr>
                <w:sz w:val="1"/>
                <w:szCs w:val="1"/>
                <w:color w:val="auto"/>
              </w:rPr>
            </w:pPr>
          </w:p>
        </w:tc>
      </w:tr>
      <w:tr>
        <w:trPr>
          <w:trHeight w:val="661"/>
        </w:trPr>
        <w:tc>
          <w:tcPr>
            <w:tcW w:w="120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(23,833)</w:t>
            </w: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(29,129)</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(45,419)</w:t>
            </w: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(83,996)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20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42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4"/>
                <w:szCs w:val="24"/>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24"/>
                <w:szCs w:val="24"/>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jc w:val="right"/>
              <w:ind w:right="72"/>
              <w:spacing w:after="0"/>
              <w:rPr>
                <w:sz w:val="20"/>
                <w:szCs w:val="20"/>
                <w:color w:val="auto"/>
              </w:rPr>
            </w:pPr>
            <w:r>
              <w:rPr>
                <w:rFonts w:ascii="Arial" w:cs="Arial" w:eastAsia="Arial" w:hAnsi="Arial"/>
                <w:sz w:val="18"/>
                <w:szCs w:val="18"/>
                <w:color w:val="auto"/>
              </w:rPr>
              <w:t>166,862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152,983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158,195</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152,351</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-4893945</wp:posOffset>
            </wp:positionV>
            <wp:extent cx="705485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-4217035</wp:posOffset>
            </wp:positionV>
            <wp:extent cx="70548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1460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-3539490</wp:posOffset>
            </wp:positionV>
            <wp:extent cx="705485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-3154045</wp:posOffset>
            </wp:positionV>
            <wp:extent cx="7054850" cy="3154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315468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-3830955</wp:posOffset>
            </wp:positionV>
            <wp:extent cx="70548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-4508500</wp:posOffset>
            </wp:positionV>
            <wp:extent cx="705485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14541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-5039995</wp:posOffset>
            </wp:positionV>
            <wp:extent cx="1337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-5228590</wp:posOffset>
            </wp:positionV>
            <wp:extent cx="2768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60" w:space="500"/>
            <w:col w:w="8260"/>
          </w:cols>
          <w:pgMar w:left="320" w:top="112" w:right="4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9"/>
                <w:szCs w:val="19"/>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9"/>
                <w:szCs w:val="19"/>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1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3"/>
          </w:tcPr>
          <w:p>
            <w:pPr>
              <w:ind w:left="360"/>
              <w:spacing w:after="0"/>
              <w:rPr>
                <w:sz w:val="20"/>
                <w:szCs w:val="20"/>
                <w:color w:val="auto"/>
              </w:rPr>
            </w:pPr>
            <w:r>
              <w:rPr>
                <w:rFonts w:ascii="Arial" w:cs="Arial" w:eastAsia="Arial" w:hAnsi="Arial"/>
                <w:sz w:val="14"/>
                <w:szCs w:val="14"/>
                <w:b w:val="1"/>
                <w:bCs w:val="1"/>
                <w:color w:val="auto"/>
                <w:w w:val="91"/>
              </w:rPr>
              <w:t>Common Stock</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8"/>
                <w:szCs w:val="18"/>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w w:val="88"/>
              </w:rPr>
              <w:t>For the three months ended September 30, 2020</w:t>
            </w: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Pr>
          <w:p>
            <w:pPr>
              <w:ind w:left="280"/>
              <w:spacing w:after="0"/>
              <w:rPr>
                <w:sz w:val="20"/>
                <w:szCs w:val="20"/>
                <w:color w:val="auto"/>
              </w:rPr>
            </w:pPr>
            <w:r>
              <w:rPr>
                <w:rFonts w:ascii="Arial" w:cs="Arial" w:eastAsia="Arial" w:hAnsi="Arial"/>
                <w:sz w:val="14"/>
                <w:szCs w:val="14"/>
                <w:color w:val="auto"/>
                <w:w w:val="94"/>
              </w:rPr>
              <w:t>154,318</w:t>
            </w:r>
          </w:p>
        </w:tc>
        <w:tc>
          <w:tcPr>
            <w:tcW w:w="14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154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1,129,091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(1,088,096)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41,392</w:t>
            </w: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(23,708)</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98"/>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3,274</w:t>
            </w: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13,344</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13,347</w:t>
            </w:r>
          </w:p>
        </w:tc>
        <w:tc>
          <w:tcPr>
            <w:tcW w:w="0" w:type="dxa"/>
            <w:vAlign w:val="bottom"/>
          </w:tcPr>
          <w:p>
            <w:pPr>
              <w:spacing w:after="0"/>
              <w:rPr>
                <w:sz w:val="1"/>
                <w:szCs w:val="1"/>
                <w:color w:val="auto"/>
              </w:rPr>
            </w:pPr>
          </w:p>
        </w:tc>
      </w:tr>
      <w:tr>
        <w:trPr>
          <w:trHeight w:val="120"/>
        </w:trPr>
        <w:tc>
          <w:tcPr>
            <w:tcW w:w="2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240" w:type="dxa"/>
            <w:vAlign w:val="bottom"/>
            <w:gridSpan w:val="3"/>
          </w:tcPr>
          <w:p>
            <w:pPr>
              <w:spacing w:after="0"/>
              <w:rPr>
                <w:sz w:val="20"/>
                <w:szCs w:val="20"/>
                <w:color w:val="auto"/>
              </w:rPr>
            </w:pPr>
            <w:r>
              <w:rPr>
                <w:rFonts w:ascii="Arial" w:cs="Arial" w:eastAsia="Arial" w:hAnsi="Arial"/>
                <w:sz w:val="14"/>
                <w:szCs w:val="14"/>
                <w:color w:val="auto"/>
                <w:w w:val="99"/>
              </w:rPr>
              <w:t>Issuance of common stock from Underwritten Public Equity Offering,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240" w:type="dxa"/>
            <w:vAlign w:val="bottom"/>
            <w:gridSpan w:val="3"/>
          </w:tcPr>
          <w:p>
            <w:pPr>
              <w:spacing w:after="0"/>
              <w:rPr>
                <w:sz w:val="20"/>
                <w:szCs w:val="20"/>
                <w:color w:val="auto"/>
              </w:rPr>
            </w:pPr>
            <w:r>
              <w:rPr>
                <w:rFonts w:ascii="Arial" w:cs="Arial" w:eastAsia="Arial" w:hAnsi="Arial"/>
                <w:sz w:val="14"/>
                <w:szCs w:val="14"/>
                <w:color w:val="auto"/>
              </w:rPr>
              <w:t>net of issuance costs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22,345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93,575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93,598</w:t>
            </w:r>
          </w:p>
        </w:tc>
        <w:tc>
          <w:tcPr>
            <w:tcW w:w="0" w:type="dxa"/>
            <w:vAlign w:val="bottom"/>
          </w:tcPr>
          <w:p>
            <w:pPr>
              <w:spacing w:after="0"/>
              <w:rPr>
                <w:sz w:val="1"/>
                <w:szCs w:val="1"/>
                <w:color w:val="auto"/>
              </w:rPr>
            </w:pPr>
          </w:p>
        </w:tc>
      </w:tr>
      <w:tr>
        <w:trPr>
          <w:trHeight w:val="80"/>
        </w:trPr>
        <w:tc>
          <w:tcPr>
            <w:tcW w:w="28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4,992</w:t>
            </w:r>
          </w:p>
        </w:tc>
        <w:tc>
          <w:tcPr>
            <w:tcW w:w="0" w:type="dxa"/>
            <w:vAlign w:val="bottom"/>
          </w:tcPr>
          <w:p>
            <w:pPr>
              <w:spacing w:after="0"/>
              <w:rPr>
                <w:sz w:val="1"/>
                <w:szCs w:val="1"/>
                <w:color w:val="auto"/>
              </w:rPr>
            </w:pPr>
          </w:p>
        </w:tc>
      </w:tr>
      <w:tr>
        <w:trPr>
          <w:trHeight w:val="236"/>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September 30, 2020</w:t>
            </w:r>
          </w:p>
        </w:tc>
        <w:tc>
          <w:tcPr>
            <w:tcW w:w="780" w:type="dxa"/>
            <w:vAlign w:val="bottom"/>
          </w:tcPr>
          <w:p>
            <w:pPr>
              <w:ind w:left="280"/>
              <w:spacing w:after="0"/>
              <w:rPr>
                <w:sz w:val="20"/>
                <w:szCs w:val="20"/>
                <w:color w:val="auto"/>
              </w:rPr>
            </w:pPr>
            <w:r>
              <w:rPr>
                <w:rFonts w:ascii="Arial" w:cs="Arial" w:eastAsia="Arial" w:hAnsi="Arial"/>
                <w:sz w:val="14"/>
                <w:szCs w:val="14"/>
                <w:color w:val="auto"/>
                <w:w w:val="94"/>
              </w:rPr>
              <w:t>179,937</w:t>
            </w:r>
          </w:p>
        </w:tc>
        <w:tc>
          <w:tcPr>
            <w:tcW w:w="14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180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1,241,002</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(1,111,804)</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129,496</w:t>
            </w: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8"/>
              </w:rPr>
              <w:t>For the three months ended September 30, 2019</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June 30, 2019</w:t>
            </w:r>
          </w:p>
        </w:tc>
        <w:tc>
          <w:tcPr>
            <w:tcW w:w="7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152,959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1,112,610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(1,037,026)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75,754</w:t>
            </w:r>
          </w:p>
        </w:tc>
        <w:tc>
          <w:tcPr>
            <w:tcW w:w="0" w:type="dxa"/>
            <w:vAlign w:val="bottom"/>
          </w:tcPr>
          <w:p>
            <w:pPr>
              <w:spacing w:after="0"/>
              <w:rPr>
                <w:sz w:val="1"/>
                <w:szCs w:val="1"/>
                <w:color w:val="auto"/>
              </w:rPr>
            </w:pPr>
          </w:p>
        </w:tc>
      </w:tr>
      <w:tr>
        <w:trPr>
          <w:trHeight w:val="229"/>
        </w:trPr>
        <w:tc>
          <w:tcPr>
            <w:tcW w:w="424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(29,123)</w:t>
            </w: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98"/>
        </w:trPr>
        <w:tc>
          <w:tcPr>
            <w:tcW w:w="4240" w:type="dxa"/>
            <w:vAlign w:val="bottom"/>
            <w:gridSpan w:val="3"/>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236"/>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September 30, 2019</w:t>
            </w:r>
          </w:p>
        </w:tc>
        <w:tc>
          <w:tcPr>
            <w:tcW w:w="780" w:type="dxa"/>
            <w:vAlign w:val="bottom"/>
          </w:tcPr>
          <w:p>
            <w:pPr>
              <w:ind w:left="280"/>
              <w:spacing w:after="0"/>
              <w:rPr>
                <w:sz w:val="20"/>
                <w:szCs w:val="20"/>
                <w:color w:val="auto"/>
              </w:rPr>
            </w:pPr>
            <w:r>
              <w:rPr>
                <w:rFonts w:ascii="Arial" w:cs="Arial" w:eastAsia="Arial" w:hAnsi="Arial"/>
                <w:sz w:val="14"/>
                <w:szCs w:val="14"/>
                <w:color w:val="auto"/>
                <w:w w:val="94"/>
              </w:rPr>
              <w:t>153,031</w:t>
            </w:r>
          </w:p>
        </w:tc>
        <w:tc>
          <w:tcPr>
            <w:tcW w:w="14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153</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1,116,999</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(1,066,149)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51,014</w:t>
            </w: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For the nine months ended September 30, 2020</w:t>
            </w:r>
          </w:p>
        </w:tc>
        <w:tc>
          <w:tcPr>
            <w:tcW w:w="14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7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0"/>
              </w:rPr>
              <w:t>153,119</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1,120,999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(1,066,240)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54,917</w:t>
            </w:r>
          </w:p>
        </w:tc>
        <w:tc>
          <w:tcPr>
            <w:tcW w:w="0" w:type="dxa"/>
            <w:vAlign w:val="bottom"/>
          </w:tcPr>
          <w:p>
            <w:pPr>
              <w:spacing w:after="0"/>
              <w:rPr>
                <w:sz w:val="1"/>
                <w:szCs w:val="1"/>
                <w:color w:val="auto"/>
              </w:rPr>
            </w:pPr>
          </w:p>
        </w:tc>
      </w:tr>
      <w:tr>
        <w:trPr>
          <w:trHeight w:val="203"/>
        </w:trPr>
        <w:tc>
          <w:tcPr>
            <w:tcW w:w="424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(45,532)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(45,532)</w:t>
            </w: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3"/>
        </w:trPr>
        <w:tc>
          <w:tcPr>
            <w:tcW w:w="4240" w:type="dxa"/>
            <w:vAlign w:val="bottom"/>
            <w:gridSpan w:val="3"/>
          </w:tcPr>
          <w:p>
            <w:pPr>
              <w:spacing w:after="0"/>
              <w:rPr>
                <w:sz w:val="20"/>
                <w:szCs w:val="20"/>
                <w:color w:val="auto"/>
              </w:rPr>
            </w:pPr>
            <w:r>
              <w:rPr>
                <w:rFonts w:ascii="Arial" w:cs="Arial" w:eastAsia="Arial" w:hAnsi="Arial"/>
                <w:sz w:val="14"/>
                <w:szCs w:val="14"/>
                <w:color w:val="auto"/>
              </w:rPr>
              <w:t>Adoption effect of Topic 326</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4"/>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9"/>
              </w:rPr>
              <w:t>Issuance of common stock from Underwritten Public Equity Offering,</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of issuance costs</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22,345</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93,575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93,598</w:t>
            </w:r>
          </w:p>
        </w:tc>
        <w:tc>
          <w:tcPr>
            <w:tcW w:w="0" w:type="dxa"/>
            <w:vAlign w:val="bottom"/>
          </w:tcPr>
          <w:p>
            <w:pPr>
              <w:spacing w:after="0"/>
              <w:rPr>
                <w:sz w:val="1"/>
                <w:szCs w:val="1"/>
                <w:color w:val="auto"/>
              </w:rPr>
            </w:pPr>
          </w:p>
        </w:tc>
      </w:tr>
      <w:tr>
        <w:trPr>
          <w:trHeight w:val="285"/>
        </w:trPr>
        <w:tc>
          <w:tcPr>
            <w:tcW w:w="4240" w:type="dxa"/>
            <w:vAlign w:val="bottom"/>
            <w:gridSpan w:val="3"/>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4,473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14,170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06"/>
        </w:trPr>
        <w:tc>
          <w:tcPr>
            <w:tcW w:w="2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12,258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12,258</w:t>
            </w:r>
          </w:p>
        </w:tc>
        <w:tc>
          <w:tcPr>
            <w:tcW w:w="0" w:type="dxa"/>
            <w:vAlign w:val="bottom"/>
          </w:tcPr>
          <w:p>
            <w:pPr>
              <w:spacing w:after="0"/>
              <w:rPr>
                <w:sz w:val="1"/>
                <w:szCs w:val="1"/>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September 30, 2020</w:t>
            </w:r>
          </w:p>
        </w:tc>
        <w:tc>
          <w:tcPr>
            <w:tcW w:w="780" w:type="dxa"/>
            <w:vAlign w:val="bottom"/>
          </w:tcPr>
          <w:p>
            <w:pPr>
              <w:ind w:left="280"/>
              <w:spacing w:after="0"/>
              <w:rPr>
                <w:sz w:val="20"/>
                <w:szCs w:val="20"/>
                <w:color w:val="auto"/>
              </w:rPr>
            </w:pPr>
            <w:r>
              <w:rPr>
                <w:rFonts w:ascii="Arial" w:cs="Arial" w:eastAsia="Arial" w:hAnsi="Arial"/>
                <w:sz w:val="14"/>
                <w:szCs w:val="14"/>
                <w:color w:val="auto"/>
                <w:w w:val="94"/>
              </w:rPr>
              <w:t>179,937</w:t>
            </w:r>
          </w:p>
        </w:tc>
        <w:tc>
          <w:tcPr>
            <w:tcW w:w="14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180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1,241,002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(1,111,804)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129,496</w:t>
            </w: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For the nine months ended September 30, 2019</w:t>
            </w:r>
          </w:p>
        </w:tc>
        <w:tc>
          <w:tcPr>
            <w:tcW w:w="14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2018</w:t>
            </w:r>
          </w:p>
        </w:tc>
        <w:tc>
          <w:tcPr>
            <w:tcW w:w="78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150,244</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1,096,053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(982,106)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114,061</w:t>
            </w:r>
          </w:p>
        </w:tc>
        <w:tc>
          <w:tcPr>
            <w:tcW w:w="0" w:type="dxa"/>
            <w:vAlign w:val="bottom"/>
          </w:tcPr>
          <w:p>
            <w:pPr>
              <w:spacing w:after="0"/>
              <w:rPr>
                <w:sz w:val="1"/>
                <w:szCs w:val="1"/>
                <w:color w:val="auto"/>
              </w:rPr>
            </w:pPr>
          </w:p>
        </w:tc>
      </w:tr>
      <w:tr>
        <w:trPr>
          <w:trHeight w:val="203"/>
        </w:trPr>
        <w:tc>
          <w:tcPr>
            <w:tcW w:w="424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(84,043)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(84,043)</w:t>
            </w: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26"/>
        </w:trPr>
        <w:tc>
          <w:tcPr>
            <w:tcW w:w="4240" w:type="dxa"/>
            <w:vAlign w:val="bottom"/>
            <w:gridSpan w:val="3"/>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2,787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8,414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8,417</w:t>
            </w:r>
          </w:p>
        </w:tc>
        <w:tc>
          <w:tcPr>
            <w:tcW w:w="0" w:type="dxa"/>
            <w:vAlign w:val="bottom"/>
          </w:tcPr>
          <w:p>
            <w:pPr>
              <w:spacing w:after="0"/>
              <w:rPr>
                <w:sz w:val="1"/>
                <w:szCs w:val="1"/>
                <w:color w:val="auto"/>
              </w:rPr>
            </w:pPr>
          </w:p>
        </w:tc>
      </w:tr>
      <w:tr>
        <w:trPr>
          <w:trHeight w:val="147"/>
        </w:trPr>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12,532</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12,532</w:t>
            </w:r>
          </w:p>
        </w:tc>
        <w:tc>
          <w:tcPr>
            <w:tcW w:w="0" w:type="dxa"/>
            <w:vAlign w:val="bottom"/>
          </w:tcPr>
          <w:p>
            <w:pPr>
              <w:spacing w:after="0"/>
              <w:rPr>
                <w:sz w:val="1"/>
                <w:szCs w:val="1"/>
                <w:color w:val="auto"/>
              </w:rPr>
            </w:pPr>
          </w:p>
        </w:tc>
      </w:tr>
      <w:tr>
        <w:trPr>
          <w:trHeight w:val="237"/>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Balance at September 30, 2019</w:t>
            </w:r>
          </w:p>
        </w:tc>
        <w:tc>
          <w:tcPr>
            <w:tcW w:w="780" w:type="dxa"/>
            <w:vAlign w:val="bottom"/>
          </w:tcPr>
          <w:p>
            <w:pPr>
              <w:ind w:left="280"/>
              <w:spacing w:after="0"/>
              <w:rPr>
                <w:sz w:val="20"/>
                <w:szCs w:val="20"/>
                <w:color w:val="auto"/>
              </w:rPr>
            </w:pPr>
            <w:r>
              <w:rPr>
                <w:rFonts w:ascii="Arial" w:cs="Arial" w:eastAsia="Arial" w:hAnsi="Arial"/>
                <w:sz w:val="14"/>
                <w:szCs w:val="14"/>
                <w:color w:val="auto"/>
                <w:w w:val="94"/>
              </w:rPr>
              <w:t>153,031</w:t>
            </w:r>
          </w:p>
        </w:tc>
        <w:tc>
          <w:tcPr>
            <w:tcW w:w="140" w:type="dxa"/>
            <w:vAlign w:val="bottom"/>
          </w:tcPr>
          <w:p>
            <w:pPr>
              <w:spacing w:after="0"/>
              <w:rPr>
                <w:sz w:val="20"/>
                <w:szCs w:val="20"/>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153</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1,116,999</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(1,066,149)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51,014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4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590"/>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(45,532)</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(84,043)</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from Continuation Advances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0"/>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Amortization of debt discount and financing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derivative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(accretion) from investment premium (discount)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Loss on disposition of equipment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66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Deferred gain from Reverse Termination Fee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(60,132)</w:t>
            </w:r>
          </w:p>
        </w:tc>
        <w:tc>
          <w:tcPr>
            <w:tcW w:w="0" w:type="dxa"/>
            <w:vAlign w:val="bottom"/>
          </w:tcPr>
          <w:p>
            <w:pPr>
              <w:spacing w:after="0"/>
              <w:rPr>
                <w:sz w:val="1"/>
                <w:szCs w:val="1"/>
                <w:color w:val="auto"/>
              </w:rPr>
            </w:pPr>
          </w:p>
        </w:tc>
      </w:tr>
      <w:tr>
        <w:trPr>
          <w:trHeight w:val="210"/>
        </w:trPr>
        <w:tc>
          <w:tcPr>
            <w:tcW w:w="7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Purchase of investments</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(234,555)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 of investments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Maturities of investments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109,360</w:t>
            </w: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65,455</w:t>
            </w:r>
          </w:p>
        </w:tc>
        <w:tc>
          <w:tcPr>
            <w:tcW w:w="0" w:type="dxa"/>
            <w:vAlign w:val="bottom"/>
          </w:tcPr>
          <w:p>
            <w:pPr>
              <w:spacing w:after="0"/>
              <w:rPr>
                <w:sz w:val="1"/>
                <w:szCs w:val="1"/>
                <w:color w:val="auto"/>
              </w:rPr>
            </w:pPr>
          </w:p>
        </w:tc>
      </w:tr>
      <w:tr>
        <w:trPr>
          <w:trHeight w:val="210"/>
        </w:trPr>
        <w:tc>
          <w:tcPr>
            <w:tcW w:w="7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Continuation Advances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Notes payable principal payoff</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Proceeds from issuance of common stock from underwritten public equity offering, net of issuance costs</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880" w:type="dxa"/>
            <w:vAlign w:val="bottom"/>
            <w:shd w:val="clear" w:color="auto" w:fill="CCEEFF"/>
          </w:tcPr>
          <w:p>
            <w:pPr>
              <w:spacing w:after="0"/>
              <w:rPr>
                <w:sz w:val="10"/>
                <w:szCs w:val="10"/>
                <w:color w:val="auto"/>
              </w:rPr>
            </w:pPr>
          </w:p>
        </w:tc>
        <w:tc>
          <w:tcPr>
            <w:tcW w:w="69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Proceeds from issuance of common stock from equity plans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36"/>
        </w:trPr>
        <w:tc>
          <w:tcPr>
            <w:tcW w:w="880" w:type="dxa"/>
            <w:vAlign w:val="bottom"/>
            <w:shd w:val="clear" w:color="auto" w:fill="CCEEFF"/>
          </w:tcPr>
          <w:p>
            <w:pPr>
              <w:spacing w:after="0"/>
              <w:rPr>
                <w:sz w:val="20"/>
                <w:szCs w:val="20"/>
                <w:color w:val="auto"/>
              </w:rPr>
            </w:pP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37"/>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Net increase in cash and cash equivalents and restricted cash</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38,901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120"/>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60" w:type="dxa"/>
            <w:vAlign w:val="bottom"/>
            <w:gridSpan w:val="2"/>
            <w:vMerge w:val="continue"/>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72,528</w:t>
            </w:r>
          </w:p>
        </w:tc>
        <w:tc>
          <w:tcPr>
            <w:tcW w:w="100" w:type="dxa"/>
            <w:vAlign w:val="bottom"/>
          </w:tcPr>
          <w:p>
            <w:pPr>
              <w:spacing w:after="0"/>
              <w:rPr>
                <w:sz w:val="22"/>
                <w:szCs w:val="22"/>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gridSpan w:val="2"/>
            <w:shd w:val="clear" w:color="auto" w:fill="CCEEFF"/>
          </w:tcPr>
          <w:p>
            <w:pPr>
              <w:ind w:left="120"/>
              <w:spacing w:after="0" w:line="190" w:lineRule="exact"/>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Restricted cash at end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72,528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Supplemental disclosure of non-cash operating activities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6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Inventory transferred to property and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43"/>
        </w:trPr>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Inventory transferred from property and equipment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337" w:lineRule="exact"/>
        <w:rPr>
          <w:sz w:val="20"/>
          <w:szCs w:val="20"/>
          <w:color w:val="auto"/>
        </w:rPr>
      </w:pPr>
    </w:p>
    <w:p>
      <w:pPr>
        <w:ind w:right="140" w:firstLine="440"/>
        <w:spacing w:after="0" w:line="225" w:lineRule="auto"/>
        <w:rPr>
          <w:sz w:val="20"/>
          <w:szCs w:val="20"/>
          <w:color w:val="auto"/>
        </w:rPr>
      </w:pPr>
      <w:r>
        <w:rPr>
          <w:rFonts w:ascii="Arial" w:cs="Arial" w:eastAsia="Arial" w:hAnsi="Arial"/>
          <w:sz w:val="18"/>
          <w:szCs w:val="18"/>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46" w:lineRule="exact"/>
        <w:rPr>
          <w:sz w:val="20"/>
          <w:szCs w:val="20"/>
          <w:color w:val="auto"/>
        </w:rPr>
      </w:pPr>
    </w:p>
    <w:p>
      <w:pPr>
        <w:ind w:right="260" w:firstLine="440"/>
        <w:spacing w:after="0" w:line="246" w:lineRule="auto"/>
        <w:rPr>
          <w:sz w:val="20"/>
          <w:szCs w:val="20"/>
          <w:color w:val="auto"/>
        </w:rPr>
      </w:pPr>
      <w:r>
        <w:rPr>
          <w:rFonts w:ascii="Arial" w:cs="Arial" w:eastAsia="Arial" w:hAnsi="Arial"/>
          <w:sz w:val="17"/>
          <w:szCs w:val="17"/>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“Pacific Biosciences,” “PacBio,” “SMRT,” “SMRTbell,” “Sequel” and our logo are our trademarks.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TERMINATION OF MERGER WITH ILLUMINA</w:t>
      </w:r>
    </w:p>
    <w:p>
      <w:pPr>
        <w:spacing w:after="0" w:line="337" w:lineRule="exact"/>
        <w:rPr>
          <w:sz w:val="20"/>
          <w:szCs w:val="20"/>
          <w:color w:val="auto"/>
        </w:rPr>
      </w:pPr>
    </w:p>
    <w:p>
      <w:pPr>
        <w:ind w:firstLine="440"/>
        <w:spacing w:after="0" w:line="227" w:lineRule="auto"/>
        <w:rPr>
          <w:sz w:val="20"/>
          <w:szCs w:val="20"/>
          <w:color w:val="auto"/>
        </w:rPr>
      </w:pPr>
      <w:r>
        <w:rPr>
          <w:rFonts w:ascii="Arial" w:cs="Arial" w:eastAsia="Arial" w:hAnsi="Arial"/>
          <w:sz w:val="18"/>
          <w:szCs w:val="18"/>
          <w:color w:val="auto"/>
        </w:rPr>
        <w:t>On November 1, 2018, we entered into an Agreement and Plan of Merger (as amended, the “Merger Agreement”) with Illumina, Inc. (“Illumina”) and FC Ops Corp., a wholly owned subsidiary of Illumina (“Merger Subsidiary”). On January 2, 2020, we, Illumina and Merger Subsidiary, entered into an agreement to terminate the Merger Agreement (the “Termination Agreement”). As part of the Termination Agreement, Illumina paid us a $98.0 million termination fee (the “Reverse Termination Fee”), from which we paid our financial advisor associated fees of $6.0 million in April 2020. In addition, Illumina paid us cash payments (“Continuation Advances”) of $18.0 million during the fourth quarter of 2019 and $34.0 million during the first quarter of 2020.</w:t>
      </w:r>
    </w:p>
    <w:p>
      <w:pPr>
        <w:spacing w:after="0" w:line="40" w:lineRule="exact"/>
        <w:rPr>
          <w:sz w:val="20"/>
          <w:szCs w:val="20"/>
          <w:color w:val="auto"/>
        </w:rPr>
      </w:pPr>
    </w:p>
    <w:p>
      <w:pPr>
        <w:ind w:right="200" w:firstLine="440"/>
        <w:spacing w:after="0" w:line="261" w:lineRule="auto"/>
        <w:rPr>
          <w:sz w:val="20"/>
          <w:szCs w:val="20"/>
          <w:color w:val="auto"/>
        </w:rPr>
      </w:pPr>
      <w:r>
        <w:rPr>
          <w:rFonts w:ascii="Arial" w:cs="Arial" w:eastAsia="Arial" w:hAnsi="Arial"/>
          <w:sz w:val="16"/>
          <w:szCs w:val="16"/>
          <w:color w:val="auto"/>
        </w:rPr>
        <w:t>However, pursuant to the Termination Agreement, in the event that, on or prior to September 30, 2020, we entered into a definitive agreement providing for, or consummated, a Change of Control Transaction (as defined in the Termination Agreement) (“Change of Control Transaction”), then we may have been required to repay the Reverse Termination Fee (without interest) to Illumina in connection with the consummation of such Change of Control Transaction. No such definitive agreement was entered into nor was a Change of Control Transaction consummated as of September 30, 2020. Please refer to “Note 5. Balance Sheet Components” for the accounting treatment of the Reverse Termination Fee.</w:t>
      </w:r>
    </w:p>
    <w:p>
      <w:pPr>
        <w:spacing w:after="0" w:line="26" w:lineRule="exact"/>
        <w:rPr>
          <w:sz w:val="20"/>
          <w:szCs w:val="20"/>
          <w:color w:val="auto"/>
        </w:rPr>
      </w:pPr>
    </w:p>
    <w:p>
      <w:pPr>
        <w:ind w:firstLine="485"/>
        <w:spacing w:after="0" w:line="231" w:lineRule="auto"/>
        <w:rPr>
          <w:sz w:val="20"/>
          <w:szCs w:val="20"/>
          <w:color w:val="auto"/>
        </w:rPr>
      </w:pPr>
      <w:r>
        <w:rPr>
          <w:rFonts w:ascii="Arial" w:cs="Arial" w:eastAsia="Arial" w:hAnsi="Arial"/>
          <w:sz w:val="18"/>
          <w:szCs w:val="18"/>
          <w:color w:val="auto"/>
        </w:rPr>
        <w:t>In addition, up to the full $52.0 million of Continuation Advances paid to us are repayable without interest to Illumina if, within two years of March 31, 2020, we enter into, or consummate a Change of Control Transaction or raise at least $100 million in a single equity or debt financing (that may have multiple closings), with the amount repayable dependent on the amount raised by us. Please refer to “Note 3. Summary of Significant Accounting Policies” for the accounting treatment of the Continuation Advances.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63" w:lineRule="exact"/>
        <w:rPr>
          <w:sz w:val="20"/>
          <w:szCs w:val="20"/>
          <w:color w:val="auto"/>
        </w:rPr>
      </w:pPr>
    </w:p>
    <w:p>
      <w:pPr>
        <w:ind w:firstLine="440"/>
        <w:spacing w:after="0" w:line="238" w:lineRule="auto"/>
        <w:rPr>
          <w:sz w:val="20"/>
          <w:szCs w:val="20"/>
          <w:color w:val="auto"/>
        </w:rPr>
      </w:pPr>
      <w:r>
        <w:rPr>
          <w:rFonts w:ascii="Arial" w:cs="Arial" w:eastAsia="Arial" w:hAnsi="Arial"/>
          <w:sz w:val="17"/>
          <w:szCs w:val="17"/>
          <w:color w:val="auto"/>
        </w:rPr>
        <w:t>In the opinion of management, our accompanying unaudited condensed consolidated financial statements (“Financial Statements”) have been prepared on a consistent basis with our December 31, 2019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2019. The results of operations for the three and nine months ended September 30, 2020 are not necessarily indicative of the results to be expected for the entire year or any future periods.</w:t>
      </w:r>
    </w:p>
    <w:p>
      <w:pPr>
        <w:spacing w:after="0" w:line="42" w:lineRule="exact"/>
        <w:rPr>
          <w:sz w:val="20"/>
          <w:szCs w:val="20"/>
          <w:color w:val="auto"/>
        </w:rPr>
      </w:pPr>
    </w:p>
    <w:p>
      <w:pPr>
        <w:ind w:right="180" w:firstLine="440"/>
        <w:spacing w:after="0" w:line="246" w:lineRule="auto"/>
        <w:rPr>
          <w:sz w:val="20"/>
          <w:szCs w:val="20"/>
          <w:color w:val="auto"/>
        </w:rPr>
      </w:pPr>
      <w:r>
        <w:rPr>
          <w:rFonts w:ascii="Arial" w:cs="Arial" w:eastAsia="Arial" w:hAnsi="Arial"/>
          <w:sz w:val="18"/>
          <w:szCs w:val="18"/>
          <w:color w:val="auto"/>
        </w:rPr>
        <w:t>The condensed consolidated financial statements include the accounts of Pacific Biosciences and our wholly-owned subsidiaries. All intercompany transactions and balances have been eliminated.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63" w:lineRule="exact"/>
        <w:rPr>
          <w:sz w:val="20"/>
          <w:szCs w:val="20"/>
          <w:color w:val="auto"/>
        </w:rPr>
      </w:pPr>
    </w:p>
    <w:p>
      <w:pPr>
        <w:jc w:val="both"/>
        <w:ind w:right="380" w:firstLine="440"/>
        <w:spacing w:after="0" w:line="276" w:lineRule="auto"/>
        <w:rPr>
          <w:sz w:val="20"/>
          <w:szCs w:val="20"/>
          <w:color w:val="auto"/>
        </w:rPr>
      </w:pPr>
      <w:r>
        <w:rPr>
          <w:rFonts w:ascii="Arial" w:cs="Arial" w:eastAsia="Arial" w:hAnsi="Arial"/>
          <w:sz w:val="16"/>
          <w:szCs w:val="16"/>
          <w:color w:val="auto"/>
        </w:rPr>
        <w:t>We are subject to risks and uncertainties as a result of the novel coronavirus pandemic (COVID-19). The extent of the impact of the COVID-19 pandemic on our business is highly uncertain as responses to the pandemic can change quickly and information is rapidly evolving. We considered the impact of COVID-19 on the assumptions and estimates used to determine the results reported and asset valuations as of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3" w:lineRule="exact"/>
        <w:rPr>
          <w:sz w:val="20"/>
          <w:szCs w:val="20"/>
          <w:color w:val="auto"/>
        </w:rPr>
      </w:pPr>
    </w:p>
    <w:p>
      <w:pPr>
        <w:ind w:right="80" w:firstLine="440"/>
        <w:spacing w:after="0" w:line="23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valuation of a financing derivative and long-term notes,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computation of provisions for income taxes and the determination of the internal borrowing rate used in calculating the operating lease right-of-use assets and operating lease liabilities. Actual results could differ materially from these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63" w:lineRule="exact"/>
        <w:rPr>
          <w:sz w:val="20"/>
          <w:szCs w:val="20"/>
          <w:color w:val="auto"/>
        </w:rPr>
      </w:pPr>
    </w:p>
    <w:p>
      <w:pPr>
        <w:ind w:right="380" w:firstLine="440"/>
        <w:spacing w:after="0" w:line="246" w:lineRule="auto"/>
        <w:rPr>
          <w:sz w:val="20"/>
          <w:szCs w:val="20"/>
          <w:color w:val="auto"/>
        </w:rPr>
      </w:pPr>
      <w:r>
        <w:rPr>
          <w:rFonts w:ascii="Arial" w:cs="Arial" w:eastAsia="Arial" w:hAnsi="Arial"/>
          <w:sz w:val="18"/>
          <w:szCs w:val="18"/>
          <w:color w:val="auto"/>
        </w:rPr>
        <w:t>The carrying amount of our accounts receivable, prepaid expenses, other current assets, accounts payable, accrued expenses and other liabilities, current, approximate fair value due to their short maturities.</w:t>
      </w:r>
    </w:p>
    <w:p>
      <w:pPr>
        <w:spacing w:after="0" w:line="35" w:lineRule="exact"/>
        <w:rPr>
          <w:sz w:val="20"/>
          <w:szCs w:val="20"/>
          <w:color w:val="auto"/>
        </w:rPr>
      </w:pPr>
    </w:p>
    <w:p>
      <w:pPr>
        <w:ind w:right="780" w:firstLine="440"/>
        <w:spacing w:after="0" w:line="274"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1100" w:right="20"/>
        <w:spacing w:after="0" w:line="253"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7"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5" w:lineRule="exact"/>
        <w:rPr>
          <w:sz w:val="20"/>
          <w:szCs w:val="20"/>
          <w:color w:val="auto"/>
        </w:rPr>
      </w:pPr>
    </w:p>
    <w:p>
      <w:pPr>
        <w:ind w:right="100" w:firstLine="482"/>
        <w:spacing w:after="0" w:line="246"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6" w:lineRule="exact"/>
        <w:rPr>
          <w:sz w:val="20"/>
          <w:szCs w:val="20"/>
          <w:color w:val="auto"/>
        </w:rPr>
      </w:pPr>
    </w:p>
    <w:p>
      <w:pPr>
        <w:ind w:right="140" w:firstLine="440"/>
        <w:spacing w:after="0" w:line="225" w:lineRule="auto"/>
        <w:rPr>
          <w:sz w:val="20"/>
          <w:szCs w:val="20"/>
          <w:color w:val="auto"/>
        </w:rPr>
      </w:pPr>
      <w:r>
        <w:rPr>
          <w:rFonts w:ascii="Arial" w:cs="Arial" w:eastAsia="Arial" w:hAnsi="Arial"/>
          <w:sz w:val="18"/>
          <w:szCs w:val="18"/>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80" w:firstLine="440"/>
        <w:spacing w:after="0" w:line="23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63" w:lineRule="exact"/>
        <w:rPr>
          <w:sz w:val="20"/>
          <w:szCs w:val="20"/>
          <w:color w:val="auto"/>
        </w:rPr>
      </w:pPr>
    </w:p>
    <w:p>
      <w:pPr>
        <w:ind w:right="200" w:firstLine="492"/>
        <w:spacing w:after="0" w:line="246" w:lineRule="auto"/>
        <w:rPr>
          <w:sz w:val="20"/>
          <w:szCs w:val="20"/>
          <w:color w:val="auto"/>
        </w:rPr>
      </w:pPr>
      <w:r>
        <w:rPr>
          <w:rFonts w:ascii="Arial" w:cs="Arial" w:eastAsia="Arial" w:hAnsi="Arial"/>
          <w:sz w:val="18"/>
          <w:szCs w:val="18"/>
          <w:color w:val="auto"/>
        </w:rPr>
        <w:t>The following table sets forth the fair value of our financial assets and liabilities that were measured on a recurring basis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September 30, 2020</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83"/>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20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740" w:type="dxa"/>
            <w:vAlign w:val="bottom"/>
          </w:tcPr>
          <w:p>
            <w:pPr>
              <w:jc w:val="right"/>
              <w:ind w:right="189"/>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01"/>
        </w:trPr>
        <w:tc>
          <w:tcPr>
            <w:tcW w:w="286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Cash and money market funds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41,784</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left w:val="single" w:sz="8" w:color="CCEEFF"/>
            </w:tcBorders>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w:t>
            </w:r>
          </w:p>
        </w:tc>
      </w:tr>
      <w:tr>
        <w:trPr>
          <w:trHeight w:val="229"/>
        </w:trPr>
        <w:tc>
          <w:tcPr>
            <w:tcW w:w="2860" w:type="dxa"/>
            <w:vAlign w:val="bottom"/>
            <w:gridSpan w:val="3"/>
          </w:tcPr>
          <w:p>
            <w:pPr>
              <w:spacing w:after="0"/>
              <w:rPr>
                <w:sz w:val="20"/>
                <w:szCs w:val="20"/>
                <w:color w:val="auto"/>
              </w:rPr>
            </w:pPr>
            <w:r>
              <w:rPr>
                <w:rFonts w:ascii="Arial" w:cs="Arial" w:eastAsia="Arial" w:hAnsi="Arial"/>
                <w:sz w:val="14"/>
                <w:szCs w:val="14"/>
                <w:color w:val="auto"/>
              </w:rPr>
              <w:t>Commercial paper</w:t>
            </w: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24,244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10,983</w:t>
            </w:r>
          </w:p>
        </w:tc>
      </w:tr>
      <w:tr>
        <w:trPr>
          <w:trHeight w:val="230"/>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Treasury security</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3"/>
        </w:trPr>
        <w:tc>
          <w:tcPr>
            <w:tcW w:w="2860" w:type="dxa"/>
            <w:vAlign w:val="bottom"/>
            <w:gridSpan w:val="3"/>
          </w:tcPr>
          <w:p>
            <w:pPr>
              <w:spacing w:after="0"/>
              <w:rPr>
                <w:sz w:val="20"/>
                <w:szCs w:val="20"/>
                <w:color w:val="auto"/>
              </w:rPr>
            </w:pPr>
            <w:r>
              <w:rPr>
                <w:rFonts w:ascii="Arial" w:cs="Arial" w:eastAsia="Arial" w:hAnsi="Arial"/>
                <w:sz w:val="14"/>
                <w:szCs w:val="14"/>
                <w:color w:val="auto"/>
              </w:rPr>
              <w:t>Total cash and cash equivalents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41,784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18,644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29,627</w:t>
            </w:r>
          </w:p>
        </w:tc>
      </w:tr>
      <w:tr>
        <w:trPr>
          <w:trHeight w:val="216"/>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223"/>
        </w:trPr>
        <w:tc>
          <w:tcPr>
            <w:tcW w:w="2860" w:type="dxa"/>
            <w:vAlign w:val="bottom"/>
            <w:gridSpan w:val="3"/>
          </w:tcPr>
          <w:p>
            <w:pPr>
              <w:spacing w:after="0"/>
              <w:rPr>
                <w:sz w:val="20"/>
                <w:szCs w:val="20"/>
                <w:color w:val="auto"/>
              </w:rPr>
            </w:pPr>
            <w:r>
              <w:rPr>
                <w:rFonts w:ascii="Arial" w:cs="Arial" w:eastAsia="Arial" w:hAnsi="Arial"/>
                <w:sz w:val="14"/>
                <w:szCs w:val="14"/>
                <w:color w:val="auto"/>
              </w:rPr>
              <w:t>Commercial paper</w:t>
            </w: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105,380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16,971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16,971</w:t>
            </w:r>
          </w:p>
        </w:tc>
      </w:tr>
      <w:tr>
        <w:trPr>
          <w:trHeight w:val="229"/>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12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r>
      <w:tr>
        <w:trPr>
          <w:trHeight w:val="230"/>
        </w:trPr>
        <w:tc>
          <w:tcPr>
            <w:tcW w:w="2860" w:type="dxa"/>
            <w:vAlign w:val="bottom"/>
            <w:gridSpan w:val="3"/>
          </w:tcPr>
          <w:p>
            <w:pPr>
              <w:spacing w:after="0"/>
              <w:rPr>
                <w:sz w:val="20"/>
                <w:szCs w:val="20"/>
                <w:color w:val="auto"/>
              </w:rPr>
            </w:pPr>
            <w:r>
              <w:rPr>
                <w:rFonts w:ascii="Arial" w:cs="Arial" w:eastAsia="Arial" w:hAnsi="Arial"/>
                <w:sz w:val="14"/>
                <w:szCs w:val="14"/>
                <w:color w:val="auto"/>
              </w:rPr>
              <w:t>U.S. government &amp; agency securities</w:t>
            </w: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U.S. Treasury security</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9"/>
        </w:trPr>
        <w:tc>
          <w:tcPr>
            <w:tcW w:w="2860" w:type="dxa"/>
            <w:vAlign w:val="bottom"/>
            <w:gridSpan w:val="3"/>
          </w:tcPr>
          <w:p>
            <w:pPr>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139,522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19,472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19,472</w:t>
            </w:r>
          </w:p>
        </w:tc>
      </w:tr>
      <w:tr>
        <w:trPr>
          <w:trHeight w:val="216"/>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Long-term restricted cash:</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3"/>
        </w:trPr>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Cash</w:t>
            </w:r>
          </w:p>
        </w:tc>
        <w:tc>
          <w:tcPr>
            <w:tcW w:w="1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3,500</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4,000</w:t>
            </w:r>
          </w:p>
        </w:tc>
      </w:tr>
      <w:tr>
        <w:trPr>
          <w:trHeight w:val="20"/>
        </w:trPr>
        <w:tc>
          <w:tcPr>
            <w:tcW w:w="74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6"/>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212,050</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30,455</w:t>
            </w:r>
          </w:p>
        </w:tc>
        <w:tc>
          <w:tcPr>
            <w:tcW w:w="800" w:type="dxa"/>
            <w:vAlign w:val="bottom"/>
            <w:tcBorders>
              <w:left w:val="single" w:sz="8" w:color="CCEEFF"/>
            </w:tcBorders>
            <w:gridSpan w:val="2"/>
            <w:shd w:val="clear" w:color="auto" w:fill="CCEEFF"/>
          </w:tcPr>
          <w:p>
            <w:pPr>
              <w:jc w:val="right"/>
              <w:ind w:right="537"/>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53,099</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70"/>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70"/>
        </w:trPr>
        <w:tc>
          <w:tcPr>
            <w:tcW w:w="2860" w:type="dxa"/>
            <w:vAlign w:val="bottom"/>
            <w:gridSpan w:val="3"/>
          </w:tcPr>
          <w:p>
            <w:pPr>
              <w:spacing w:after="0"/>
              <w:rPr>
                <w:sz w:val="20"/>
                <w:szCs w:val="20"/>
                <w:color w:val="auto"/>
              </w:rPr>
            </w:pPr>
            <w:r>
              <w:rPr>
                <w:rFonts w:ascii="Arial" w:cs="Arial" w:eastAsia="Arial" w:hAnsi="Arial"/>
                <w:sz w:val="14"/>
                <w:szCs w:val="14"/>
                <w:color w:val="auto"/>
              </w:rPr>
              <w:t>Financing Derivative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537"/>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Continuation Advances</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36"/>
        </w:trPr>
        <w:tc>
          <w:tcPr>
            <w:tcW w:w="2860" w:type="dxa"/>
            <w:vAlign w:val="bottom"/>
            <w:gridSpan w:val="3"/>
          </w:tcPr>
          <w:p>
            <w:pPr>
              <w:spacing w:after="0"/>
              <w:rPr>
                <w:sz w:val="20"/>
                <w:szCs w:val="20"/>
                <w:color w:val="auto"/>
              </w:rPr>
            </w:pPr>
            <w:r>
              <w:rPr>
                <w:rFonts w:ascii="Arial" w:cs="Arial" w:eastAsia="Arial" w:hAnsi="Arial"/>
                <w:sz w:val="14"/>
                <w:szCs w:val="14"/>
                <w:color w:val="auto"/>
              </w:rPr>
              <w:t>Total liabilities measured at fair value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537"/>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Financing Derivative liability</w:t>
      </w:r>
    </w:p>
    <w:p>
      <w:pPr>
        <w:spacing w:after="0" w:line="63" w:lineRule="exact"/>
        <w:rPr>
          <w:sz w:val="20"/>
          <w:szCs w:val="20"/>
          <w:color w:val="auto"/>
        </w:rPr>
      </w:pPr>
    </w:p>
    <w:p>
      <w:pPr>
        <w:ind w:right="40" w:firstLine="440"/>
        <w:spacing w:after="0" w:line="235" w:lineRule="auto"/>
        <w:rPr>
          <w:sz w:val="20"/>
          <w:szCs w:val="20"/>
          <w:color w:val="auto"/>
        </w:rPr>
      </w:pPr>
      <w:r>
        <w:rPr>
          <w:rFonts w:ascii="Arial" w:cs="Arial" w:eastAsia="Arial" w:hAnsi="Arial"/>
          <w:sz w:val="18"/>
          <w:szCs w:val="18"/>
          <w:color w:val="auto"/>
        </w:rPr>
        <w:t>The estimated fair value of the Financing Derivative liability (as defined in the “Notes payable, current” section in “Note 5. Balance Sheet Components”) was determined using Level 3 inputs, or significant unobservable inputs. Changes to the estimated fair value of the Financing Derivative are recorded in “Other income, net” in the consolidated statements of operations and comprehensive loss.</w:t>
      </w:r>
    </w:p>
    <w:p>
      <w:pPr>
        <w:spacing w:after="0" w:line="67" w:lineRule="exact"/>
        <w:rPr>
          <w:sz w:val="20"/>
          <w:szCs w:val="20"/>
          <w:color w:val="auto"/>
        </w:rPr>
      </w:pPr>
    </w:p>
    <w:p>
      <w:pPr>
        <w:jc w:val="both"/>
        <w:ind w:right="180" w:firstLine="440"/>
        <w:spacing w:after="0" w:line="280"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from the debt facility that we entered into during the first quarter of 2013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2020, upon maturity of the Notes, the Financing Derivative was extinguished. Refer to the “Notes payable, current” section in “Note 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Components” for a detailed description and valuation approach.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fair value of the Continuation Advances liability</w:t>
      </w:r>
    </w:p>
    <w:p>
      <w:pPr>
        <w:spacing w:after="0" w:line="63"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In accordance with the terms of the Merger Agreement, we received Continuation Advances of $18.0 million and $34.0 million from Illumina during the fourth quarter of 2019 and the first quarter of 2020, respectively.</w:t>
      </w:r>
    </w:p>
    <w:p>
      <w:pPr>
        <w:spacing w:after="0" w:line="35"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We determined that the Continuation Advances, which are subject to repayment under certain circumstances as discussed below, constitute a financial liability.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60" w:firstLine="440"/>
        <w:spacing w:after="0"/>
        <w:rPr>
          <w:sz w:val="20"/>
          <w:szCs w:val="20"/>
          <w:color w:val="auto"/>
        </w:rPr>
      </w:pPr>
      <w:r>
        <w:rPr>
          <w:rFonts w:ascii="Arial" w:cs="Arial" w:eastAsia="Arial" w:hAnsi="Arial"/>
          <w:sz w:val="17"/>
          <w:szCs w:val="17"/>
          <w:color w:val="auto"/>
        </w:rPr>
        <w:t xml:space="preserve">The fair value option was elected for the financial liability because management believes that among all measurement methods allowed by Accounting Standards Codification, or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there would be no future cash outflows associated with this financial instrument because the probabilities of either of the following events occurring and requiring repayment to Illumina were evaluated as being remote as of September 30, 2020 and December 31, 2019:</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enter into a Change of Control Transaction within two years following March 31, 2020; or</w:t>
      </w:r>
    </w:p>
    <w:p>
      <w:pPr>
        <w:spacing w:after="0" w:line="90"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we raise $100 million or more in a single equity or debt financing (that may have multiple closings) within two years following March 31, 2020.</w:t>
      </w:r>
    </w:p>
    <w:p>
      <w:pPr>
        <w:spacing w:after="0" w:line="35" w:lineRule="exact"/>
        <w:rPr>
          <w:sz w:val="20"/>
          <w:szCs w:val="20"/>
          <w:color w:val="auto"/>
        </w:rPr>
      </w:pPr>
    </w:p>
    <w:p>
      <w:pPr>
        <w:ind w:right="160" w:firstLine="440"/>
        <w:spacing w:after="0" w:line="231" w:lineRule="auto"/>
        <w:rPr>
          <w:sz w:val="20"/>
          <w:szCs w:val="20"/>
          <w:color w:val="auto"/>
        </w:rPr>
      </w:pPr>
      <w:r>
        <w:rPr>
          <w:rFonts w:ascii="Arial" w:cs="Arial" w:eastAsia="Arial" w:hAnsi="Arial"/>
          <w:sz w:val="18"/>
          <w:szCs w:val="18"/>
          <w:color w:val="auto"/>
        </w:rPr>
        <w:t>As a result, the estimated fair value of the liability associated with the contingent repayment of the Continuation Advances received in the first quarter of 2020 was assessed to be zero as of March 31, 2020, June 30, 2020 and September 30, 2020, respectively, with a resulting non-operating gain of $34.0 million recorded as “Gain from Continuation Advances from Illumina” for the quarter ended March 31, 2020. We recorded a similar gain of $18.0 million in 2019 for the Continuation Advances received during the fourth quarter of 2019.</w:t>
      </w:r>
    </w:p>
    <w:p>
      <w:pPr>
        <w:spacing w:after="0" w:line="40"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For the quarter ended September 30, 2020, there were no transfers between Level 1, Level 2, or Level 3 assets or liabilities reported at fair value on a recurring basis and our valuation techniques did not change compared to the prior year.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40" w:firstLine="440"/>
        <w:spacing w:after="0" w:line="276" w:lineRule="auto"/>
        <w:rPr>
          <w:sz w:val="20"/>
          <w:szCs w:val="20"/>
          <w:color w:val="auto"/>
        </w:rPr>
      </w:pPr>
      <w:r>
        <w:rPr>
          <w:rFonts w:ascii="Arial" w:cs="Arial" w:eastAsia="Arial" w:hAnsi="Arial"/>
          <w:sz w:val="16"/>
          <w:szCs w:val="16"/>
          <w:color w:val="auto"/>
        </w:rPr>
        <w:t xml:space="preserve">The following outstanding common stock options, restricted stock units (“RSUs”), with time-based vesting and RSUs with performance-based vesting, were excluded from the computation of diluted net loss per share for the periods presented because including them would have had an anti-dilutive effect. See </w:t>
      </w:r>
      <w:r>
        <w:rPr>
          <w:rFonts w:ascii="Arial" w:cs="Arial" w:eastAsia="Arial" w:hAnsi="Arial"/>
          <w:sz w:val="16"/>
          <w:szCs w:val="16"/>
          <w:i w:val="1"/>
          <w:iCs w:val="1"/>
          <w:color w:val="auto"/>
        </w:rPr>
        <w:t>Note 7. Stockholders’ Equity</w:t>
      </w:r>
      <w:r>
        <w:rPr>
          <w:rFonts w:ascii="Arial" w:cs="Arial" w:eastAsia="Arial" w:hAnsi="Arial"/>
          <w:sz w:val="16"/>
          <w:szCs w:val="16"/>
          <w:color w:val="auto"/>
        </w:rPr>
        <w:t xml:space="preserve"> for detailed information on RSUs with time-based vesting and RSUs with performance-based vesting.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520" w:type="dxa"/>
            <w:vAlign w:val="bottom"/>
            <w:gridSpan w:val="3"/>
          </w:tcPr>
          <w:p>
            <w:pPr>
              <w:ind w:left="1360"/>
              <w:spacing w:after="0"/>
              <w:rPr>
                <w:sz w:val="20"/>
                <w:szCs w:val="20"/>
                <w:color w:val="auto"/>
              </w:rPr>
            </w:pPr>
            <w:r>
              <w:rPr>
                <w:rFonts w:ascii="Arial" w:cs="Arial" w:eastAsia="Arial" w:hAnsi="Arial"/>
                <w:sz w:val="14"/>
                <w:szCs w:val="14"/>
                <w:b w:val="1"/>
                <w:bCs w:val="1"/>
                <w:color w:val="auto"/>
                <w:w w:val="92"/>
              </w:rPr>
              <w:t>Nine Months Ended September 30,</w:t>
            </w:r>
          </w:p>
        </w:tc>
        <w:tc>
          <w:tcPr>
            <w:tcW w:w="1360" w:type="dxa"/>
            <w:vAlign w:val="bottom"/>
          </w:tcPr>
          <w:p>
            <w:pPr>
              <w:spacing w:after="0"/>
              <w:rPr>
                <w:sz w:val="16"/>
                <w:szCs w:val="16"/>
                <w:color w:val="auto"/>
              </w:rPr>
            </w:pPr>
          </w:p>
        </w:tc>
      </w:tr>
      <w:tr>
        <w:trPr>
          <w:trHeight w:val="222"/>
        </w:trPr>
        <w:tc>
          <w:tcPr>
            <w:tcW w:w="6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2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19,921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23,048</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RSUs with time-based vesting</w:t>
            </w:r>
          </w:p>
        </w:tc>
        <w:tc>
          <w:tcPr>
            <w:tcW w:w="2200" w:type="dxa"/>
            <w:vAlign w:val="bottom"/>
          </w:tcPr>
          <w:p>
            <w:pPr>
              <w:jc w:val="right"/>
              <w:ind w:right="97"/>
              <w:spacing w:after="0"/>
              <w:rPr>
                <w:sz w:val="20"/>
                <w:szCs w:val="20"/>
                <w:color w:val="auto"/>
              </w:rPr>
            </w:pPr>
            <w:r>
              <w:rPr>
                <w:rFonts w:ascii="Arial" w:cs="Arial" w:eastAsia="Arial" w:hAnsi="Arial"/>
                <w:sz w:val="18"/>
                <w:szCs w:val="18"/>
                <w:color w:val="auto"/>
              </w:rPr>
              <w:t>5,971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1,094</w:t>
            </w: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RSUs with performance-based vesting</w:t>
            </w:r>
          </w:p>
        </w:tc>
        <w:tc>
          <w:tcPr>
            <w:tcW w:w="2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138</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and Other Risks</w:t>
      </w:r>
    </w:p>
    <w:p>
      <w:pPr>
        <w:spacing w:after="0" w:line="63" w:lineRule="exact"/>
        <w:rPr>
          <w:sz w:val="20"/>
          <w:szCs w:val="20"/>
          <w:color w:val="auto"/>
        </w:rPr>
      </w:pPr>
    </w:p>
    <w:p>
      <w:pPr>
        <w:ind w:right="80" w:firstLine="570"/>
        <w:spacing w:after="0" w:line="231" w:lineRule="auto"/>
        <w:rPr>
          <w:sz w:val="20"/>
          <w:szCs w:val="20"/>
          <w:color w:val="auto"/>
        </w:rPr>
      </w:pPr>
      <w:r>
        <w:rPr>
          <w:rFonts w:ascii="Arial" w:cs="Arial" w:eastAsia="Arial" w:hAnsi="Arial"/>
          <w:sz w:val="18"/>
          <w:szCs w:val="18"/>
          <w:color w:val="auto"/>
        </w:rPr>
        <w:t>For the three and nine months ended September 30, 2020, Gene Company Limited accounted for approximately 18% and 14%, respectively, of our total revenue during the period with no other customer exceeding 10% during those periods. For the three and nine months ended September 30, 2019, Gene Company Limited accounted for approximately 14% and 18% of our total revenue, respectively, with no other customer exceeding 10% during those periods. Gene Company Limited is our primary distributor in China.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44" w:lineRule="exact"/>
        <w:rPr>
          <w:sz w:val="20"/>
          <w:szCs w:val="20"/>
          <w:color w:val="auto"/>
        </w:rPr>
      </w:pPr>
    </w:p>
    <w:p>
      <w:pPr>
        <w:ind w:right="80" w:firstLine="440"/>
        <w:spacing w:after="0" w:line="227" w:lineRule="auto"/>
        <w:rPr>
          <w:sz w:val="20"/>
          <w:szCs w:val="20"/>
          <w:color w:val="auto"/>
        </w:rPr>
      </w:pPr>
      <w:r>
        <w:rPr>
          <w:rFonts w:ascii="Arial" w:cs="Arial" w:eastAsia="Arial" w:hAnsi="Arial"/>
          <w:sz w:val="18"/>
          <w:szCs w:val="18"/>
          <w:color w:val="auto"/>
        </w:rPr>
        <w:t xml:space="preserve">In June 2016, the Financial Accounting Standards Board, or FASB, issued Accounting Standards Update, or ASU,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(Topic 326): Measurement of Credit Losses on Financial Instruments </w:t>
      </w:r>
      <w:r>
        <w:rPr>
          <w:rFonts w:ascii="Arial" w:cs="Arial" w:eastAsia="Arial" w:hAnsi="Arial"/>
          <w:sz w:val="18"/>
          <w:szCs w:val="18"/>
          <w:color w:val="auto"/>
        </w:rPr>
        <w:t>(“Topic 326”), which replaces existing incurred loss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establishes a single allowance framework for financial assets carried at amortized cost. We adopted Topic 326 on January 1, 2020, using a modified retrospective transition method, which requires a cumulative-effect adjustment to the opening balance of retained earnings/accumulated deficit to be recognized on the date of adoption with prior periods not restated. The cumulative-effect adjustment recorded on January 1, 2020, is shown below (in thousands):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Sheets</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Balance at December</w:t>
            </w: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Adjustments Due to</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2"/>
              </w:rPr>
              <w:t>Balance at January 1,</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31, 2019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Topic 326</w:t>
            </w:r>
          </w:p>
        </w:tc>
        <w:tc>
          <w:tcPr>
            <w:tcW w:w="3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(1,066,240)</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(1,066,272)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color w:val="auto"/>
        </w:rPr>
        <w:t>The adoption of Topic 326 did not have a material impact on our financial statements and our bad debt expense was immaterial as of September 30, 2020. Please see the description of our “Credit Losses” accounting policy in the “Significant Accounting Policies” section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jc w:val="both"/>
        <w:ind w:right="420" w:firstLine="440"/>
        <w:spacing w:after="0" w:line="235" w:lineRule="auto"/>
        <w:rPr>
          <w:sz w:val="20"/>
          <w:szCs w:val="20"/>
          <w:color w:val="auto"/>
        </w:rPr>
      </w:pPr>
      <w:r>
        <w:rPr>
          <w:rFonts w:ascii="Arial" w:cs="Arial" w:eastAsia="Arial" w:hAnsi="Arial"/>
          <w:sz w:val="18"/>
          <w:szCs w:val="18"/>
          <w:color w:val="auto"/>
        </w:rPr>
        <w:t>With the exception of the change for the accounting of credit losses as a result of the adoption of Topic 326, there have been no new or material changes to the significant accounting policies discussed in our Annual Report on Form 10-K for the fiscal year ended December 31, 2019, that are of significance, or potential significance, to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44" w:lineRule="exact"/>
        <w:rPr>
          <w:sz w:val="20"/>
          <w:szCs w:val="20"/>
          <w:color w:val="auto"/>
        </w:rPr>
      </w:pPr>
    </w:p>
    <w:p>
      <w:pPr>
        <w:jc w:val="both"/>
        <w:ind w:right="40" w:firstLine="440"/>
        <w:spacing w:after="0" w:line="235" w:lineRule="auto"/>
        <w:rPr>
          <w:sz w:val="20"/>
          <w:szCs w:val="20"/>
          <w:color w:val="auto"/>
        </w:rPr>
      </w:pPr>
      <w:r>
        <w:rPr>
          <w:rFonts w:ascii="Arial" w:cs="Arial" w:eastAsia="Arial" w:hAnsi="Arial"/>
          <w:sz w:val="18"/>
          <w:szCs w:val="18"/>
          <w:i w:val="1"/>
          <w:iCs w:val="1"/>
          <w:color w:val="auto"/>
        </w:rPr>
        <w:t xml:space="preserve">Trade accounts receivable. </w:t>
      </w:r>
      <w:r>
        <w:rPr>
          <w:rFonts w:ascii="Arial" w:cs="Arial" w:eastAsia="Arial" w:hAnsi="Arial"/>
          <w:sz w:val="18"/>
          <w:szCs w:val="18"/>
          <w:color w:val="auto"/>
        </w:rPr>
        <w:t>The allowance for doubtful accounts is based on our assessment of the collectability of customer accounts. We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the allowance by considering factors such as the age of the accounts receivable balances, customer creditworthiness, customer industry, and current and forecasted economic conditions that may affect a customer’s ability to pay.</w:t>
      </w:r>
    </w:p>
    <w:p>
      <w:pPr>
        <w:spacing w:after="0" w:line="148" w:lineRule="exact"/>
        <w:rPr>
          <w:sz w:val="20"/>
          <w:szCs w:val="20"/>
          <w:color w:val="auto"/>
        </w:rPr>
      </w:pPr>
    </w:p>
    <w:p>
      <w:pPr>
        <w:ind w:firstLine="492"/>
        <w:spacing w:after="0" w:line="246"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Our investment portfolio at any point in time contains investments in cash deposits, money market funds,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paper, corporate debt securities and US government and agency securities. We regularly review the securities in an unrealized loss position and evaluate the current expected credit loss by considering factors such as significance of loss, historical experience, market data, issuer-specific factors, and current economic conditions and concluded that an allowance for credit losses was not required as of September 30 2020.</w:t>
      </w:r>
    </w:p>
    <w:p>
      <w:pPr>
        <w:spacing w:after="0" w:line="144" w:lineRule="exact"/>
        <w:rPr>
          <w:sz w:val="20"/>
          <w:szCs w:val="20"/>
          <w:color w:val="auto"/>
        </w:rPr>
      </w:pPr>
    </w:p>
    <w:p>
      <w:pPr>
        <w:ind w:right="260" w:firstLine="492"/>
        <w:spacing w:after="0" w:line="235" w:lineRule="auto"/>
        <w:rPr>
          <w:sz w:val="20"/>
          <w:szCs w:val="20"/>
          <w:color w:val="auto"/>
        </w:rPr>
      </w:pPr>
      <w:r>
        <w:rPr>
          <w:rFonts w:ascii="Arial" w:cs="Arial" w:eastAsia="Arial" w:hAnsi="Arial"/>
          <w:sz w:val="18"/>
          <w:szCs w:val="18"/>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INVESTMENTS</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our cash, cash equivalents and investments as of September 30, 2020 and December 31, 2019 (in thousands):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September 30, 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24,244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security</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96"/>
        </w:trPr>
        <w:tc>
          <w:tcPr>
            <w:tcW w:w="4600" w:type="dxa"/>
            <w:vAlign w:val="bottom"/>
          </w:tcPr>
          <w:p>
            <w:pPr>
              <w:ind w:left="220"/>
              <w:spacing w:after="0" w:line="196" w:lineRule="exact"/>
              <w:rPr>
                <w:sz w:val="20"/>
                <w:szCs w:val="20"/>
                <w:color w:val="auto"/>
              </w:rPr>
            </w:pPr>
            <w:r>
              <w:rPr>
                <w:rFonts w:ascii="Arial" w:cs="Arial" w:eastAsia="Arial" w:hAnsi="Arial"/>
                <w:sz w:val="18"/>
                <w:szCs w:val="18"/>
                <w:color w:val="auto"/>
              </w:rPr>
              <w:t>Total cash and cash equivalents</w:t>
            </w: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69,027</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69,028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105,380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government &amp; agency securities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security</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196"/>
        </w:trPr>
        <w:tc>
          <w:tcPr>
            <w:tcW w:w="4600" w:type="dxa"/>
            <w:vAlign w:val="bottom"/>
          </w:tcPr>
          <w:p>
            <w:pPr>
              <w:ind w:left="220"/>
              <w:spacing w:after="0" w:line="196" w:lineRule="exact"/>
              <w:rPr>
                <w:sz w:val="20"/>
                <w:szCs w:val="20"/>
                <w:color w:val="auto"/>
              </w:rPr>
            </w:pPr>
            <w:r>
              <w:rPr>
                <w:rFonts w:ascii="Arial" w:cs="Arial" w:eastAsia="Arial" w:hAnsi="Arial"/>
                <w:sz w:val="18"/>
                <w:szCs w:val="18"/>
                <w:color w:val="auto"/>
              </w:rPr>
              <w:t>Total investments</w:t>
            </w: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139,405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139,522</w:t>
            </w: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19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2"/>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money market funds</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investments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56"/>
        </w:trPr>
        <w:tc>
          <w:tcPr>
            <w:tcW w:w="4600" w:type="dxa"/>
            <w:vAlign w:val="bottom"/>
          </w:tcPr>
          <w:p>
            <w:pPr>
              <w:ind w:left="440"/>
              <w:spacing w:after="0"/>
              <w:rPr>
                <w:sz w:val="20"/>
                <w:szCs w:val="20"/>
                <w:color w:val="auto"/>
              </w:rPr>
            </w:pPr>
            <w:r>
              <w:rPr>
                <w:rFonts w:ascii="Arial" w:cs="Arial" w:eastAsia="Arial" w:hAnsi="Arial"/>
                <w:sz w:val="18"/>
                <w:szCs w:val="18"/>
                <w:color w:val="auto"/>
              </w:rPr>
              <w:t>Total cash, cash equivalents and investments</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49,094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49,099</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Long-term restricted cash:</w:t>
            </w:r>
          </w:p>
        </w:tc>
        <w:tc>
          <w:tcPr>
            <w:tcW w:w="9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firstLine="492"/>
        <w:spacing w:after="0" w:line="246" w:lineRule="auto"/>
        <w:rPr>
          <w:sz w:val="20"/>
          <w:szCs w:val="20"/>
          <w:color w:val="auto"/>
        </w:rPr>
      </w:pPr>
      <w:r>
        <w:rPr>
          <w:rFonts w:ascii="Arial" w:cs="Arial" w:eastAsia="Arial" w:hAnsi="Arial"/>
          <w:sz w:val="18"/>
          <w:szCs w:val="18"/>
          <w:color w:val="auto"/>
        </w:rPr>
        <w:t>The following table summarizes the contractual maturities of our cash equivalents and available-for-sale investments, excluding money market funds, as of September 30, 2020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152,858</w:t>
            </w:r>
          </w:p>
        </w:tc>
      </w:tr>
      <w:tr>
        <w:trPr>
          <w:trHeight w:val="270"/>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5 years</w:t>
            </w:r>
          </w:p>
        </w:tc>
        <w:tc>
          <w:tcPr>
            <w:tcW w:w="5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13,908</w:t>
            </w:r>
          </w:p>
        </w:tc>
      </w:tr>
      <w:tr>
        <w:trPr>
          <w:trHeight w:val="236"/>
        </w:trPr>
        <w:tc>
          <w:tcPr>
            <w:tcW w:w="8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166,766</w:t>
            </w:r>
          </w:p>
        </w:tc>
      </w:tr>
      <w:tr>
        <w:trPr>
          <w:trHeight w:val="20"/>
        </w:trPr>
        <w:tc>
          <w:tcPr>
            <w:tcW w:w="8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Actual maturities may differ from contractual maturities because issuers may have the right to call or prepay obligations without call or prepayment penalties.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2020 and December 31, 2019, our inventory consisted of the following components: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020" w:type="dxa"/>
            <w:vAlign w:val="bottom"/>
          </w:tcPr>
          <w:p>
            <w:pPr>
              <w:jc w:val="right"/>
              <w:ind w:right="8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tcPr>
          <w:p>
            <w:pPr>
              <w:jc w:val="right"/>
              <w:ind w:right="93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1216"/>
              <w:spacing w:after="0"/>
              <w:rPr>
                <w:sz w:val="20"/>
                <w:szCs w:val="20"/>
                <w:color w:val="auto"/>
              </w:rPr>
            </w:pPr>
            <w:r>
              <w:rPr>
                <w:rFonts w:ascii="Arial" w:cs="Arial" w:eastAsia="Arial" w:hAnsi="Arial"/>
                <w:sz w:val="14"/>
                <w:szCs w:val="14"/>
                <w:b w:val="1"/>
                <w:bCs w:val="1"/>
                <w:color w:val="auto"/>
              </w:rPr>
              <w:t>2019</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Purchased materials</w:t>
            </w:r>
          </w:p>
        </w:tc>
        <w:tc>
          <w:tcPr>
            <w:tcW w:w="2020" w:type="dxa"/>
            <w:vAlign w:val="bottom"/>
            <w:shd w:val="clear" w:color="auto" w:fill="CCEEFF"/>
          </w:tcPr>
          <w:p>
            <w:pPr>
              <w:jc w:val="right"/>
              <w:ind w:right="18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5,198</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3,966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Work in process</w:t>
            </w:r>
          </w:p>
        </w:tc>
        <w:tc>
          <w:tcPr>
            <w:tcW w:w="20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5,439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76"/>
              <w:spacing w:after="0"/>
              <w:rPr>
                <w:sz w:val="20"/>
                <w:szCs w:val="20"/>
                <w:color w:val="auto"/>
              </w:rPr>
            </w:pPr>
            <w:r>
              <w:rPr>
                <w:rFonts w:ascii="Arial" w:cs="Arial" w:eastAsia="Arial" w:hAnsi="Arial"/>
                <w:sz w:val="18"/>
                <w:szCs w:val="18"/>
                <w:color w:val="auto"/>
              </w:rPr>
              <w:t>4,594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5,303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4,752</w:t>
            </w:r>
          </w:p>
        </w:tc>
      </w:tr>
      <w:tr>
        <w:trPr>
          <w:trHeight w:val="183"/>
        </w:trPr>
        <w:tc>
          <w:tcPr>
            <w:tcW w:w="5120" w:type="dxa"/>
            <w:vAlign w:val="bottom"/>
          </w:tcPr>
          <w:p>
            <w:pPr>
              <w:ind w:left="560"/>
              <w:spacing w:after="0" w:line="182" w:lineRule="exact"/>
              <w:rPr>
                <w:sz w:val="20"/>
                <w:szCs w:val="20"/>
                <w:color w:val="auto"/>
              </w:rPr>
            </w:pPr>
            <w:r>
              <w:rPr>
                <w:rFonts w:ascii="Arial" w:cs="Arial" w:eastAsia="Arial" w:hAnsi="Arial"/>
                <w:sz w:val="18"/>
                <w:szCs w:val="18"/>
                <w:color w:val="auto"/>
              </w:rPr>
              <w:t>Inventory</w:t>
            </w:r>
          </w:p>
        </w:tc>
        <w:tc>
          <w:tcPr>
            <w:tcW w:w="2020" w:type="dxa"/>
            <w:vAlign w:val="bottom"/>
            <w:tcBorders>
              <w:bottom w:val="single" w:sz="8" w:color="auto"/>
            </w:tcBorders>
          </w:tcPr>
          <w:p>
            <w:pPr>
              <w:jc w:val="right"/>
              <w:ind w:right="18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15,940</w:t>
            </w:r>
          </w:p>
        </w:tc>
        <w:tc>
          <w:tcPr>
            <w:tcW w:w="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tcPr>
          <w:p>
            <w:pPr>
              <w:jc w:val="right"/>
              <w:ind w:right="76"/>
              <w:spacing w:after="0" w:line="182" w:lineRule="exact"/>
              <w:rPr>
                <w:sz w:val="20"/>
                <w:szCs w:val="20"/>
                <w:color w:val="auto"/>
              </w:rPr>
            </w:pPr>
            <w:r>
              <w:rPr>
                <w:rFonts w:ascii="Arial" w:cs="Arial" w:eastAsia="Arial" w:hAnsi="Arial"/>
                <w:sz w:val="18"/>
                <w:szCs w:val="18"/>
                <w:color w:val="auto"/>
              </w:rPr>
              <w:t>13,312</w:t>
            </w:r>
          </w:p>
        </w:tc>
      </w:tr>
      <w:tr>
        <w:trPr>
          <w:trHeight w:val="20"/>
        </w:trPr>
        <w:tc>
          <w:tcPr>
            <w:tcW w:w="5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restricted cash</w:t>
      </w:r>
    </w:p>
    <w:p>
      <w:pPr>
        <w:spacing w:after="0" w:line="171" w:lineRule="exact"/>
        <w:rPr>
          <w:sz w:val="20"/>
          <w:szCs w:val="20"/>
          <w:color w:val="auto"/>
        </w:rPr>
      </w:pPr>
    </w:p>
    <w:p>
      <w:pPr>
        <w:ind w:right="80" w:firstLine="440"/>
        <w:spacing w:after="0" w:line="227" w:lineRule="auto"/>
        <w:rPr>
          <w:sz w:val="20"/>
          <w:szCs w:val="20"/>
          <w:color w:val="auto"/>
        </w:rPr>
      </w:pPr>
      <w:r>
        <w:rPr>
          <w:rFonts w:ascii="Arial" w:cs="Arial" w:eastAsia="Arial" w:hAnsi="Arial"/>
          <w:sz w:val="18"/>
          <w:szCs w:val="18"/>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on May 1, 2019, the amount of the letter of credit was reduced from $4.5 million to $4.0 million. As such, $4.0 million was recorded in “Long-term restricted cash” in the condensed consolidated balance sheet as of December 31, 2019. Pursuant to the terms of the O’Brien Lease, the letter of credit balance of $4.0 million was reduced again in May 2020 by $500,000. As such, $3.5 million was recorded in “Long-term restricted cash” in the condensed consolidated balance sheet as of September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from Reverse Termination Fee</w:t>
      </w:r>
    </w:p>
    <w:p>
      <w:pPr>
        <w:spacing w:after="0" w:line="63" w:lineRule="exact"/>
        <w:rPr>
          <w:sz w:val="20"/>
          <w:szCs w:val="20"/>
          <w:color w:val="auto"/>
        </w:rPr>
      </w:pPr>
    </w:p>
    <w:p>
      <w:pPr>
        <w:ind w:right="340" w:firstLine="440"/>
        <w:spacing w:after="0" w:line="276" w:lineRule="auto"/>
        <w:rPr>
          <w:sz w:val="20"/>
          <w:szCs w:val="20"/>
          <w:color w:val="auto"/>
        </w:rPr>
      </w:pPr>
      <w:r>
        <w:rPr>
          <w:rFonts w:ascii="Arial" w:cs="Arial" w:eastAsia="Arial" w:hAnsi="Arial"/>
          <w:sz w:val="16"/>
          <w:szCs w:val="16"/>
          <w:color w:val="auto"/>
        </w:rPr>
        <w:t>As part of the Termination Agreement, Illumina paid us a Reverse Termination Fee of $98.0 million, from which we owed our financial advisor associated fees of $6.0 million. We recorded the $6.0 million of associated fees owed to our financial advisor in the “Sales, general and administrative” expense line in the condensed consolidated statements of operations and comprehensive loss for the nine months ended September 30, 2020.</w:t>
      </w:r>
    </w:p>
    <w:p>
      <w:pPr>
        <w:spacing w:after="0" w:line="13" w:lineRule="exact"/>
        <w:rPr>
          <w:sz w:val="20"/>
          <w:szCs w:val="20"/>
          <w:color w:val="auto"/>
        </w:rPr>
      </w:pPr>
    </w:p>
    <w:p>
      <w:pPr>
        <w:ind w:right="60" w:firstLine="440"/>
        <w:spacing w:after="0" w:line="255" w:lineRule="auto"/>
        <w:rPr>
          <w:sz w:val="20"/>
          <w:szCs w:val="20"/>
          <w:color w:val="auto"/>
        </w:rPr>
      </w:pPr>
      <w:r>
        <w:rPr>
          <w:rFonts w:ascii="Arial" w:cs="Arial" w:eastAsia="Arial" w:hAnsi="Arial"/>
          <w:sz w:val="16"/>
          <w:szCs w:val="16"/>
          <w:color w:val="auto"/>
        </w:rPr>
        <w:t xml:space="preserve">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If such Change of Control Transaction was not consummated by the two year anniversary of the execution of the definitive agreement for such Change of Control Transaction, then we would not have been required to repay the Reverse Termination Fee. As indicated in ASC 450, </w:t>
      </w:r>
      <w:r>
        <w:rPr>
          <w:rFonts w:ascii="Arial" w:cs="Arial" w:eastAsia="Arial" w:hAnsi="Arial"/>
          <w:sz w:val="16"/>
          <w:szCs w:val="16"/>
          <w:i w:val="1"/>
          <w:iCs w:val="1"/>
          <w:color w:val="auto"/>
        </w:rPr>
        <w:t>Contingencies</w:t>
      </w:r>
      <w:r>
        <w:rPr>
          <w:rFonts w:ascii="Arial" w:cs="Arial" w:eastAsia="Arial" w:hAnsi="Arial"/>
          <w:sz w:val="16"/>
          <w:szCs w:val="16"/>
          <w:color w:val="auto"/>
        </w:rPr>
        <w:t>,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was resolved and accordingly, we recorded the $98.0 million as “Deferred Gain from Reverse Termination Fee” in the condensed consolidated balance sheet as of September 30, 2020. Subsequently, on October 1, 2020, the contingency clauses lapsed.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current</w:t>
      </w:r>
    </w:p>
    <w:p>
      <w:pPr>
        <w:spacing w:after="0" w:line="63" w:lineRule="exact"/>
        <w:rPr>
          <w:sz w:val="20"/>
          <w:szCs w:val="20"/>
          <w:color w:val="auto"/>
        </w:rPr>
      </w:pPr>
    </w:p>
    <w:p>
      <w:pPr>
        <w:ind w:right="160" w:firstLine="440"/>
        <w:spacing w:after="0" w:line="235" w:lineRule="auto"/>
        <w:rPr>
          <w:sz w:val="20"/>
          <w:szCs w:val="20"/>
          <w:color w:val="auto"/>
        </w:rPr>
      </w:pPr>
      <w:r>
        <w:rPr>
          <w:rFonts w:ascii="Arial" w:cs="Arial" w:eastAsia="Arial" w:hAnsi="Arial"/>
          <w:sz w:val="18"/>
          <w:szCs w:val="18"/>
          <w:color w:val="auto"/>
        </w:rPr>
        <w:t>As of December 31, 2019, a balance of $16.0 million aggregate principal amount of debt remained outstanding under the debt agreement with Deerfield entered into in February 2013 (the “Facility Agreement”) and was presented as “Notes payable, current” on the condensed consolidated balance sheet as of December 31, 2019.</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2020, upon the maturity of the Facility Agreement, we repaid the remaining outstanding principal of $16.0 million and interest.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Derivative</w:t>
      </w:r>
    </w:p>
    <w:p>
      <w:pPr>
        <w:spacing w:after="0" w:line="63"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A number of features embedded in the Notes required accounting for them as a derivative, including the indemnification of certain withholding taxes and the acceleration of debt upon (i) a qualified financing, (ii) an event of default, (iii) a Major Transaction (as such term is defined in the Facility Agreement), and (iv) the exercise of the warrant via offset to the debt principal. These features represent a single derivative (the “Financing Derivative”) that was bifurcated from the debt instrument and accounted for as a liability at fair value, with changes in fair value between reporting periods recorded in other income (expense), net.</w:t>
      </w:r>
    </w:p>
    <w:p>
      <w:pPr>
        <w:spacing w:after="0" w:line="70" w:lineRule="exact"/>
        <w:rPr>
          <w:sz w:val="20"/>
          <w:szCs w:val="20"/>
          <w:color w:val="auto"/>
        </w:rPr>
      </w:pPr>
    </w:p>
    <w:p>
      <w:pPr>
        <w:ind w:right="40" w:firstLine="440"/>
        <w:spacing w:after="0" w:line="287" w:lineRule="auto"/>
        <w:rPr>
          <w:sz w:val="20"/>
          <w:szCs w:val="20"/>
          <w:color w:val="auto"/>
        </w:rPr>
      </w:pPr>
      <w:r>
        <w:rPr>
          <w:rFonts w:ascii="Arial" w:cs="Arial" w:eastAsia="Arial" w:hAnsi="Arial"/>
          <w:sz w:val="18"/>
          <w:szCs w:val="18"/>
          <w:color w:val="auto"/>
        </w:rPr>
        <w:t>The estimated fair value of the Financing Derivative was determined by comparing the difference between the fair value of the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13"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In February 2020, after we repaid the remaining outstanding principal of $16.0 million and interest to Deerfield, the related Financing Derivative expired.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As of September 30, 2020, we had a total of $8.7 million of deferred revenue from our service contracts, $6.9 million of which was recorded as “Deferred revenue, current” to be recognized over the next year and the remaining $1.8 million was recorded as “Deferred revenue, non-current” to be recognized in the next 3 years. Revenue recorded in the three and nine months ended September 30, 2020 includes $1.6 million and $6.5 million, respectively, of previously deferred revenue that was included in “Deferred revenue, current” as of December 31, 2019. Contract assets as of September 30, 2020 and December 31, 2019 were not material.</w:t>
      </w:r>
    </w:p>
    <w:p>
      <w:pPr>
        <w:spacing w:after="0" w:line="43" w:lineRule="exact"/>
        <w:rPr>
          <w:sz w:val="20"/>
          <w:szCs w:val="20"/>
          <w:color w:val="auto"/>
        </w:rPr>
      </w:pPr>
    </w:p>
    <w:p>
      <w:pPr>
        <w:jc w:val="both"/>
        <w:ind w:right="80" w:firstLine="440"/>
        <w:spacing w:after="0" w:line="235" w:lineRule="auto"/>
        <w:rPr>
          <w:sz w:val="20"/>
          <w:szCs w:val="20"/>
          <w:color w:val="auto"/>
        </w:rPr>
      </w:pPr>
      <w:r>
        <w:rPr>
          <w:rFonts w:ascii="Arial" w:cs="Arial" w:eastAsia="Arial" w:hAnsi="Arial"/>
          <w:sz w:val="18"/>
          <w:szCs w:val="18"/>
          <w:color w:val="auto"/>
        </w:rPr>
        <w:t>As of September 30, 2020, we had a total of $0.6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56" w:lineRule="exact"/>
        <w:rPr>
          <w:sz w:val="20"/>
          <w:szCs w:val="20"/>
          <w:color w:val="auto"/>
        </w:rPr>
      </w:pPr>
    </w:p>
    <w:p>
      <w:pPr>
        <w:ind w:firstLine="440"/>
        <w:spacing w:after="0" w:line="236" w:lineRule="auto"/>
        <w:rPr>
          <w:sz w:val="20"/>
          <w:szCs w:val="20"/>
          <w:color w:val="auto"/>
        </w:rPr>
      </w:pPr>
      <w:r>
        <w:rPr>
          <w:rFonts w:ascii="Arial" w:cs="Arial" w:eastAsia="Arial" w:hAnsi="Arial"/>
          <w:sz w:val="17"/>
          <w:szCs w:val="17"/>
          <w:color w:val="auto"/>
        </w:rPr>
        <w:t>On July 22, 2015, we entered into a lease agreement with respect to our facility located at 1305 O’Brien Drive, Menlo Park, California. The term of the O’Brien Lease is one hundred thirty-two (132) months.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 (12) months of the lease term. If the rent is not received within five days of the due date, there will be an additional sum equal to 5% of the amount overdue as a late charge. Any amount not paid within 10 days after receipt of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benefits of the landlord and to submit $4.5 million as a deposit for the letter of credit in October 2015. Subsequently pursuant to the terms of the O’Brien Lease, on May 1, 2019 the $4.5 million in restricted cash was reduced to $4.0 million and on May 1, 2020 the $4.0 million in restricted cash was reduced to $3.5 million.</w:t>
      </w:r>
    </w:p>
    <w:p>
      <w:pPr>
        <w:spacing w:after="0" w:line="46" w:lineRule="exact"/>
        <w:rPr>
          <w:sz w:val="20"/>
          <w:szCs w:val="20"/>
          <w:color w:val="auto"/>
        </w:rPr>
      </w:pPr>
    </w:p>
    <w:p>
      <w:pPr>
        <w:ind w:right="100" w:firstLine="440"/>
        <w:spacing w:after="0"/>
        <w:rPr>
          <w:sz w:val="20"/>
          <w:szCs w:val="20"/>
          <w:color w:val="auto"/>
        </w:rPr>
      </w:pPr>
      <w:r>
        <w:rPr>
          <w:rFonts w:ascii="Arial" w:cs="Arial" w:eastAsia="Arial" w:hAnsi="Arial"/>
          <w:sz w:val="17"/>
          <w:szCs w:val="17"/>
          <w:color w:val="auto"/>
        </w:rPr>
        <w:t>All of our leases are operating leases. Operating lease assets and liabilities are reflected within “Operating lease right-of-use assets, net”, “Operating lease liabilities, current” and “Operating lease liabilities, non-current” on the condensed consolidated balance sheets. These assets and liabilities are recognized at the commencement date based on the present value of remaining minimum lease payments over the lease term using our estimated secured incremental borrowing rates at the effective date of January 1, 2019.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42"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September 30, 2020 was 7.1 years.</w:t>
      </w:r>
    </w:p>
    <w:p>
      <w:pPr>
        <w:spacing w:after="0" w:line="43" w:lineRule="exact"/>
        <w:rPr>
          <w:sz w:val="20"/>
          <w:szCs w:val="20"/>
          <w:color w:val="auto"/>
        </w:rPr>
      </w:pPr>
    </w:p>
    <w:p>
      <w:pPr>
        <w:ind w:right="100" w:firstLine="440"/>
        <w:spacing w:after="0" w:line="276" w:lineRule="auto"/>
        <w:rPr>
          <w:sz w:val="20"/>
          <w:szCs w:val="20"/>
          <w:color w:val="auto"/>
        </w:rPr>
      </w:pPr>
      <w:r>
        <w:rPr>
          <w:rFonts w:ascii="Arial" w:cs="Arial" w:eastAsia="Arial" w:hAnsi="Arial"/>
          <w:sz w:val="16"/>
          <w:szCs w:val="16"/>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September 30, 2020 was 7.9%.</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information as to the amount and timing of cash flows arising from our operating leases as of September 30, 2020:</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1"/>
        </w:trPr>
        <w:tc>
          <w:tcPr>
            <w:tcW w:w="840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840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40" w:type="dxa"/>
            <w:vAlign w:val="bottom"/>
          </w:tcPr>
          <w:p>
            <w:pPr>
              <w:spacing w:after="0"/>
              <w:rPr>
                <w:sz w:val="24"/>
                <w:szCs w:val="24"/>
                <w:color w:val="auto"/>
              </w:rPr>
            </w:pPr>
          </w:p>
        </w:tc>
        <w:tc>
          <w:tcPr>
            <w:tcW w:w="2300" w:type="dxa"/>
            <w:vAlign w:val="bottom"/>
          </w:tcPr>
          <w:p>
            <w:pPr>
              <w:jc w:val="right"/>
              <w:ind w:right="10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5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right"/>
              <w:ind w:right="8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39"/>
        </w:trPr>
        <w:tc>
          <w:tcPr>
            <w:tcW w:w="8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Remaining of 2020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23"/>
                <w:szCs w:val="23"/>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5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40" w:type="dxa"/>
            <w:vAlign w:val="bottom"/>
            <w:shd w:val="clear" w:color="auto" w:fill="CCEEFF"/>
          </w:tcPr>
          <w:p>
            <w:pPr>
              <w:spacing w:after="0"/>
              <w:rPr>
                <w:sz w:val="21"/>
                <w:szCs w:val="21"/>
                <w:color w:val="auto"/>
              </w:rPr>
            </w:pP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 value of operating lease liabilities</w:t>
            </w:r>
          </w:p>
        </w:tc>
        <w:tc>
          <w:tcPr>
            <w:tcW w:w="540" w:type="dxa"/>
            <w:vAlign w:val="bottom"/>
            <w:tcBorders>
              <w:bottom w:val="single" w:sz="8" w:color="auto"/>
            </w:tcBorders>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43,010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Classification</w:t>
            </w:r>
          </w:p>
        </w:tc>
        <w:tc>
          <w:tcPr>
            <w:tcW w:w="5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540" w:type="dxa"/>
            <w:vAlign w:val="bottom"/>
          </w:tcPr>
          <w:p>
            <w:pPr>
              <w:spacing w:after="0"/>
              <w:rPr>
                <w:sz w:val="23"/>
                <w:szCs w:val="23"/>
                <w:color w:val="auto"/>
              </w:rPr>
            </w:pP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540" w:type="dxa"/>
            <w:vAlign w:val="bottom"/>
            <w:tcBorders>
              <w:bottom w:val="single" w:sz="8" w:color="auto"/>
            </w:tcBorders>
            <w:shd w:val="clear" w:color="auto" w:fill="CCEEFF"/>
          </w:tcPr>
          <w:p>
            <w:pPr>
              <w:spacing w:after="0"/>
              <w:rPr>
                <w:sz w:val="23"/>
                <w:szCs w:val="23"/>
                <w:color w:val="auto"/>
              </w:rPr>
            </w:pPr>
          </w:p>
        </w:tc>
        <w:tc>
          <w:tcPr>
            <w:tcW w:w="23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38,793</w:t>
            </w:r>
          </w:p>
        </w:tc>
        <w:tc>
          <w:tcPr>
            <w:tcW w:w="0" w:type="dxa"/>
            <w:vAlign w:val="bottom"/>
          </w:tcPr>
          <w:p>
            <w:pPr>
              <w:spacing w:after="0"/>
              <w:rPr>
                <w:sz w:val="1"/>
                <w:szCs w:val="1"/>
                <w:color w:val="auto"/>
              </w:rPr>
            </w:pPr>
          </w:p>
        </w:tc>
      </w:tr>
      <w:tr>
        <w:trPr>
          <w:trHeight w:val="290"/>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operating lease liabilities</w:t>
            </w:r>
          </w:p>
        </w:tc>
        <w:tc>
          <w:tcPr>
            <w:tcW w:w="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43,010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Flows</w:t>
      </w:r>
    </w:p>
    <w:p>
      <w:pPr>
        <w:ind w:right="320" w:firstLine="440"/>
        <w:spacing w:after="0" w:line="233" w:lineRule="auto"/>
        <w:rPr>
          <w:sz w:val="20"/>
          <w:szCs w:val="20"/>
          <w:color w:val="auto"/>
        </w:rPr>
      </w:pPr>
      <w:r>
        <w:rPr>
          <w:rFonts w:ascii="Arial" w:cs="Arial" w:eastAsia="Arial" w:hAnsi="Arial"/>
          <w:sz w:val="18"/>
          <w:szCs w:val="18"/>
          <w:color w:val="auto"/>
        </w:rPr>
        <w:t>Cash paid for amounts included in the present value of operating lease liabilities was $1.8 million and $5.4 million, respectively, for the three and nine months ended September 30, 2020 and included in operating cash flow.</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Lease Costs</w:t>
      </w:r>
    </w:p>
    <w:p>
      <w:pPr>
        <w:ind w:right="20" w:firstLine="440"/>
        <w:spacing w:after="0" w:line="228" w:lineRule="auto"/>
        <w:rPr>
          <w:sz w:val="20"/>
          <w:szCs w:val="20"/>
          <w:color w:val="auto"/>
        </w:rPr>
      </w:pPr>
      <w:r>
        <w:rPr>
          <w:rFonts w:ascii="Arial" w:cs="Arial" w:eastAsia="Arial" w:hAnsi="Arial"/>
          <w:sz w:val="18"/>
          <w:szCs w:val="18"/>
          <w:color w:val="auto"/>
        </w:rPr>
        <w:t>Operating lease costs were $1.6 million and $4.7 million for the three and nine months ended September 30, 2020, respectively. Operating lease costs were $1.6 million and $4.7 million for the three and nine months ended September 30, 2019, respectively. For both 2020 and 2019 the operating lease costs primarily related to our operating leases, but also included immaterial amounts for variable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6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District Court Proceedings</w:t>
      </w:r>
    </w:p>
    <w:p>
      <w:pPr>
        <w:spacing w:after="0" w:line="63" w:lineRule="exact"/>
        <w:rPr>
          <w:sz w:val="20"/>
          <w:szCs w:val="20"/>
          <w:color w:val="auto"/>
        </w:rPr>
      </w:pPr>
    </w:p>
    <w:p>
      <w:pPr>
        <w:ind w:right="180" w:firstLine="440"/>
        <w:spacing w:after="0" w:line="228" w:lineRule="auto"/>
        <w:rPr>
          <w:sz w:val="20"/>
          <w:szCs w:val="20"/>
          <w:color w:val="auto"/>
        </w:rPr>
      </w:pPr>
      <w:r>
        <w:rPr>
          <w:rFonts w:ascii="Arial" w:cs="Arial" w:eastAsia="Arial" w:hAnsi="Arial"/>
          <w:sz w:val="18"/>
          <w:szCs w:val="18"/>
          <w:color w:val="auto"/>
        </w:rPr>
        <w:t>On March 15, 2017, we filed a complaint in the U.S. District Court for the District of Delaware against ONT Inc. for patent infringement (C.A. No. 17-cv-275 (“275 Action”)). The complaint is based on our U.S. Patent No. 9,546,400 (the “’400 Patent”) which covers novel methods for nanopore sequencing of nucleic acid molecules using the signals from multiple monomeric units. We are seeking remedies including injunctive relief, damages and costs. On August 23, 2018, we filed an amended complaint, adding allegations of willful infringement and adding ONT Ltd. as a defendant in the 275 Action, which was granted on August 15, 2019.</w:t>
      </w:r>
    </w:p>
    <w:p>
      <w:pPr>
        <w:spacing w:after="0" w:line="43" w:lineRule="exact"/>
        <w:rPr>
          <w:sz w:val="20"/>
          <w:szCs w:val="20"/>
          <w:color w:val="auto"/>
        </w:rPr>
      </w:pPr>
    </w:p>
    <w:p>
      <w:pPr>
        <w:ind w:right="80" w:firstLine="440"/>
        <w:spacing w:after="0" w:line="222" w:lineRule="auto"/>
        <w:rPr>
          <w:sz w:val="20"/>
          <w:szCs w:val="20"/>
          <w:color w:val="auto"/>
        </w:rPr>
      </w:pPr>
      <w:r>
        <w:rPr>
          <w:rFonts w:ascii="Arial" w:cs="Arial" w:eastAsia="Arial" w:hAnsi="Arial"/>
          <w:sz w:val="18"/>
          <w:szCs w:val="18"/>
          <w:color w:val="auto"/>
        </w:rPr>
        <w:t>On September 25, 2017, we filed a second complaint in the U.S. District Court for the District of Delaware against ONT Inc. for patent infringement (C.A. No. 17-cv-1353 (“1353 Action”)). The complaint is based on our U.S. Patent No. 9,678,056 (the “’056 Patent”) and U.S. Patent No. 9,738,929. We are seeking remedies including injunctive relief, damages and costs. On March 28, 2018, we added a claim for infringement of our U.S. Patent No. 9,772,323 (the “’323 Patent”). On August 23, 2018 we filed an amended complaint, adding allegations of willful infringement and adding ONT Ltd. as a defendant in the 1353 Action, which was granted on August 15,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0" w:firstLine="440"/>
        <w:spacing w:after="0" w:line="231" w:lineRule="auto"/>
        <w:rPr>
          <w:sz w:val="20"/>
          <w:szCs w:val="20"/>
          <w:color w:val="auto"/>
        </w:rPr>
      </w:pPr>
      <w:r>
        <w:rPr>
          <w:rFonts w:ascii="Arial" w:cs="Arial" w:eastAsia="Arial" w:hAnsi="Arial"/>
          <w:sz w:val="18"/>
          <w:szCs w:val="18"/>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claim one of the ’056 Patent, written description and indefiniteness. The jury declined to find valid or infringed U.S. Patent No. 9,738,929. We are pursuing an appeal of the decision at the U.S. Court of Appeals for the Federal Circuit.</w:t>
      </w:r>
    </w:p>
    <w:p>
      <w:pPr>
        <w:spacing w:after="0" w:line="40" w:lineRule="exact"/>
        <w:rPr>
          <w:sz w:val="20"/>
          <w:szCs w:val="20"/>
          <w:color w:val="auto"/>
        </w:rPr>
      </w:pPr>
    </w:p>
    <w:p>
      <w:pPr>
        <w:ind w:firstLine="440"/>
        <w:spacing w:after="0" w:line="228" w:lineRule="auto"/>
        <w:rPr>
          <w:sz w:val="20"/>
          <w:szCs w:val="20"/>
          <w:color w:val="auto"/>
        </w:rPr>
      </w:pPr>
      <w:r>
        <w:rPr>
          <w:rFonts w:ascii="Arial" w:cs="Arial" w:eastAsia="Arial" w:hAnsi="Arial"/>
          <w:sz w:val="18"/>
          <w:szCs w:val="18"/>
          <w:color w:val="auto"/>
        </w:rPr>
        <w:t>Unrelated to the preceding matters, on September 26, 2019, Personal Genomics of Taiwan, Inc. (“PGI”) filed a complaint in the U.S. District Court for the District of Delaware against us for patent infringement (C.A. No. 19-cv-1810). The complaint (the “PGI District Court complaint”) is based on PGI’s U.S. Patent No. 7,767,441 (the “‘441 Patent”). We plan to vigorously defend in this matter. On November 20, 2019, we filed our answer to the complaint, denying infringement and seeking a declaratory judgement of invalidity of the ‘441 Patent. A trial for this matter is scheduled to begin on March 14, 2022.</w:t>
      </w:r>
    </w:p>
    <w:p>
      <w:pPr>
        <w:spacing w:after="0" w:line="43" w:lineRule="exact"/>
        <w:rPr>
          <w:sz w:val="20"/>
          <w:szCs w:val="20"/>
          <w:color w:val="auto"/>
        </w:rPr>
      </w:pPr>
    </w:p>
    <w:p>
      <w:pPr>
        <w:ind w:right="80" w:firstLine="440"/>
        <w:spacing w:after="0" w:line="231" w:lineRule="auto"/>
        <w:rPr>
          <w:sz w:val="20"/>
          <w:szCs w:val="20"/>
          <w:color w:val="auto"/>
        </w:rPr>
      </w:pPr>
      <w:r>
        <w:rPr>
          <w:rFonts w:ascii="Arial" w:cs="Arial" w:eastAsia="Arial" w:hAnsi="Arial"/>
          <w:sz w:val="18"/>
          <w:szCs w:val="18"/>
          <w:color w:val="auto"/>
        </w:rPr>
        <w:t>On June 22, 2020, we filed a petition requesting institution of an inter-partes review (IPR) to the Patent Trial and Appeals Board (the “Board”) at the United States Patent Office requesting the Board to find a set of claims in the ‘441 invalid. On June 27, 2020, we filed a second petition requesting institution of an IPR requesting the Board to find another set of claims in the ‘441 invalid. The two petitions (the “PacBio IPR petitions”) requesting IPRs assert that all of the claims relevant to the PGI complaint are invalid.</w:t>
      </w:r>
    </w:p>
    <w:p>
      <w:pPr>
        <w:spacing w:after="0" w:line="40" w:lineRule="exact"/>
        <w:rPr>
          <w:sz w:val="20"/>
          <w:szCs w:val="20"/>
          <w:color w:val="auto"/>
        </w:rPr>
      </w:pPr>
    </w:p>
    <w:p>
      <w:pPr>
        <w:jc w:val="both"/>
        <w:ind w:right="360" w:firstLine="440"/>
        <w:spacing w:after="0" w:line="235" w:lineRule="auto"/>
        <w:rPr>
          <w:sz w:val="20"/>
          <w:szCs w:val="20"/>
          <w:color w:val="auto"/>
        </w:rPr>
      </w:pPr>
      <w:r>
        <w:rPr>
          <w:rFonts w:ascii="Arial" w:cs="Arial" w:eastAsia="Arial" w:hAnsi="Arial"/>
          <w:sz w:val="18"/>
          <w:szCs w:val="18"/>
          <w:color w:val="auto"/>
        </w:rPr>
        <w:t>On August 19, 2020, the court ordered a stay of the PGI District Court complaint based on a joint stipulation by the parties. The matter is stayed pending the decision by the Patent Trial and Appeals Board on institution of the PacBio IPR petitions expected January 2021. If both IPR petitions are instituted, the stay will extend until the final written decision on the IPRs.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May 19, 2020, PGI filed a complaint in the Wuhan People’s Court alleging infringement of one or more claims of China patent No.</w:t>
      </w:r>
    </w:p>
    <w:p>
      <w:pPr>
        <w:spacing w:after="0"/>
        <w:rPr>
          <w:sz w:val="20"/>
          <w:szCs w:val="20"/>
          <w:color w:val="auto"/>
        </w:rPr>
      </w:pPr>
      <w:r>
        <w:rPr>
          <w:rFonts w:ascii="Arial" w:cs="Arial" w:eastAsia="Arial" w:hAnsi="Arial"/>
          <w:sz w:val="18"/>
          <w:szCs w:val="18"/>
          <w:color w:val="auto"/>
        </w:rPr>
        <w:t>CN101743321B, which is related to the ‘441 Patent. We have not received service. We plan to vigorously defend in this matter.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Proceedings</w:t>
      </w:r>
    </w:p>
    <w:p>
      <w:pPr>
        <w:spacing w:after="0" w:line="63" w:lineRule="exact"/>
        <w:rPr>
          <w:sz w:val="20"/>
          <w:szCs w:val="20"/>
          <w:color w:val="auto"/>
        </w:rPr>
      </w:pPr>
    </w:p>
    <w:p>
      <w:pPr>
        <w:ind w:right="20" w:firstLine="440"/>
        <w:spacing w:after="0" w:line="239"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w:t>
      </w:r>
    </w:p>
    <w:p>
      <w:pPr>
        <w:spacing w:after="0" w:line="56" w:lineRule="exact"/>
        <w:rPr>
          <w:sz w:val="20"/>
          <w:szCs w:val="20"/>
          <w:color w:val="auto"/>
        </w:rPr>
      </w:pPr>
    </w:p>
    <w:p>
      <w:pPr>
        <w:ind w:right="60" w:firstLine="440"/>
        <w:spacing w:after="0" w:line="236"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September 30, 2020.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Equity Offering</w:t>
      </w: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120" w:firstLine="440"/>
        <w:spacing w:after="0" w:line="276" w:lineRule="auto"/>
        <w:rPr>
          <w:sz w:val="20"/>
          <w:szCs w:val="20"/>
          <w:color w:val="auto"/>
        </w:rPr>
      </w:pPr>
      <w:r>
        <w:rPr>
          <w:rFonts w:ascii="Arial" w:cs="Arial" w:eastAsia="Arial" w:hAnsi="Arial"/>
          <w:sz w:val="16"/>
          <w:szCs w:val="16"/>
          <w:color w:val="auto"/>
        </w:rPr>
        <w:t>In June 2020, we filed a shelf registration statement on Form S-3 with the SEC pursuant to which we may, from time to time, sell up to an aggregate of $250.0 million of our common stock, preferred stock, depository shares, warrants, units or debt securities. On July 14, 2020, the registration statement was declared effective by the SEC, which allows us to access the capital markets for the three year period following this effective date.</w:t>
      </w:r>
    </w:p>
    <w:p>
      <w:pPr>
        <w:spacing w:after="0" w:line="13" w:lineRule="exact"/>
        <w:rPr>
          <w:sz w:val="20"/>
          <w:szCs w:val="20"/>
          <w:color w:val="auto"/>
        </w:rPr>
      </w:pPr>
    </w:p>
    <w:p>
      <w:pPr>
        <w:ind w:right="20" w:firstLine="440"/>
        <w:spacing w:after="0" w:line="225" w:lineRule="auto"/>
        <w:rPr>
          <w:sz w:val="20"/>
          <w:szCs w:val="20"/>
          <w:color w:val="auto"/>
        </w:rPr>
      </w:pPr>
      <w:r>
        <w:rPr>
          <w:rFonts w:ascii="Arial" w:cs="Arial" w:eastAsia="Arial" w:hAnsi="Arial"/>
          <w:sz w:val="18"/>
          <w:szCs w:val="18"/>
          <w:color w:val="auto"/>
        </w:rPr>
        <w:t>In August 2020, we entered into an underwriting agreement, relating to the public offering of 19,430,000 shares of our common stock, $0.001 par value per share, at a price to the public of $4.47 per share. Under the terms of the underwriting agreement, we also granted the underwriters a 30-day option to purchase up to an additional 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 $0.2 million of which was unpaid as of September 30, 2020.</w:t>
      </w:r>
    </w:p>
    <w:p>
      <w:pPr>
        <w:spacing w:after="0" w:line="46"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The Termination Agreement currently limits our ability to issue additional securities or incur indebtedness as up to the $52.0 million of the Continuation Advances paid to us are repayable without interest to Illumina if, within two years of March 31, 2020, we enter into, or consummate a Change of Control Transaction or raise at least $100 million in a single equity or debt financing (that may have multiple closings), with the amount repayable dependent on the amount raised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63"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At June 30, 2020, in total, we had three active equity compensation plans: the 2010 Equity Incentive Plan (“2010 Plan”), the 2010 Outside Director Equity Incentive Plan (“2010 Director Plan”) and the 2010 Employee Stock Purchase Plan (“ESPP”). Our 2010 Plan and 2010 Director Plan expired on July 29, 2020.</w:t>
      </w:r>
    </w:p>
    <w:p>
      <w:pPr>
        <w:spacing w:after="0" w:line="40" w:lineRule="exact"/>
        <w:rPr>
          <w:sz w:val="20"/>
          <w:szCs w:val="20"/>
          <w:color w:val="auto"/>
        </w:rPr>
      </w:pPr>
    </w:p>
    <w:p>
      <w:pPr>
        <w:ind w:right="100" w:firstLine="440"/>
        <w:spacing w:after="0" w:line="246" w:lineRule="auto"/>
        <w:rPr>
          <w:sz w:val="20"/>
          <w:szCs w:val="20"/>
          <w:color w:val="auto"/>
        </w:rPr>
      </w:pPr>
      <w:r>
        <w:rPr>
          <w:rFonts w:ascii="Arial" w:cs="Arial" w:eastAsia="Arial" w:hAnsi="Arial"/>
          <w:sz w:val="18"/>
          <w:szCs w:val="18"/>
          <w:color w:val="auto"/>
        </w:rPr>
        <w:t>On August 4, 2020, stockholders approved our new 2020 Equity Incentive Plan. A description of the 2020 Equity Incentive Plan can be found in our Proxy Statement for the 2020 Annual Meeting of Stockholders, dated June 24, 2020.</w:t>
      </w:r>
    </w:p>
    <w:p>
      <w:pPr>
        <w:spacing w:after="0" w:line="35" w:lineRule="exact"/>
        <w:rPr>
          <w:sz w:val="20"/>
          <w:szCs w:val="20"/>
          <w:color w:val="auto"/>
        </w:rPr>
      </w:pPr>
    </w:p>
    <w:p>
      <w:pPr>
        <w:jc w:val="both"/>
        <w:ind w:right="140" w:firstLine="440"/>
        <w:spacing w:after="0" w:line="235" w:lineRule="auto"/>
        <w:rPr>
          <w:sz w:val="20"/>
          <w:szCs w:val="20"/>
          <w:color w:val="auto"/>
        </w:rPr>
      </w:pPr>
      <w:r>
        <w:rPr>
          <w:rFonts w:ascii="Arial" w:cs="Arial" w:eastAsia="Arial" w:hAnsi="Arial"/>
          <w:sz w:val="18"/>
          <w:szCs w:val="18"/>
          <w:color w:val="auto"/>
        </w:rPr>
        <w:t>Pursuant to the terms of the then-in-process Merger Agreement with Illumina, offerings under our ESPP were suspended after the completion of the purchase period ended March 1, 2019. After the merger with Illumina was terminated in January 2020, we began offerings under the ESPP again starting with the offering period beginning March 1, 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63" w:lineRule="exact"/>
        <w:rPr>
          <w:sz w:val="20"/>
          <w:szCs w:val="20"/>
          <w:color w:val="auto"/>
        </w:rPr>
      </w:pPr>
    </w:p>
    <w:p>
      <w:pPr>
        <w:ind w:right="360" w:firstLine="440"/>
        <w:spacing w:after="0" w:line="246" w:lineRule="auto"/>
        <w:rPr>
          <w:sz w:val="20"/>
          <w:szCs w:val="20"/>
          <w:color w:val="auto"/>
        </w:rPr>
      </w:pPr>
      <w:r>
        <w:rPr>
          <w:rFonts w:ascii="Arial" w:cs="Arial" w:eastAsia="Arial" w:hAnsi="Arial"/>
          <w:sz w:val="18"/>
          <w:szCs w:val="18"/>
          <w:color w:val="auto"/>
        </w:rPr>
        <w:t>The following table summarizes stock option activity for all our stock option plans for the nine months ended September 30, 2020 (in thousands, except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Stock Options Outstanding</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52"/>
        </w:trPr>
        <w:tc>
          <w:tcPr>
            <w:tcW w:w="4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jc w:val="center"/>
              <w:ind w:right="277"/>
              <w:spacing w:after="0" w:line="153" w:lineRule="exact"/>
              <w:rPr>
                <w:sz w:val="20"/>
                <w:szCs w:val="20"/>
                <w:color w:val="auto"/>
              </w:rPr>
            </w:pPr>
            <w:r>
              <w:rPr>
                <w:rFonts w:ascii="Arial" w:cs="Arial" w:eastAsia="Arial" w:hAnsi="Arial"/>
                <w:sz w:val="14"/>
                <w:szCs w:val="14"/>
                <w:b w:val="1"/>
                <w:bCs w:val="1"/>
                <w:color w:val="auto"/>
                <w:w w:val="91"/>
              </w:rPr>
              <w:t>Weighted</w:t>
            </w:r>
          </w:p>
        </w:tc>
      </w:tr>
      <w:tr>
        <w:trPr>
          <w:trHeight w:val="186"/>
        </w:trPr>
        <w:tc>
          <w:tcPr>
            <w:tcW w:w="4240" w:type="dxa"/>
            <w:vAlign w:val="bottom"/>
          </w:tcPr>
          <w:p>
            <w:pPr>
              <w:spacing w:after="0"/>
              <w:rPr>
                <w:sz w:val="16"/>
                <w:szCs w:val="16"/>
                <w:color w:val="auto"/>
              </w:rPr>
            </w:pPr>
          </w:p>
        </w:tc>
        <w:tc>
          <w:tcPr>
            <w:tcW w:w="1260" w:type="dxa"/>
            <w:vAlign w:val="bottom"/>
          </w:tcPr>
          <w:p>
            <w:pPr>
              <w:ind w:left="720"/>
              <w:spacing w:after="0"/>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86"/>
              </w:rPr>
              <w:t>of shares</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7"/>
              </w:rPr>
              <w:t>exercise price</w:t>
            </w: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December 31, 2019</w:t>
            </w: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0"/>
              </w:rPr>
              <w:t>22,697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 –</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16.00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517"/>
              <w:spacing w:after="0" w:line="196" w:lineRule="exact"/>
              <w:rPr>
                <w:sz w:val="20"/>
                <w:szCs w:val="20"/>
                <w:color w:val="auto"/>
              </w:rPr>
            </w:pPr>
            <w:r>
              <w:rPr>
                <w:rFonts w:ascii="Arial" w:cs="Arial" w:eastAsia="Arial" w:hAnsi="Arial"/>
                <w:sz w:val="18"/>
                <w:szCs w:val="18"/>
                <w:color w:val="auto"/>
              </w:rPr>
              <w:t>5.57</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2,717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2.45 – 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6.61</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(2,763)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6.98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4.25</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98"/>
              </w:rPr>
              <w:t>(2,730)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3"/>
          </w:tcPr>
          <w:p>
            <w:pPr>
              <w:jc w:val="right"/>
              <w:ind w:right="140"/>
              <w:spacing w:after="0"/>
              <w:rPr>
                <w:sz w:val="20"/>
                <w:szCs w:val="20"/>
                <w:color w:val="auto"/>
              </w:rPr>
            </w:pPr>
            <w:r>
              <w:rPr>
                <w:rFonts w:ascii="Arial" w:cs="Arial" w:eastAsia="Arial" w:hAnsi="Arial"/>
                <w:sz w:val="18"/>
                <w:szCs w:val="18"/>
                <w:color w:val="auto"/>
              </w:rPr>
              <w:t>1.16 – 15.77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7"/>
              <w:spacing w:after="0"/>
              <w:rPr>
                <w:sz w:val="20"/>
                <w:szCs w:val="20"/>
                <w:color w:val="auto"/>
              </w:rPr>
            </w:pPr>
            <w:r>
              <w:rPr>
                <w:rFonts w:ascii="Arial" w:cs="Arial" w:eastAsia="Arial" w:hAnsi="Arial"/>
                <w:sz w:val="18"/>
                <w:szCs w:val="18"/>
                <w:color w:val="auto"/>
              </w:rPr>
              <w:t>7.61</w:t>
            </w:r>
          </w:p>
        </w:tc>
      </w:tr>
      <w:tr>
        <w:trPr>
          <w:trHeight w:val="237"/>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2020</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19,921</w:t>
            </w:r>
          </w:p>
        </w:tc>
        <w:tc>
          <w:tcPr>
            <w:tcW w:w="540" w:type="dxa"/>
            <w:vAlign w:val="bottom"/>
            <w:tcBorders>
              <w:top w:val="single" w:sz="8" w:color="CCEEFF"/>
              <w:bottom w:val="single" w:sz="8" w:color="CCEEFF"/>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5.62</w:t>
            </w:r>
          </w:p>
        </w:tc>
      </w:tr>
      <w:tr>
        <w:trPr>
          <w:trHeight w:val="20"/>
        </w:trPr>
        <w:tc>
          <w:tcPr>
            <w:tcW w:w="4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580" w:firstLine="440"/>
        <w:spacing w:after="0" w:line="246" w:lineRule="auto"/>
        <w:rPr>
          <w:sz w:val="20"/>
          <w:szCs w:val="20"/>
          <w:color w:val="auto"/>
        </w:rPr>
      </w:pPr>
      <w:r>
        <w:rPr>
          <w:rFonts w:ascii="Arial" w:cs="Arial" w:eastAsia="Arial" w:hAnsi="Arial"/>
          <w:sz w:val="18"/>
          <w:szCs w:val="18"/>
          <w:color w:val="auto"/>
        </w:rPr>
        <w:t>For the three and nine months ended September 30, 2020, we recognized stock-based compensation expense of $1.4 million and $4.2 million, respectively, related to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Time-based RSUs</w:t>
      </w:r>
    </w:p>
    <w:p>
      <w:pPr>
        <w:spacing w:after="0" w:line="63" w:lineRule="exact"/>
        <w:rPr>
          <w:sz w:val="20"/>
          <w:szCs w:val="20"/>
          <w:color w:val="auto"/>
        </w:rPr>
      </w:pPr>
    </w:p>
    <w:p>
      <w:pPr>
        <w:ind w:right="640" w:firstLine="440"/>
        <w:spacing w:after="0" w:line="246" w:lineRule="auto"/>
        <w:rPr>
          <w:sz w:val="20"/>
          <w:szCs w:val="20"/>
          <w:color w:val="auto"/>
        </w:rPr>
      </w:pPr>
      <w:r>
        <w:rPr>
          <w:rFonts w:ascii="Arial" w:cs="Arial" w:eastAsia="Arial" w:hAnsi="Arial"/>
          <w:sz w:val="18"/>
          <w:szCs w:val="18"/>
          <w:color w:val="auto"/>
        </w:rPr>
        <w:t>The following table summarizes the time-based RSUs activity for the nine months ended September 30, 2020 (in thousands, except per share amounts):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tcPr>
          <w:p>
            <w:pPr>
              <w:jc w:val="center"/>
              <w:ind w:right="3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20" w:type="dxa"/>
            <w:vAlign w:val="bottom"/>
          </w:tcPr>
          <w:p>
            <w:pPr>
              <w:jc w:val="center"/>
              <w:ind w:right="357"/>
              <w:spacing w:after="0"/>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323"/>
        </w:trPr>
        <w:tc>
          <w:tcPr>
            <w:tcW w:w="67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of shares</w:t>
            </w:r>
          </w:p>
        </w:tc>
        <w:tc>
          <w:tcPr>
            <w:tcW w:w="4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December 31, 2019</w:t>
            </w:r>
          </w:p>
        </w:tc>
        <w:tc>
          <w:tcPr>
            <w:tcW w:w="14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1,086</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RSUs granted</w:t>
            </w: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6,395</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20" w:type="dxa"/>
            <w:vAlign w:val="bottom"/>
          </w:tcPr>
          <w:p>
            <w:pPr>
              <w:jc w:val="right"/>
              <w:ind w:right="517"/>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(876)</w:t>
            </w: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RSUs forfeited</w:t>
            </w:r>
          </w:p>
        </w:tc>
        <w:tc>
          <w:tcPr>
            <w:tcW w:w="1480" w:type="dxa"/>
            <w:vAlign w:val="bottom"/>
            <w:vMerge w:val="restart"/>
          </w:tcPr>
          <w:p>
            <w:pPr>
              <w:jc w:val="right"/>
              <w:ind w:right="35"/>
              <w:spacing w:after="0"/>
              <w:rPr>
                <w:sz w:val="20"/>
                <w:szCs w:val="20"/>
                <w:color w:val="auto"/>
              </w:rPr>
            </w:pPr>
            <w:r>
              <w:rPr>
                <w:rFonts w:ascii="Arial" w:cs="Arial" w:eastAsia="Arial" w:hAnsi="Arial"/>
                <w:sz w:val="18"/>
                <w:szCs w:val="18"/>
                <w:color w:val="auto"/>
              </w:rPr>
              <w:t>(634)</w:t>
            </w: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20" w:type="dxa"/>
            <w:vAlign w:val="bottom"/>
          </w:tcPr>
          <w:p>
            <w:pPr>
              <w:jc w:val="right"/>
              <w:ind w:right="517"/>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54"/>
        </w:trPr>
        <w:tc>
          <w:tcPr>
            <w:tcW w:w="670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outstanding at September 30, 2020</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5,971</w:t>
            </w:r>
          </w:p>
        </w:tc>
        <w:tc>
          <w:tcPr>
            <w:tcW w:w="8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580" w:firstLine="440"/>
        <w:spacing w:after="0" w:line="246" w:lineRule="auto"/>
        <w:rPr>
          <w:sz w:val="20"/>
          <w:szCs w:val="20"/>
          <w:color w:val="auto"/>
        </w:rPr>
      </w:pPr>
      <w:r>
        <w:rPr>
          <w:rFonts w:ascii="Arial" w:cs="Arial" w:eastAsia="Arial" w:hAnsi="Arial"/>
          <w:sz w:val="18"/>
          <w:szCs w:val="18"/>
          <w:color w:val="auto"/>
        </w:rPr>
        <w:t>For the three and nine months ended September 30, 2020, we recognized stock-based compensation expense of $1.7 million and $5.5 million, respectively, related to time-based RSUs.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RSUs</w:t>
      </w:r>
    </w:p>
    <w:p>
      <w:pPr>
        <w:spacing w:after="0" w:line="63"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following table summarizes the performance-based RSUs (“PSUs”) activity for the nine months ended September 30, 2020 (in thousands,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 average</w:t>
            </w:r>
          </w:p>
        </w:tc>
      </w:tr>
      <w:tr>
        <w:trPr>
          <w:trHeight w:val="270"/>
        </w:trPr>
        <w:tc>
          <w:tcPr>
            <w:tcW w:w="7040" w:type="dxa"/>
            <w:vAlign w:val="bottom"/>
          </w:tcPr>
          <w:p>
            <w:pPr>
              <w:spacing w:after="0"/>
              <w:rPr>
                <w:sz w:val="23"/>
                <w:szCs w:val="23"/>
                <w:color w:val="auto"/>
              </w:rPr>
            </w:pPr>
          </w:p>
        </w:tc>
        <w:tc>
          <w:tcPr>
            <w:tcW w:w="1040" w:type="dxa"/>
            <w:vAlign w:val="bottom"/>
          </w:tcPr>
          <w:p>
            <w:pPr>
              <w:ind w:left="50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grant date</w:t>
            </w:r>
          </w:p>
        </w:tc>
      </w:tr>
      <w:tr>
        <w:trPr>
          <w:trHeight w:val="323"/>
        </w:trPr>
        <w:tc>
          <w:tcPr>
            <w:tcW w:w="70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86"/>
              </w:rPr>
              <w:t>of shares</w:t>
            </w: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7"/>
              </w:rPr>
              <w:t>fair value</w:t>
            </w: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PSUs outstanding at December 31, 2019</w:t>
            </w: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138</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granted</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 released</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spacing w:after="0"/>
              <w:rPr>
                <w:sz w:val="20"/>
                <w:szCs w:val="20"/>
                <w:color w:val="auto"/>
              </w:rPr>
            </w:pPr>
            <w:r>
              <w:rPr>
                <w:rFonts w:ascii="Arial" w:cs="Arial" w:eastAsia="Arial" w:hAnsi="Arial"/>
                <w:sz w:val="18"/>
                <w:szCs w:val="18"/>
                <w:color w:val="auto"/>
              </w:rPr>
              <w:t>PSUs forfeited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9"/>
              </w:rPr>
              <w:t>(44)</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80" w:type="dxa"/>
            <w:vAlign w:val="bottom"/>
          </w:tcPr>
          <w:p>
            <w:pPr>
              <w:jc w:val="right"/>
              <w:ind w:right="517"/>
              <w:spacing w:after="0"/>
              <w:rPr>
                <w:sz w:val="20"/>
                <w:szCs w:val="20"/>
                <w:color w:val="auto"/>
              </w:rPr>
            </w:pPr>
            <w:r>
              <w:rPr>
                <w:rFonts w:ascii="Arial" w:cs="Arial" w:eastAsia="Arial" w:hAnsi="Arial"/>
                <w:sz w:val="18"/>
                <w:szCs w:val="18"/>
                <w:color w:val="auto"/>
              </w:rPr>
              <w:t>2.63</w:t>
            </w:r>
          </w:p>
        </w:tc>
      </w:tr>
      <w:tr>
        <w:trPr>
          <w:trHeight w:val="236"/>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PSUs outstanding at September 30, 2020</w:t>
            </w: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720" w:type="dxa"/>
            <w:vAlign w:val="bottom"/>
            <w:tcBorders>
              <w:top w:val="single" w:sz="8" w:color="CCEEFF"/>
              <w:bottom w:val="single" w:sz="8" w:color="CCEEFF"/>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CCEEFF"/>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2.63</w:t>
            </w:r>
          </w:p>
        </w:tc>
      </w:tr>
      <w:tr>
        <w:trPr>
          <w:trHeight w:val="20"/>
        </w:trPr>
        <w:tc>
          <w:tcPr>
            <w:tcW w:w="7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For the three and nine months ended September 30, 2020, we recognized stock-based compensation expense of $0 related to the performance-based RSUs.</w:t>
      </w:r>
    </w:p>
    <w:p>
      <w:pPr>
        <w:spacing w:after="0" w:line="35" w:lineRule="exact"/>
        <w:rPr>
          <w:sz w:val="20"/>
          <w:szCs w:val="20"/>
          <w:color w:val="auto"/>
        </w:rPr>
      </w:pPr>
    </w:p>
    <w:p>
      <w:pPr>
        <w:ind w:right="80" w:firstLine="440"/>
        <w:spacing w:after="0" w:line="231" w:lineRule="auto"/>
        <w:rPr>
          <w:sz w:val="20"/>
          <w:szCs w:val="20"/>
          <w:color w:val="auto"/>
        </w:rPr>
      </w:pPr>
      <w:r>
        <w:rPr>
          <w:rFonts w:ascii="Arial" w:cs="Arial" w:eastAsia="Arial" w:hAnsi="Arial"/>
          <w:sz w:val="18"/>
          <w:szCs w:val="18"/>
          <w:color w:val="auto"/>
        </w:rPr>
        <w:t>In January 2020, an additional 7.7 million shares and 1.5 million shares, respectively, were reserved under the 2010 Plan and the 2010 Director Plan. The 2010 Plan and the 2010 Director Plan expired on July 29, 2020. On August 4, 2020, stockholders at the 2020 Annual Meeting approved a new 2020 Equity Incentive Plan with 11,000,000 shares available for issuance and the 2010 Plan and 2010 Director Plan were terminated. As of September 30, 2020, we had 7.9 million shares of common stock available for future issuance.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 shares</w:t>
      </w:r>
    </w:p>
    <w:p>
      <w:pPr>
        <w:spacing w:after="0" w:line="63" w:lineRule="exact"/>
        <w:rPr>
          <w:sz w:val="20"/>
          <w:szCs w:val="20"/>
          <w:color w:val="auto"/>
        </w:rPr>
      </w:pPr>
    </w:p>
    <w:p>
      <w:pPr>
        <w:ind w:right="220" w:firstLine="440"/>
        <w:spacing w:after="0" w:line="235" w:lineRule="auto"/>
        <w:rPr>
          <w:sz w:val="20"/>
          <w:szCs w:val="20"/>
          <w:color w:val="auto"/>
        </w:rPr>
      </w:pPr>
      <w:r>
        <w:rPr>
          <w:rFonts w:ascii="Arial" w:cs="Arial" w:eastAsia="Arial" w:hAnsi="Arial"/>
          <w:sz w:val="18"/>
          <w:szCs w:val="18"/>
          <w:color w:val="auto"/>
        </w:rPr>
        <w:t>Shares issued under our ESPP were 834,677 and 1,306,329 during the nine months ended September 30, 2020 and 2019, respectively. In January 2020, an additional 3.1 million shares were reserved under the ESPP. As of September 30, 2020, 5,878,770 shares of our common stock remain available for issuance under our ESPP.</w:t>
      </w:r>
    </w:p>
    <w:p>
      <w:pPr>
        <w:spacing w:after="0" w:line="40" w:lineRule="exact"/>
        <w:rPr>
          <w:sz w:val="20"/>
          <w:szCs w:val="20"/>
          <w:color w:val="auto"/>
        </w:rPr>
      </w:pPr>
    </w:p>
    <w:p>
      <w:pPr>
        <w:ind w:right="580" w:firstLine="440"/>
        <w:spacing w:after="0" w:line="246" w:lineRule="auto"/>
        <w:rPr>
          <w:sz w:val="20"/>
          <w:szCs w:val="20"/>
          <w:color w:val="auto"/>
        </w:rPr>
      </w:pPr>
      <w:r>
        <w:rPr>
          <w:rFonts w:ascii="Arial" w:cs="Arial" w:eastAsia="Arial" w:hAnsi="Arial"/>
          <w:sz w:val="18"/>
          <w:szCs w:val="18"/>
          <w:color w:val="auto"/>
        </w:rPr>
        <w:t>For the three and nine months ended September 30, 2020, we recognized stock-based compensation expense of $1.8 million and $2.3 million, respectively, related to the ESPP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63" w:lineRule="exact"/>
        <w:rPr>
          <w:sz w:val="20"/>
          <w:szCs w:val="20"/>
          <w:color w:val="auto"/>
        </w:rPr>
      </w:pPr>
    </w:p>
    <w:p>
      <w:pPr>
        <w:ind w:right="76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the three and nine months ended September 30, 2020 and 2019, respectively (in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0"/>
        </w:trPr>
        <w:tc>
          <w:tcPr>
            <w:tcW w:w="5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20" w:type="dxa"/>
            <w:vAlign w:val="bottom"/>
            <w:shd w:val="clear" w:color="auto" w:fill="CCEEFF"/>
          </w:tcPr>
          <w:p>
            <w:pPr>
              <w:spacing w:after="0"/>
              <w:rPr>
                <w:sz w:val="21"/>
                <w:szCs w:val="21"/>
                <w:color w:val="auto"/>
              </w:rPr>
            </w:pPr>
          </w:p>
        </w:tc>
      </w:tr>
      <w:tr>
        <w:trPr>
          <w:trHeight w:val="283"/>
        </w:trPr>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5,836</w:t>
            </w:r>
          </w:p>
        </w:tc>
        <w:tc>
          <w:tcPr>
            <w:tcW w:w="320" w:type="dxa"/>
            <w:vAlign w:val="bottom"/>
          </w:tcPr>
          <w:p>
            <w:pPr>
              <w:spacing w:after="0"/>
              <w:rPr>
                <w:sz w:val="24"/>
                <w:szCs w:val="24"/>
                <w:color w:val="auto"/>
              </w:rPr>
            </w:pP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320" w:type="dxa"/>
            <w:vAlign w:val="bottom"/>
            <w:shd w:val="clear" w:color="auto" w:fill="CCEEFF"/>
          </w:tcPr>
          <w:p>
            <w:pPr>
              <w:spacing w:after="0"/>
              <w:rPr>
                <w:sz w:val="23"/>
                <w:szCs w:val="23"/>
                <w:color w:val="auto"/>
              </w:rPr>
            </w:pPr>
          </w:p>
        </w:tc>
      </w:tr>
      <w:tr>
        <w:trPr>
          <w:trHeight w:val="236"/>
        </w:trPr>
        <w:tc>
          <w:tcPr>
            <w:tcW w:w="5020" w:type="dxa"/>
            <w:vAlign w:val="bottom"/>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w:t>
            </w:r>
          </w:p>
        </w:tc>
        <w:tc>
          <w:tcPr>
            <w:tcW w:w="32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440"/>
        <w:spacing w:after="0" w:line="235" w:lineRule="auto"/>
        <w:rPr>
          <w:sz w:val="20"/>
          <w:szCs w:val="20"/>
          <w:color w:val="auto"/>
        </w:rPr>
      </w:pPr>
      <w:r>
        <w:rPr>
          <w:rFonts w:ascii="Arial" w:cs="Arial" w:eastAsia="Arial" w:hAnsi="Arial"/>
          <w:sz w:val="18"/>
          <w:szCs w:val="18"/>
          <w:color w:val="auto"/>
        </w:rPr>
        <w:t>We estimated the fair value of employee stock options on the grant date using the Black-Scholes option pricing model. The estimated fair value of employee stock options is amortized on a straight-line basis over the requisite service period of the awards. We did not grant any stock options for the year ended December 31, 2019 due to the then-in-process merger with Illumina.</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shares to be purchased under our stock option was estimated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398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32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Stock Option</w:t>
            </w:r>
          </w:p>
        </w:tc>
        <w:tc>
          <w:tcPr>
            <w:tcW w:w="1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5.1</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5.1</w:t>
            </w: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ind w:left="86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300" w:type="dxa"/>
            <w:vAlign w:val="bottom"/>
          </w:tcPr>
          <w:p>
            <w:pPr>
              <w:spacing w:after="0"/>
              <w:rPr>
                <w:sz w:val="18"/>
                <w:szCs w:val="18"/>
                <w:color w:val="auto"/>
              </w:rPr>
            </w:pPr>
          </w:p>
        </w:tc>
        <w:tc>
          <w:tcPr>
            <w:tcW w:w="2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2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440"/>
        <w:spacing w:after="0" w:line="228" w:lineRule="auto"/>
        <w:rPr>
          <w:sz w:val="20"/>
          <w:szCs w:val="20"/>
          <w:color w:val="auto"/>
        </w:rPr>
      </w:pPr>
      <w:r>
        <w:rPr>
          <w:rFonts w:ascii="Arial" w:cs="Arial" w:eastAsia="Arial" w:hAnsi="Arial"/>
          <w:sz w:val="18"/>
          <w:szCs w:val="18"/>
          <w:color w:val="auto"/>
        </w:rPr>
        <w:t>We estimate the value of employee stock purchase rights on the grant date using the Black-Scholes option pricing model. Pursuant to the terms of the then-in-process merger with Illumina, the ESPP was terminated after the completion of the purchase period ended March 1, 2019 and there were no offerings after March 1, 2019. As such there were no new Black-Scholes calculations performed to calculate the fair value of new purchase rights granted for the year ended December 31, 2019. After the merger with Illumina was terminated in January 2020, we began offerings under the ESPP again starting with the offering period on March 1, 2020.</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shares to be purchased under our ESPP was estimated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4280" w:type="dxa"/>
            <w:vAlign w:val="bottom"/>
            <w:gridSpan w:val="4"/>
          </w:tcPr>
          <w:p>
            <w:pPr>
              <w:ind w:left="820"/>
              <w:spacing w:after="0"/>
              <w:rPr>
                <w:sz w:val="20"/>
                <w:szCs w:val="20"/>
                <w:color w:val="auto"/>
              </w:rPr>
            </w:pPr>
            <w:r>
              <w:rPr>
                <w:rFonts w:ascii="Arial" w:cs="Arial" w:eastAsia="Arial" w:hAnsi="Arial"/>
                <w:sz w:val="14"/>
                <w:szCs w:val="14"/>
                <w:b w:val="1"/>
                <w:bCs w:val="1"/>
                <w:color w:val="auto"/>
              </w:rPr>
              <w:t>Three Months Ended September 30,</w:t>
            </w:r>
          </w:p>
        </w:tc>
        <w:tc>
          <w:tcPr>
            <w:tcW w:w="354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34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ESPP</w:t>
            </w: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Expected term in years</w:t>
            </w: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0.5 - 2.0</w:t>
            </w:r>
          </w:p>
        </w:tc>
        <w:tc>
          <w:tcPr>
            <w:tcW w:w="520" w:type="dxa"/>
            <w:vAlign w:val="bottom"/>
            <w:shd w:val="clear" w:color="auto" w:fill="CCEEFF"/>
          </w:tcPr>
          <w:p>
            <w:pPr>
              <w:spacing w:after="0"/>
              <w:rPr>
                <w:sz w:val="17"/>
                <w:szCs w:val="17"/>
                <w:color w:val="auto"/>
              </w:rPr>
            </w:pPr>
          </w:p>
        </w:tc>
        <w:tc>
          <w:tcPr>
            <w:tcW w:w="1820" w:type="dxa"/>
            <w:vAlign w:val="bottom"/>
            <w:shd w:val="clear" w:color="auto" w:fill="CCEEFF"/>
          </w:tcPr>
          <w:p>
            <w:pPr>
              <w:ind w:left="78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520" w:type="dxa"/>
            <w:vAlign w:val="bottom"/>
          </w:tcPr>
          <w:p>
            <w:pPr>
              <w:spacing w:after="0"/>
              <w:rPr>
                <w:sz w:val="18"/>
                <w:szCs w:val="18"/>
                <w:color w:val="auto"/>
              </w:rPr>
            </w:pP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2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0.1% -1.0%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REVENUE</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our revenue by geographic location for the three and nine months ended September 30, 2020 and 2019 is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4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33,165</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Europe (including the Middle East and Africa)</w:t>
            </w:r>
          </w:p>
        </w:tc>
        <w:tc>
          <w:tcPr>
            <w:tcW w:w="26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4,339</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4,940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11,423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2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3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21,915</w:t>
            </w:r>
          </w:p>
        </w:tc>
        <w:tc>
          <w:tcPr>
            <w:tcW w:w="24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51,757</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revenue by category for the three and nine months ended September 30, 2020 and 2019 is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60" w:type="dxa"/>
            <w:vAlign w:val="bottom"/>
            <w:vMerge w:val="continue"/>
          </w:tcPr>
          <w:p>
            <w:pPr>
              <w:spacing w:after="0"/>
              <w:rPr>
                <w:sz w:val="18"/>
                <w:szCs w:val="18"/>
                <w:color w:val="auto"/>
              </w:rPr>
            </w:pPr>
          </w:p>
        </w:tc>
        <w:tc>
          <w:tcPr>
            <w:tcW w:w="19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9"/>
        </w:trPr>
        <w:tc>
          <w:tcPr>
            <w:tcW w:w="26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Instrument revenue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Consumable revenue</w:t>
            </w:r>
          </w:p>
        </w:tc>
        <w:tc>
          <w:tcPr>
            <w:tcW w:w="7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21,113</w:t>
            </w:r>
          </w:p>
        </w:tc>
        <w:tc>
          <w:tcPr>
            <w:tcW w:w="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23,321</w:t>
            </w: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53,191</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and other revenue</w:t>
            </w:r>
          </w:p>
        </w:tc>
        <w:tc>
          <w:tcPr>
            <w:tcW w:w="76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4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w:t>
            </w:r>
          </w:p>
        </w:tc>
        <w:tc>
          <w:tcPr>
            <w:tcW w:w="3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w:t>
            </w: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2019. Some of the information contained in this discussion and analysis or set forth elsewhere in this report, including statements related to our expectations regarding the potential impacts of the COVID-19 pandemic on our business, financial condition, and results of operations, and information with respect to our products, plans and strategy for our business and related financing, includes forward-looking statements that involve risks and uncertainties, including statements regarding our expected financial results in future periods.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Merger with Illumina, Inc.</w:t>
      </w:r>
    </w:p>
    <w:p>
      <w:pPr>
        <w:spacing w:after="0" w:line="67" w:lineRule="exact"/>
        <w:rPr>
          <w:sz w:val="20"/>
          <w:szCs w:val="20"/>
          <w:color w:val="auto"/>
        </w:rPr>
      </w:pPr>
    </w:p>
    <w:p>
      <w:pPr>
        <w:ind w:right="200" w:firstLine="440"/>
        <w:spacing w:after="0" w:line="235" w:lineRule="auto"/>
        <w:rPr>
          <w:sz w:val="20"/>
          <w:szCs w:val="20"/>
          <w:color w:val="auto"/>
        </w:rPr>
      </w:pPr>
      <w:r>
        <w:rPr>
          <w:rFonts w:ascii="Arial" w:cs="Arial" w:eastAsia="Arial" w:hAnsi="Arial"/>
          <w:sz w:val="18"/>
          <w:szCs w:val="18"/>
          <w:color w:val="auto"/>
        </w:rPr>
        <w:t>On January 2, 2020, we, Illumina and Merger Subsidiary entered into the Termination Agreement. As part of the Termination Agreement, Illumina paid us a $98.0 million Reverse Termination Fee, from which we paid our financial advisor associated fees of $6 million in April 2020. In addition, Illumina paid us the final Continuation Advances of $34 million during the first quarter of 2020.</w:t>
      </w:r>
    </w:p>
    <w:p>
      <w:pPr>
        <w:spacing w:after="0" w:line="40" w:lineRule="exact"/>
        <w:rPr>
          <w:sz w:val="20"/>
          <w:szCs w:val="20"/>
          <w:color w:val="auto"/>
        </w:rPr>
      </w:pPr>
    </w:p>
    <w:p>
      <w:pPr>
        <w:ind w:right="80" w:firstLine="440"/>
        <w:spacing w:after="0" w:line="258" w:lineRule="auto"/>
        <w:rPr>
          <w:sz w:val="20"/>
          <w:szCs w:val="20"/>
          <w:color w:val="auto"/>
        </w:rPr>
      </w:pPr>
      <w:r>
        <w:rPr>
          <w:rFonts w:ascii="Arial" w:cs="Arial" w:eastAsia="Arial" w:hAnsi="Arial"/>
          <w:sz w:val="16"/>
          <w:szCs w:val="16"/>
          <w:color w:val="auto"/>
        </w:rPr>
        <w:t>However, pursuant to the Termination Agreement, in the event that, on or prior to September 30, 2020, we entered into a definitive agreement providing for, or consummated, a Change of Control Transaction (as defined in the Termination Agreement), then we may have been required to repay the Reverse Termination Fee (without interest) to Illumina in connection with the consummation of such Change of Control Transaction. No such definitive agreement was entered into nor was a Change of Control Transaction consummated as of September 30, 2020. The $98.0 million in cash we received from Illumina for the reverse termination fee was recorded as a short-term liability as of September 30, 2020 and, on October 1, 2020, after the contingency clauses lapsed, it was subsequently recognized as a gain and will be reflected in the fourth quarter of 2020 as Other Income.</w:t>
      </w:r>
    </w:p>
    <w:p>
      <w:pPr>
        <w:spacing w:after="0" w:line="28" w:lineRule="exact"/>
        <w:rPr>
          <w:sz w:val="20"/>
          <w:szCs w:val="20"/>
          <w:color w:val="auto"/>
        </w:rPr>
      </w:pPr>
    </w:p>
    <w:p>
      <w:pPr>
        <w:ind w:right="140" w:firstLine="440"/>
        <w:spacing w:after="0" w:line="235" w:lineRule="auto"/>
        <w:rPr>
          <w:sz w:val="20"/>
          <w:szCs w:val="20"/>
          <w:color w:val="auto"/>
        </w:rPr>
      </w:pPr>
      <w:r>
        <w:rPr>
          <w:rFonts w:ascii="Arial" w:cs="Arial" w:eastAsia="Arial" w:hAnsi="Arial"/>
          <w:sz w:val="18"/>
          <w:szCs w:val="18"/>
          <w:color w:val="auto"/>
        </w:rPr>
        <w:t>In addition, up to the $52.0 million of Continuation Advances paid to us are repayable without interest to Illumina if, within two years of March 31, 2020, we enter into a Change of Control Transaction or raise at least $100 million in a single equity or debt financing (that may have multiple closings), with the amount repayable dependent on the amount raised by us.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67" w:lineRule="exact"/>
        <w:rPr>
          <w:sz w:val="20"/>
          <w:szCs w:val="20"/>
          <w:color w:val="auto"/>
        </w:rPr>
      </w:pPr>
    </w:p>
    <w:p>
      <w:pPr>
        <w:ind w:firstLine="440"/>
        <w:spacing w:after="0" w:line="246" w:lineRule="auto"/>
        <w:rPr>
          <w:sz w:val="20"/>
          <w:szCs w:val="20"/>
          <w:color w:val="auto"/>
        </w:rPr>
      </w:pPr>
      <w:r>
        <w:rPr>
          <w:rFonts w:ascii="Arial" w:cs="Arial" w:eastAsia="Arial" w:hAnsi="Arial"/>
          <w:sz w:val="17"/>
          <w:szCs w:val="17"/>
          <w:color w:val="auto"/>
        </w:rPr>
        <w:t>Our President and Chief Executive Officer Christian O. Henry was appointed effective September 14, 2020, succeeding Dr. Michael Hunkapiller who announced his retirement, which will be effective at the end of the year. Our Chief Financial Officer Susan G. Kim was appointed effective September 28, 2020, succeeding Susan K. Barnes who retired on August 7, 2020. Also, our Vice President and Chief Accounting Officer Eric E. Schaefer was appointed effective May 26, 2020, and our Chairman of the Board Dr. John F. Milligan was appointed effective September 14,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67" w:lineRule="exact"/>
        <w:rPr>
          <w:sz w:val="20"/>
          <w:szCs w:val="20"/>
          <w:color w:val="auto"/>
        </w:rPr>
      </w:pPr>
    </w:p>
    <w:p>
      <w:pPr>
        <w:ind w:right="140" w:firstLine="440"/>
        <w:spacing w:after="0" w:line="221" w:lineRule="auto"/>
        <w:rPr>
          <w:sz w:val="20"/>
          <w:szCs w:val="20"/>
          <w:color w:val="auto"/>
        </w:rPr>
      </w:pPr>
      <w:r>
        <w:rPr>
          <w:rFonts w:ascii="Arial" w:cs="Arial" w:eastAsia="Arial" w:hAnsi="Arial"/>
          <w:sz w:val="18"/>
          <w:szCs w:val="18"/>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80" w:firstLine="440"/>
        <w:spacing w:after="0" w:line="246" w:lineRule="auto"/>
        <w:rPr>
          <w:sz w:val="20"/>
          <w:szCs w:val="20"/>
          <w:color w:val="auto"/>
        </w:rPr>
      </w:pPr>
      <w:r>
        <w:rPr>
          <w:rFonts w:ascii="Arial" w:cs="Arial" w:eastAsia="Arial" w:hAnsi="Arial"/>
          <w:sz w:val="17"/>
          <w:szCs w:val="17"/>
          <w:color w:val="auto"/>
        </w:rPr>
        <w:t>Our current products include the Sequel II instrument and SMRT Cell 8M, which together are capable of sequencing up to approximately eight million DNA molecules simultaneously, and the previous generation Sequel instrument and Sequel SMRT Cell 1M, which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63" w:lineRule="exact"/>
        <w:rPr>
          <w:sz w:val="20"/>
          <w:szCs w:val="20"/>
          <w:color w:val="auto"/>
        </w:rPr>
      </w:pPr>
    </w:p>
    <w:p>
      <w:pPr>
        <w:ind w:right="20" w:firstLine="440"/>
        <w:spacing w:after="0" w:line="254" w:lineRule="auto"/>
        <w:rPr>
          <w:sz w:val="20"/>
          <w:szCs w:val="20"/>
          <w:color w:val="auto"/>
        </w:rPr>
      </w:pPr>
      <w:r>
        <w:rPr>
          <w:rFonts w:ascii="Arial" w:cs="Arial" w:eastAsia="Arial" w:hAnsi="Arial"/>
          <w:sz w:val="16"/>
          <w:szCs w:val="16"/>
          <w:color w:val="auto"/>
        </w:rPr>
        <w:t>The COVID-19 pandemic and efforts to control its spread have significantly curtailed the movement of people, goods, and services worldwide, including in the regions in which we sell our products and services and conduct our business operations. The financial results for the three and nine months ended September 30, 2020 were impacted negatively as many of our customers in multiple regions around the world shut down operations for various periods of time in efforts to curb the spread of the COVID-19 pandemic. This resulted in lower product revenues for the three and nine months ended September 30, 2020 as compared to the same periods of 2019. A significant number of our customer sites that had shut down due to COVID-19 have re-opened. In addition, a significant number of customers have delayed purchases or difficulties obtaining funding for capital expenditures due to the negative impact of the pandemic on their businesses. This dynamic continues to negatively impact the recognition of revenue related to the sale of our Sequel and Sequel II instruments. The negative impacts of COVID-19 on our customers will likely continue to adversely impact our revenues during the fourth quarter of 2020. Due to the uncertain scope and duration of the pandemic, we cannot reasonably estimate the future impact to our operations and financial results.</w:t>
      </w:r>
    </w:p>
    <w:p>
      <w:pPr>
        <w:spacing w:after="0" w:line="30" w:lineRule="exact"/>
        <w:rPr>
          <w:sz w:val="20"/>
          <w:szCs w:val="20"/>
          <w:color w:val="auto"/>
        </w:rPr>
      </w:pPr>
    </w:p>
    <w:p>
      <w:pPr>
        <w:ind w:right="460" w:firstLine="440"/>
        <w:spacing w:after="0" w:line="246" w:lineRule="auto"/>
        <w:rPr>
          <w:sz w:val="20"/>
          <w:szCs w:val="20"/>
          <w:color w:val="auto"/>
        </w:rPr>
      </w:pPr>
      <w:r>
        <w:rPr>
          <w:rFonts w:ascii="Arial" w:cs="Arial" w:eastAsia="Arial" w:hAnsi="Arial"/>
          <w:sz w:val="17"/>
          <w:szCs w:val="17"/>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as much as possible. We are monitoring this rapidly evolving situation.</w:t>
      </w:r>
    </w:p>
    <w:p>
      <w:pPr>
        <w:spacing w:after="0" w:line="36" w:lineRule="exact"/>
        <w:rPr>
          <w:sz w:val="20"/>
          <w:szCs w:val="20"/>
          <w:color w:val="auto"/>
        </w:rPr>
      </w:pPr>
    </w:p>
    <w:p>
      <w:pPr>
        <w:ind w:firstLine="440"/>
        <w:spacing w:after="0" w:line="256"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60" w:firstLine="440"/>
        <w:spacing w:after="0"/>
        <w:rPr>
          <w:sz w:val="20"/>
          <w:szCs w:val="20"/>
          <w:color w:val="auto"/>
        </w:rPr>
      </w:pPr>
      <w:r>
        <w:rPr>
          <w:rFonts w:ascii="Arial" w:cs="Arial" w:eastAsia="Arial" w:hAnsi="Arial"/>
          <w:sz w:val="17"/>
          <w:szCs w:val="17"/>
          <w:color w:val="auto"/>
        </w:rPr>
        <w:t>The discussion and analysis of our financial condition and results of operations are based upon our unaudited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42" w:lineRule="exact"/>
        <w:rPr>
          <w:sz w:val="20"/>
          <w:szCs w:val="20"/>
          <w:color w:val="auto"/>
        </w:rPr>
      </w:pPr>
    </w:p>
    <w:p>
      <w:pPr>
        <w:ind w:right="120" w:firstLine="402"/>
        <w:spacing w:after="0" w:line="235" w:lineRule="auto"/>
        <w:rPr>
          <w:sz w:val="20"/>
          <w:szCs w:val="20"/>
          <w:color w:val="auto"/>
        </w:rPr>
      </w:pPr>
      <w:r>
        <w:rPr>
          <w:rFonts w:ascii="Arial" w:cs="Arial" w:eastAsia="Arial" w:hAnsi="Arial"/>
          <w:sz w:val="18"/>
          <w:szCs w:val="18"/>
          <w:color w:val="auto"/>
        </w:rPr>
        <w:t xml:space="preserve">We adopted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on January 1, 2020, using the modified retrospective method. Please see “Recently Adopted Accounting Standards” in the </w:t>
      </w:r>
      <w:r>
        <w:rPr>
          <w:rFonts w:ascii="Arial" w:cs="Arial" w:eastAsia="Arial" w:hAnsi="Arial"/>
          <w:sz w:val="18"/>
          <w:szCs w:val="18"/>
          <w:i w:val="1"/>
          <w:iCs w:val="1"/>
          <w:color w:val="auto"/>
        </w:rPr>
        <w:t>Note 3.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Item 1. Financial Statements.</w:t>
      </w:r>
    </w:p>
    <w:p>
      <w:pPr>
        <w:spacing w:after="0" w:line="40" w:lineRule="exact"/>
        <w:rPr>
          <w:sz w:val="20"/>
          <w:szCs w:val="20"/>
          <w:color w:val="auto"/>
        </w:rPr>
      </w:pPr>
    </w:p>
    <w:p>
      <w:pPr>
        <w:ind w:right="200" w:firstLine="402"/>
        <w:spacing w:after="0" w:line="228" w:lineRule="auto"/>
        <w:rPr>
          <w:sz w:val="20"/>
          <w:szCs w:val="20"/>
          <w:color w:val="auto"/>
        </w:rPr>
      </w:pPr>
      <w:r>
        <w:rPr>
          <w:rFonts w:ascii="Arial" w:cs="Arial" w:eastAsia="Arial" w:hAnsi="Arial"/>
          <w:sz w:val="18"/>
          <w:szCs w:val="18"/>
          <w:color w:val="auto"/>
        </w:rPr>
        <w:t>Except as noted above, there have been no other material changes to our significant accounting policies as discussed in our Annual Report on Form 10-K for the year ended 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September 30, 2020 and 2019</w:t>
      </w: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25"/>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1840" w:type="dxa"/>
            <w:vAlign w:val="bottom"/>
            <w:vMerge w:val="restart"/>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jc w:val="right"/>
              <w:ind w:right="431"/>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2100" w:type="dxa"/>
            <w:vAlign w:val="bottom"/>
            <w:tcBorders>
              <w:bottom w:val="single" w:sz="8" w:color="auto"/>
            </w:tcBorders>
            <w:gridSpan w:val="2"/>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40" w:type="dxa"/>
            <w:vAlign w:val="bottom"/>
            <w:gridSpan w:val="3"/>
            <w:vMerge w:val="restart"/>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400"/>
              <w:spacing w:after="0"/>
              <w:rPr>
                <w:sz w:val="20"/>
                <w:szCs w:val="20"/>
                <w:color w:val="auto"/>
              </w:rPr>
            </w:pPr>
            <w:r>
              <w:rPr>
                <w:rFonts w:ascii="Arial" w:cs="Arial" w:eastAsia="Arial" w:hAnsi="Arial"/>
                <w:sz w:val="18"/>
                <w:szCs w:val="18"/>
                <w:color w:val="auto"/>
              </w:rPr>
              <w:t>Product revenue</w:t>
            </w:r>
          </w:p>
        </w:tc>
        <w:tc>
          <w:tcPr>
            <w:tcW w:w="1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15,749</w:t>
            </w:r>
          </w:p>
        </w:tc>
        <w:tc>
          <w:tcPr>
            <w:tcW w:w="260" w:type="dxa"/>
            <w:vAlign w:val="bottom"/>
          </w:tcPr>
          <w:p>
            <w:pPr>
              <w:spacing w:after="0"/>
              <w:rPr>
                <w:sz w:val="20"/>
                <w:szCs w:val="20"/>
                <w:color w:val="auto"/>
              </w:rPr>
            </w:pP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18,484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Service and other revenue</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CEEFF"/>
            </w:tcBorders>
            <w:gridSpan w:val="2"/>
          </w:tcPr>
          <w:p>
            <w:pPr>
              <w:ind w:left="720"/>
              <w:spacing w:after="0" w:line="196" w:lineRule="exact"/>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19,082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(2,833)</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00"/>
              <w:spacing w:after="0"/>
              <w:rPr>
                <w:sz w:val="20"/>
                <w:szCs w:val="20"/>
                <w:color w:val="auto"/>
              </w:rPr>
            </w:pPr>
            <w:r>
              <w:rPr>
                <w:rFonts w:ascii="Arial" w:cs="Arial" w:eastAsia="Arial" w:hAnsi="Arial"/>
                <w:sz w:val="18"/>
                <w:szCs w:val="18"/>
                <w:color w:val="auto"/>
              </w:rPr>
              <w:t>Cost of product revenue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Cost of service and other revenue</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CEEFF"/>
            </w:tcBorders>
            <w:gridSpan w:val="2"/>
          </w:tcPr>
          <w:p>
            <w:pPr>
              <w:ind w:left="720"/>
              <w:spacing w:after="0" w:line="196" w:lineRule="exact"/>
              <w:rPr>
                <w:sz w:val="20"/>
                <w:szCs w:val="20"/>
                <w:color w:val="auto"/>
              </w:rPr>
            </w:pPr>
            <w:r>
              <w:rPr>
                <w:rFonts w:ascii="Arial" w:cs="Arial" w:eastAsia="Arial" w:hAnsi="Arial"/>
                <w:sz w:val="18"/>
                <w:szCs w:val="18"/>
                <w:color w:val="auto"/>
              </w:rPr>
              <w:t>Total cost of revenue</w:t>
            </w:r>
          </w:p>
        </w:tc>
        <w:tc>
          <w:tcPr>
            <w:tcW w:w="1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12,018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15,001</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ind w:left="1160"/>
              <w:spacing w:after="0" w:line="196" w:lineRule="exact"/>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Sales, general and administrative</w:t>
            </w:r>
          </w:p>
        </w:tc>
        <w:tc>
          <w:tcPr>
            <w:tcW w:w="1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20,066</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(5,294)</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Total operating expense</w:t>
            </w:r>
          </w:p>
        </w:tc>
        <w:tc>
          <w:tcPr>
            <w:tcW w:w="1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31,239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35,028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income, net</w:t>
            </w:r>
          </w:p>
        </w:tc>
        <w:tc>
          <w:tcPr>
            <w:tcW w:w="1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gridSpan w:val="2"/>
          </w:tcPr>
          <w:p>
            <w:pPr>
              <w:spacing w:after="0" w:line="182" w:lineRule="exact"/>
              <w:rPr>
                <w:sz w:val="20"/>
                <w:szCs w:val="20"/>
                <w:color w:val="auto"/>
              </w:rPr>
            </w:pPr>
            <w:r>
              <w:rPr>
                <w:rFonts w:ascii="Arial" w:cs="Arial" w:eastAsia="Arial" w:hAnsi="Arial"/>
                <w:sz w:val="18"/>
                <w:szCs w:val="18"/>
                <w:color w:val="auto"/>
              </w:rPr>
              <w:t>Net loss</w:t>
            </w:r>
          </w:p>
        </w:tc>
        <w:tc>
          <w:tcPr>
            <w:tcW w:w="112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(23,708)</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(29,123)</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5,415</w:t>
            </w:r>
          </w:p>
        </w:tc>
        <w:tc>
          <w:tcPr>
            <w:tcW w:w="12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three months ended September 30, 2020 was $19.1 million compared to $21.9 million for the same period during 2019.</w:t>
      </w:r>
    </w:p>
    <w:p>
      <w:pPr>
        <w:spacing w:after="0" w:line="75" w:lineRule="exact"/>
        <w:rPr>
          <w:sz w:val="20"/>
          <w:szCs w:val="20"/>
          <w:color w:val="auto"/>
        </w:rPr>
      </w:pPr>
    </w:p>
    <w:p>
      <w:pPr>
        <w:ind w:right="20" w:firstLine="440"/>
        <w:spacing w:after="0" w:line="251" w:lineRule="auto"/>
        <w:rPr>
          <w:sz w:val="20"/>
          <w:szCs w:val="20"/>
          <w:color w:val="auto"/>
        </w:rPr>
      </w:pPr>
      <w:r>
        <w:rPr>
          <w:rFonts w:ascii="Arial" w:cs="Arial" w:eastAsia="Arial" w:hAnsi="Arial"/>
          <w:sz w:val="16"/>
          <w:szCs w:val="16"/>
          <w:color w:val="auto"/>
        </w:rPr>
        <w:t>Product revenue of $15.7 million for the three months ended September 30, 2020 consisted primarily of $7.7 million from instrument revenue and $8.0 million from consumables revenue, compared to total product revenue of $18.5 million for the same period during 2019, consisting of $11.6 million from instrument revenue and $6.9 million of consumables revenue. The decrease in instrument sales was primarily attributable to a lower number of instrument shipments and installations due to COVID-19 as discussed above. The increase in consumable sales was primarily attributable to higher Sequel</w:t>
      </w:r>
    </w:p>
    <w:p>
      <w:pPr>
        <w:spacing w:after="0" w:line="2" w:lineRule="exact"/>
        <w:rPr>
          <w:sz w:val="20"/>
          <w:szCs w:val="20"/>
          <w:color w:val="auto"/>
        </w:rPr>
      </w:pPr>
    </w:p>
    <w:p>
      <w:pPr>
        <w:ind w:right="80" w:firstLine="8"/>
        <w:spacing w:after="0" w:line="233"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consumables sales. The negative impact of COVID-19 on our customers will likely continue to adversely impact our revenues during the fourth quarter of 2020.</w:t>
      </w:r>
    </w:p>
    <w:p>
      <w:pPr>
        <w:spacing w:after="0" w:line="41"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Service and other revenue of $3.3 million and $3.4 million for the three months ended September 30, 2020 and 2019, respectively, was primarily derived from product maintenance agreements sold on our installed instruments.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63"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Gross profit for the three months ended September 30, 2020 was $7.1 million, resulting in a gross margin of 37.0%, compared to gross profit of $6.9 million, resulting in a gross margin of 31.5% for the same period during 2019.</w:t>
      </w:r>
    </w:p>
    <w:p>
      <w:pPr>
        <w:spacing w:after="0" w:line="35" w:lineRule="exact"/>
        <w:rPr>
          <w:sz w:val="20"/>
          <w:szCs w:val="20"/>
          <w:color w:val="auto"/>
        </w:rPr>
      </w:pPr>
    </w:p>
    <w:p>
      <w:pPr>
        <w:ind w:right="40" w:firstLine="440"/>
        <w:spacing w:after="0" w:line="266" w:lineRule="auto"/>
        <w:rPr>
          <w:sz w:val="20"/>
          <w:szCs w:val="20"/>
          <w:color w:val="auto"/>
        </w:rPr>
      </w:pPr>
      <w:r>
        <w:rPr>
          <w:rFonts w:ascii="Arial" w:cs="Arial" w:eastAsia="Arial" w:hAnsi="Arial"/>
          <w:sz w:val="16"/>
          <w:szCs w:val="16"/>
          <w:color w:val="auto"/>
        </w:rPr>
        <w:t>Cost of product revenue was $9.2 million for the three months ended September 30, 2020, compared to cost of product revenue of $12.2 million for the same period during 2019. The decrease of $3.0 million in cost of product revenue was primarily attributable to our incurring $2.8 million of product transition costs including inventory reserves taken in connection with the transition from Sequel to Sequel II during the three months ended September 30, 2019, partially offset by lower factory production in the three months ended September 30, 2020 resulting in under-absorbed overhead.</w:t>
      </w:r>
    </w:p>
    <w:p>
      <w:pPr>
        <w:spacing w:after="0" w:line="21" w:lineRule="exact"/>
        <w:rPr>
          <w:sz w:val="20"/>
          <w:szCs w:val="20"/>
          <w:color w:val="auto"/>
        </w:rPr>
      </w:pPr>
    </w:p>
    <w:p>
      <w:pPr>
        <w:ind w:right="240" w:firstLine="440"/>
        <w:spacing w:after="0" w:line="246" w:lineRule="auto"/>
        <w:rPr>
          <w:sz w:val="20"/>
          <w:szCs w:val="20"/>
          <w:color w:val="auto"/>
        </w:rPr>
      </w:pPr>
      <w:r>
        <w:rPr>
          <w:rFonts w:ascii="Arial" w:cs="Arial" w:eastAsia="Arial" w:hAnsi="Arial"/>
          <w:sz w:val="18"/>
          <w:szCs w:val="18"/>
          <w:color w:val="auto"/>
        </w:rPr>
        <w:t>Cost of service and other revenue for the three months ended September 30, 2020 was $2.8 million, compared to $2.8 million for the same period during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firstLine="440"/>
        <w:spacing w:after="0" w:line="223" w:lineRule="auto"/>
        <w:rPr>
          <w:sz w:val="20"/>
          <w:szCs w:val="20"/>
          <w:color w:val="auto"/>
        </w:rPr>
      </w:pPr>
      <w:r>
        <w:rPr>
          <w:rFonts w:ascii="Arial" w:cs="Arial" w:eastAsia="Arial" w:hAnsi="Arial"/>
          <w:sz w:val="18"/>
          <w:szCs w:val="18"/>
          <w:color w:val="auto"/>
        </w:rPr>
        <w:t>During the three months ended September 30, 2020, research and development expense increased by $1.5 million, or 10%, compared to the same period during 2019. The increase in research and development expense was primarily driven by higher chip development costs. Research and development expense included stock-based compensation expense of $2.1 million and $1.9 million during the three months ended September 30, 2020 and 2019, respectively.</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right="80" w:firstLine="440"/>
        <w:spacing w:after="0" w:line="227" w:lineRule="auto"/>
        <w:rPr>
          <w:sz w:val="20"/>
          <w:szCs w:val="20"/>
          <w:color w:val="auto"/>
        </w:rPr>
      </w:pPr>
      <w:r>
        <w:rPr>
          <w:rFonts w:ascii="Arial" w:cs="Arial" w:eastAsia="Arial" w:hAnsi="Arial"/>
          <w:sz w:val="18"/>
          <w:szCs w:val="18"/>
          <w:color w:val="auto"/>
        </w:rPr>
        <w:t>During the three months ended September 30, 2020, sales, general and administrative expense decreased by $5.3 million, or 26%, compared to the same period during 2019. The decrease in sales, general and administrative expense was primarily attributable to $3.6 million in merger related expenses during the three months ended September 30, 2019, which did not recur during the three months ended September 30, 2020, and a decrease of $1.4 million in patent litigation expenses incurred during the three months ended September 30, 2020 as compared to the same period in 2019. Sales, general and administrative expense included stock-based compensation expense of $2.2 million and $1.7 million during the three months ended September 30, 2020 and 2019, respectively.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Interest expense for the three months ended September 30, 2020 decreased $0.7 million compared to the same period in 2019, as the debt agreement with Deerfield entered into in February 2013 (the “Facility Agreement”) matured in February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w:t>
      </w:r>
    </w:p>
    <w:p>
      <w:pPr>
        <w:spacing w:after="0" w:line="63" w:lineRule="exact"/>
        <w:rPr>
          <w:sz w:val="20"/>
          <w:szCs w:val="20"/>
          <w:color w:val="auto"/>
        </w:rPr>
      </w:pPr>
    </w:p>
    <w:p>
      <w:pPr>
        <w:jc w:val="both"/>
        <w:ind w:right="420" w:firstLine="440"/>
        <w:spacing w:after="0" w:line="235" w:lineRule="auto"/>
        <w:rPr>
          <w:sz w:val="20"/>
          <w:szCs w:val="20"/>
          <w:color w:val="auto"/>
        </w:rPr>
      </w:pPr>
      <w:r>
        <w:rPr>
          <w:rFonts w:ascii="Arial" w:cs="Arial" w:eastAsia="Arial" w:hAnsi="Arial"/>
          <w:sz w:val="18"/>
          <w:szCs w:val="18"/>
          <w:color w:val="auto"/>
        </w:rPr>
        <w:t>The $98.0 million in cash we received from Illumina for the Reverse Termination Fee was recorded as a short-term liability as of September 30, 2020. On October 1, 2020, the contingency clauses lapsed and, as a result, we expect to recognize a gain of $98 million in our fourth quarter of 2020 financial results.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2020 and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87"/>
              <w:spacing w:after="0"/>
              <w:rPr>
                <w:sz w:val="20"/>
                <w:szCs w:val="20"/>
                <w:color w:val="auto"/>
              </w:rPr>
            </w:pPr>
            <w:r>
              <w:rPr>
                <w:rFonts w:ascii="Arial" w:cs="Arial" w:eastAsia="Arial" w:hAnsi="Arial"/>
                <w:sz w:val="14"/>
                <w:szCs w:val="14"/>
                <w:b w:val="1"/>
                <w:bCs w:val="1"/>
                <w:color w:val="auto"/>
              </w:rPr>
              <w:t>Nine Months Ended September 30,</w:t>
            </w: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Change</w:t>
            </w:r>
          </w:p>
        </w:tc>
      </w:tr>
      <w:tr>
        <w:trPr>
          <w:trHeight w:val="190"/>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2100" w:type="dxa"/>
            <w:vAlign w:val="bottom"/>
            <w:tcBorders>
              <w:top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687"/>
              <w:spacing w:after="0"/>
              <w:rPr>
                <w:sz w:val="20"/>
                <w:szCs w:val="20"/>
                <w:color w:val="auto"/>
              </w:rPr>
            </w:pPr>
            <w:r>
              <w:rPr>
                <w:rFonts w:ascii="Arial" w:cs="Arial" w:eastAsia="Arial" w:hAnsi="Arial"/>
                <w:sz w:val="14"/>
                <w:szCs w:val="14"/>
                <w:b w:val="1"/>
                <w:bCs w:val="1"/>
                <w:color w:val="auto"/>
                <w:w w:val="97"/>
              </w:rPr>
              <w:t>(unaudited)</w:t>
            </w: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Product revenue</w:t>
            </w:r>
          </w:p>
        </w:tc>
        <w:tc>
          <w:tcPr>
            <w:tcW w:w="116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41,798</w:t>
            </w:r>
          </w:p>
        </w:tc>
        <w:tc>
          <w:tcPr>
            <w:tcW w:w="40" w:type="dxa"/>
            <w:vAlign w:val="bottom"/>
          </w:tcPr>
          <w:p>
            <w:pPr>
              <w:spacing w:after="0"/>
              <w:rPr>
                <w:sz w:val="18"/>
                <w:szCs w:val="18"/>
                <w:color w:val="auto"/>
              </w:rPr>
            </w:pPr>
          </w:p>
        </w:tc>
        <w:tc>
          <w:tcPr>
            <w:tcW w:w="1520" w:type="dxa"/>
            <w:vAlign w:val="bottom"/>
            <w:gridSpan w:val="2"/>
          </w:tcPr>
          <w:p>
            <w:pPr>
              <w:jc w:val="right"/>
              <w:ind w:right="12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53,191</w:t>
            </w:r>
          </w:p>
        </w:tc>
        <w:tc>
          <w:tcPr>
            <w:tcW w:w="3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(11,393)</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and other revenue</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412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51,757</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62,961</w:t>
            </w: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00"/>
              <w:spacing w:after="0" w:line="196" w:lineRule="exact"/>
              <w:rPr>
                <w:sz w:val="20"/>
                <w:szCs w:val="20"/>
                <w:color w:val="auto"/>
              </w:rPr>
            </w:pPr>
            <w:r>
              <w:rPr>
                <w:rFonts w:ascii="Arial" w:cs="Arial" w:eastAsia="Arial" w:hAnsi="Arial"/>
                <w:sz w:val="18"/>
                <w:szCs w:val="18"/>
                <w:color w:val="auto"/>
              </w:rPr>
              <w:t>(11,204)</w:t>
            </w:r>
          </w:p>
        </w:tc>
        <w:tc>
          <w:tcPr>
            <w:tcW w:w="12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32,786</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(9,912)</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service and other revenue</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4120" w:type="dxa"/>
            <w:vAlign w:val="bottom"/>
            <w:tcBorders>
              <w:bottom w:val="single" w:sz="8" w:color="CCEEFF"/>
            </w:tcBorders>
            <w:gridSpan w:val="2"/>
          </w:tcPr>
          <w:p>
            <w:pPr>
              <w:ind w:left="760"/>
              <w:spacing w:after="0" w:line="196" w:lineRule="exact"/>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30,592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41,317</w:t>
            </w:r>
          </w:p>
        </w:tc>
        <w:tc>
          <w:tcPr>
            <w:tcW w:w="3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00"/>
              <w:spacing w:after="0" w:line="196" w:lineRule="exact"/>
              <w:rPr>
                <w:sz w:val="20"/>
                <w:szCs w:val="20"/>
                <w:color w:val="auto"/>
              </w:rPr>
            </w:pPr>
            <w:r>
              <w:rPr>
                <w:rFonts w:ascii="Arial" w:cs="Arial" w:eastAsia="Arial" w:hAnsi="Arial"/>
                <w:sz w:val="18"/>
                <w:szCs w:val="18"/>
                <w:color w:val="auto"/>
              </w:rPr>
              <w:t>(10,725)</w:t>
            </w:r>
          </w:p>
        </w:tc>
        <w:tc>
          <w:tcPr>
            <w:tcW w:w="12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120" w:type="dxa"/>
            <w:vAlign w:val="bottom"/>
            <w:gridSpan w:val="2"/>
            <w:shd w:val="clear" w:color="auto" w:fill="CCEEFF"/>
          </w:tcPr>
          <w:p>
            <w:pPr>
              <w:ind w:left="120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21,165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21,644</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(479)</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2"/>
          </w:tcPr>
          <w:p>
            <w:pPr>
              <w:spacing w:after="0" w:line="196" w:lineRule="exact"/>
              <w:rPr>
                <w:sz w:val="20"/>
                <w:szCs w:val="20"/>
                <w:color w:val="auto"/>
              </w:rPr>
            </w:pPr>
            <w:r>
              <w:rPr>
                <w:rFonts w:ascii="Arial" w:cs="Arial" w:eastAsia="Arial" w:hAnsi="Arial"/>
                <w:sz w:val="18"/>
                <w:szCs w:val="18"/>
                <w:color w:val="auto"/>
              </w:rPr>
              <w:t>Operating Expense: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Sales, general and administrative</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58,915</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(4,069)</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412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Total operating expense</w:t>
            </w:r>
          </w:p>
        </w:tc>
        <w:tc>
          <w:tcPr>
            <w:tcW w:w="1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101,573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104,272</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(2,699)</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(80,408)</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(82,628)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gridSpan w:val="2"/>
          </w:tcPr>
          <w:p>
            <w:pPr>
              <w:ind w:left="440"/>
              <w:spacing w:after="0"/>
              <w:rPr>
                <w:sz w:val="20"/>
                <w:szCs w:val="20"/>
                <w:color w:val="auto"/>
              </w:rPr>
            </w:pPr>
            <w:r>
              <w:rPr>
                <w:rFonts w:ascii="Arial" w:cs="Arial" w:eastAsia="Arial" w:hAnsi="Arial"/>
                <w:sz w:val="18"/>
                <w:szCs w:val="18"/>
                <w:color w:val="auto"/>
                <w:w w:val="97"/>
              </w:rPr>
              <w:t>Gain from Continuation Advances from Illumina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(45,532)</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(84,043)</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revenue for the nine months ended September 30, 2020 was $51.8 million, compared to $63.0 million for the same period during 2019.</w:t>
      </w:r>
    </w:p>
    <w:p>
      <w:pPr>
        <w:spacing w:after="0" w:line="75" w:lineRule="exact"/>
        <w:rPr>
          <w:sz w:val="20"/>
          <w:szCs w:val="20"/>
          <w:color w:val="auto"/>
        </w:rPr>
      </w:pPr>
    </w:p>
    <w:p>
      <w:pPr>
        <w:ind w:right="40" w:firstLine="440"/>
        <w:spacing w:after="0" w:line="235" w:lineRule="auto"/>
        <w:rPr>
          <w:sz w:val="20"/>
          <w:szCs w:val="20"/>
          <w:color w:val="auto"/>
        </w:rPr>
      </w:pPr>
      <w:r>
        <w:rPr>
          <w:rFonts w:ascii="Arial" w:cs="Arial" w:eastAsia="Arial" w:hAnsi="Arial"/>
          <w:sz w:val="17"/>
          <w:szCs w:val="17"/>
          <w:color w:val="auto"/>
        </w:rPr>
        <w:t>Product revenue of $41.8 million for the nine months ended September 30, 2020 consisted of $20.7 million from sales of Sequel and Sequel II instruments and $21.1 million from sales of consumables, compared to total product revenue of $53.2 million for the same period during 2019, consisting of $29.9 million from sales of Sequel and Sequel II instruments and $23.3 million from sales of consumables. The decrease in instrument sales was primarily attributable to a lower number of instrument shipments and installations due to COVID-19 as discussed above. The decrease in consumable sales was primarily attributable to lower utilization of the installed base of instruments due to COVID-19 as discussed above. The negative impact of COVID-19 on our customers will likely continue to adversely impact our revenues during the fourth quarter of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60" w:firstLine="485"/>
        <w:spacing w:after="0" w:line="246" w:lineRule="auto"/>
        <w:rPr>
          <w:sz w:val="20"/>
          <w:szCs w:val="20"/>
          <w:color w:val="auto"/>
        </w:rPr>
      </w:pPr>
      <w:r>
        <w:rPr>
          <w:rFonts w:ascii="Arial" w:cs="Arial" w:eastAsia="Arial" w:hAnsi="Arial"/>
          <w:sz w:val="18"/>
          <w:szCs w:val="18"/>
          <w:color w:val="auto"/>
        </w:rPr>
        <w:t>Service and other revenue of $10.0 million and $9.8 million for the nine months ended September 30, 2020 and 2019, respectively, was primarily derived from product maintenance agreements sold on our installed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63" w:lineRule="exact"/>
        <w:rPr>
          <w:sz w:val="20"/>
          <w:szCs w:val="20"/>
          <w:color w:val="auto"/>
        </w:rPr>
      </w:pPr>
    </w:p>
    <w:p>
      <w:pPr>
        <w:jc w:val="both"/>
        <w:ind w:right="380" w:firstLine="440"/>
        <w:spacing w:after="0" w:line="276" w:lineRule="auto"/>
        <w:rPr>
          <w:sz w:val="20"/>
          <w:szCs w:val="20"/>
          <w:color w:val="auto"/>
        </w:rPr>
      </w:pPr>
      <w:r>
        <w:rPr>
          <w:rFonts w:ascii="Arial" w:cs="Arial" w:eastAsia="Arial" w:hAnsi="Arial"/>
          <w:sz w:val="16"/>
          <w:szCs w:val="16"/>
          <w:color w:val="auto"/>
        </w:rPr>
        <w:t>Gross profit for the nine months ended September 30, 2020 was $21.2 million, resulting in a gross margin of 41.9%, compared to gross profit of $21.6 million, resulting in a gross margin of 34.4% for the same period during 2019. Gross margin for the nine months ended September 30, 2019 was negatively impacted by product transition costs, including inventory reserves taken in connection with the transition from Sequel to Sequel II.</w:t>
      </w:r>
    </w:p>
    <w:p>
      <w:pPr>
        <w:spacing w:after="0" w:line="13" w:lineRule="exact"/>
        <w:rPr>
          <w:sz w:val="20"/>
          <w:szCs w:val="20"/>
          <w:color w:val="auto"/>
        </w:rPr>
      </w:pPr>
    </w:p>
    <w:p>
      <w:pPr>
        <w:ind w:right="100" w:firstLine="440"/>
        <w:spacing w:after="0" w:line="246" w:lineRule="auto"/>
        <w:rPr>
          <w:sz w:val="20"/>
          <w:szCs w:val="20"/>
          <w:color w:val="auto"/>
        </w:rPr>
      </w:pPr>
      <w:r>
        <w:rPr>
          <w:rFonts w:ascii="Arial" w:cs="Arial" w:eastAsia="Arial" w:hAnsi="Arial"/>
          <w:sz w:val="17"/>
          <w:szCs w:val="17"/>
          <w:color w:val="auto"/>
        </w:rPr>
        <w:t>Cost of product revenue was $22.9 million for the nine months ended September 30, 2020, compared to cost of product revenue of $32.8 million for the same period during 2019. Cost of product revenue decreased by $10.0 million for the nine months ended September 30, 2020 compared to the same period in 2019 primarily resulting from lower product shipments. In addition, during the nine months ended September 30, 2019, we incurred product transition costs including an inventory reserve taken in connection with the transition from Sequel to Sequel II.</w:t>
      </w:r>
    </w:p>
    <w:p>
      <w:pPr>
        <w:spacing w:after="0" w:line="36"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Cost of service and other revenue for the nine months ended September 30, 2020 was $7.7 million, compared to $8.5 million for the same period during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63" w:lineRule="exact"/>
        <w:rPr>
          <w:sz w:val="20"/>
          <w:szCs w:val="20"/>
          <w:color w:val="auto"/>
        </w:rPr>
      </w:pPr>
    </w:p>
    <w:p>
      <w:pPr>
        <w:ind w:right="60" w:firstLine="440"/>
        <w:spacing w:after="0" w:line="231" w:lineRule="auto"/>
        <w:rPr>
          <w:sz w:val="20"/>
          <w:szCs w:val="20"/>
          <w:color w:val="auto"/>
        </w:rPr>
      </w:pPr>
      <w:r>
        <w:rPr>
          <w:rFonts w:ascii="Arial" w:cs="Arial" w:eastAsia="Arial" w:hAnsi="Arial"/>
          <w:sz w:val="18"/>
          <w:szCs w:val="18"/>
          <w:color w:val="auto"/>
        </w:rPr>
        <w:t>During the nine months ended September 30, 2020, research and development expense increased by $1.4 million, or 3%, compared to the same period during 2019. The increase in research and development expense was primarily driven by higher chip development costs. Research and development expense included stock-based compensation expense of $5.3 million and $5.8 million during the nine months ended September 30,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General and Administrative Expense</w:t>
      </w:r>
    </w:p>
    <w:p>
      <w:pPr>
        <w:spacing w:after="0" w:line="63" w:lineRule="exact"/>
        <w:rPr>
          <w:sz w:val="20"/>
          <w:szCs w:val="20"/>
          <w:color w:val="auto"/>
        </w:rPr>
      </w:pPr>
    </w:p>
    <w:p>
      <w:pPr>
        <w:ind w:firstLine="440"/>
        <w:spacing w:after="0"/>
        <w:rPr>
          <w:sz w:val="20"/>
          <w:szCs w:val="20"/>
          <w:color w:val="auto"/>
        </w:rPr>
      </w:pPr>
      <w:r>
        <w:rPr>
          <w:rFonts w:ascii="Arial" w:cs="Arial" w:eastAsia="Arial" w:hAnsi="Arial"/>
          <w:sz w:val="17"/>
          <w:szCs w:val="17"/>
          <w:color w:val="auto"/>
        </w:rPr>
        <w:t>During the nine months ended September 30, 2020, sales, general and administrative expense decreased by $4.1 million, or 7%, compared to the same period during 2019. The decrease in sales, general and administrative expense was primarily attributable to the acquisition-related legal fees of $12.8 million incurred for the nine months ended September 30, 2019, partially offset by $6.0 million merger advisory fee incurred in the first quarter of 2020; an increase of $1.2 million in salary and bonus expenses for the nine months ended September 30, 2020, an increase of $1.2 million in litigation expenses for the nine months ended September 30, 2020. Sales, general and administrative expense included stock-based compensation expense of $5.2 million and $5.3 million during the nine months ended September 30, 2020 and 2019,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77" w:lineRule="exact"/>
        <w:rPr>
          <w:sz w:val="20"/>
          <w:szCs w:val="20"/>
          <w:color w:val="auto"/>
        </w:rPr>
      </w:pPr>
    </w:p>
    <w:p>
      <w:pPr>
        <w:ind w:right="700" w:firstLine="440"/>
        <w:spacing w:after="0" w:line="261" w:lineRule="auto"/>
        <w:rPr>
          <w:sz w:val="20"/>
          <w:szCs w:val="20"/>
          <w:color w:val="auto"/>
        </w:rPr>
      </w:pPr>
      <w:r>
        <w:rPr>
          <w:rFonts w:ascii="Arial" w:cs="Arial" w:eastAsia="Arial" w:hAnsi="Arial"/>
          <w:sz w:val="18"/>
          <w:szCs w:val="18"/>
          <w:color w:val="auto"/>
        </w:rPr>
        <w:t>Interest expense for the nine months ended September 30, 2020 decreased $1.7 million compared to the same period in 2019, as the Facility Agreement matured in February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63" w:lineRule="exact"/>
        <w:rPr>
          <w:sz w:val="20"/>
          <w:szCs w:val="20"/>
          <w:color w:val="auto"/>
        </w:rPr>
      </w:pPr>
    </w:p>
    <w:p>
      <w:pPr>
        <w:ind w:right="60" w:firstLine="570"/>
        <w:spacing w:after="0" w:line="239" w:lineRule="auto"/>
        <w:rPr>
          <w:sz w:val="20"/>
          <w:szCs w:val="20"/>
          <w:color w:val="auto"/>
        </w:rPr>
      </w:pPr>
      <w:r>
        <w:rPr>
          <w:rFonts w:ascii="Arial" w:cs="Arial" w:eastAsia="Arial" w:hAnsi="Arial"/>
          <w:sz w:val="17"/>
          <w:szCs w:val="17"/>
          <w:color w:val="auto"/>
        </w:rPr>
        <w:t>Cash, cash equivalents and investments at September 30, 2020 totaled $208.6 million, compared to $49.1 million at December 31, 2019. The increase was attributable to the proceeds from our public offering of common stock completed in August 2020, as well as the Reverse Termination Fee and Continuation Advances we received from Illumina, partially offset by cash used in operations and a $16.0 million repayment of debt in the first quarter of 2020. We believe that our existing cash, cash equivalents and investments will be sufficient to fund our projected operating requirements for at least the next 12 months from the date of filing of this Quarterly Report on Form 10-Q for the quarter ended September 30, 2020. However, the potential economic or other disruptions caused by the COVID-19 pandemic could have a material adverse effect on our business, results of operations and liquidity. We will continue to monitor our operating expenses and cash flows in response to the evolving market conditions.</w:t>
      </w:r>
    </w:p>
    <w:p>
      <w:pPr>
        <w:spacing w:after="0" w:line="41" w:lineRule="exact"/>
        <w:rPr>
          <w:sz w:val="20"/>
          <w:szCs w:val="20"/>
          <w:color w:val="auto"/>
        </w:rPr>
      </w:pPr>
    </w:p>
    <w:p>
      <w:pPr>
        <w:ind w:right="80" w:firstLine="615"/>
        <w:spacing w:after="0" w:line="231" w:lineRule="auto"/>
        <w:rPr>
          <w:sz w:val="20"/>
          <w:szCs w:val="20"/>
          <w:color w:val="auto"/>
        </w:rPr>
      </w:pPr>
      <w:r>
        <w:rPr>
          <w:rFonts w:ascii="Arial" w:cs="Arial" w:eastAsia="Arial" w:hAnsi="Arial"/>
          <w:sz w:val="18"/>
          <w:szCs w:val="18"/>
          <w:color w:val="auto"/>
        </w:rPr>
        <w:t>On January 2, 2020, we and Illumina mutually agreed to terminate the Merger Agreement. As part of the Termination Agreement, up to $52.0 million of the Continuation Advances that we received from Illumina are repayable without interest to Illumina if, within two years of March 31, 2020, we enter into, or consummate a Change of Control Transaction or raise at least $100 million in a single equity or debt financing (may have multiple closings), with the amount repayable dependent on the amount raised by us.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firstLine="570"/>
        <w:spacing w:after="0" w:line="242" w:lineRule="auto"/>
        <w:rPr>
          <w:sz w:val="20"/>
          <w:szCs w:val="20"/>
          <w:color w:val="auto"/>
        </w:rPr>
      </w:pPr>
      <w:r>
        <w:rPr>
          <w:rFonts w:ascii="Arial" w:cs="Arial" w:eastAsia="Arial" w:hAnsi="Arial"/>
          <w:sz w:val="17"/>
          <w:szCs w:val="17"/>
          <w:color w:val="auto"/>
        </w:rPr>
        <w:t>Factors that may affect our capital needs include, but are not limited to, whether we will have to repay the Continuation Advances;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and other factors.</w:t>
      </w:r>
    </w:p>
    <w:p>
      <w:pPr>
        <w:spacing w:after="0" w:line="40" w:lineRule="exact"/>
        <w:rPr>
          <w:sz w:val="20"/>
          <w:szCs w:val="20"/>
          <w:color w:val="auto"/>
        </w:rPr>
      </w:pPr>
    </w:p>
    <w:p>
      <w:pPr>
        <w:ind w:right="60" w:firstLine="570"/>
        <w:spacing w:after="0" w:line="237" w:lineRule="auto"/>
        <w:rPr>
          <w:sz w:val="20"/>
          <w:szCs w:val="20"/>
          <w:color w:val="auto"/>
        </w:rPr>
      </w:pPr>
      <w:r>
        <w:rPr>
          <w:rFonts w:ascii="Arial" w:cs="Arial" w:eastAsia="Arial" w:hAnsi="Arial"/>
          <w:sz w:val="17"/>
          <w:szCs w:val="17"/>
          <w:color w:val="auto"/>
        </w:rPr>
        <w:t>We expect to raise additional capital in the future. To the extent that we raise additional funds through the sale of equity or convertible debt, the issuance of such securities will result in dilution to our stockholders. There can be no assurance that such funds will be available on favorable terms, or at all, particularly in light of restrictions under the Termination Agreement. If adequate funds are not available, we may be required to obtain funds by entering into collaboration, licensing or debt agreements on unfavorable terms. If we are unable to raise funds on favorable terms, or at all, we may have to reduce our cash burn rate and may not be able to support our commercialization efforts, or to increase or maintain the level of our research and development activities. 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cease operations.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63" w:lineRule="exact"/>
        <w:rPr>
          <w:sz w:val="20"/>
          <w:szCs w:val="20"/>
          <w:color w:val="auto"/>
        </w:rPr>
      </w:pPr>
    </w:p>
    <w:p>
      <w:pPr>
        <w:ind w:right="120" w:firstLine="492"/>
        <w:spacing w:after="0" w:line="246" w:lineRule="auto"/>
        <w:rPr>
          <w:sz w:val="20"/>
          <w:szCs w:val="20"/>
          <w:color w:val="auto"/>
        </w:rPr>
      </w:pPr>
      <w:r>
        <w:rPr>
          <w:rFonts w:ascii="Arial" w:cs="Arial" w:eastAsia="Arial" w:hAnsi="Arial"/>
          <w:sz w:val="18"/>
          <w:szCs w:val="18"/>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16"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We had $33.8 million of cash provided from operating activities for the nine months ended September 30, 2020, compared to cash usage of $60.1 million from operating activities for the same period in 2019.</w:t>
      </w:r>
    </w:p>
    <w:p>
      <w:pPr>
        <w:spacing w:after="0" w:line="116" w:lineRule="exact"/>
        <w:rPr>
          <w:sz w:val="20"/>
          <w:szCs w:val="20"/>
          <w:color w:val="auto"/>
        </w:rPr>
      </w:pPr>
    </w:p>
    <w:p>
      <w:pPr>
        <w:ind w:right="80" w:firstLine="440"/>
        <w:spacing w:after="0" w:line="228" w:lineRule="auto"/>
        <w:rPr>
          <w:sz w:val="20"/>
          <w:szCs w:val="20"/>
          <w:color w:val="auto"/>
        </w:rPr>
      </w:pPr>
      <w:r>
        <w:rPr>
          <w:rFonts w:ascii="Arial" w:cs="Arial" w:eastAsia="Arial" w:hAnsi="Arial"/>
          <w:sz w:val="18"/>
          <w:szCs w:val="18"/>
          <w:color w:val="auto"/>
        </w:rPr>
        <w:t>Cash provided by operating activities for the nine months ended September 30, 2020 was due to the $98.0 million Reverse Termination Fee received from Illumina, non-cash items such as stock-based compensation of $12.3 million and depreciation of $4.8 million, partially offset by a net loss of $45.5 million and a gain from Continuation Advances from Illumina of $34.0 million, which is considered to be a financing activity. The change in net operating assets and liabilities was primarily attributed to a decrease of $3.4 million in accounts receivable, partially offset by an increase of $3.0 million in inventory.</w:t>
      </w:r>
    </w:p>
    <w:p>
      <w:pPr>
        <w:spacing w:after="0" w:line="124" w:lineRule="exact"/>
        <w:rPr>
          <w:sz w:val="20"/>
          <w:szCs w:val="20"/>
          <w:color w:val="auto"/>
        </w:rPr>
      </w:pPr>
    </w:p>
    <w:p>
      <w:pPr>
        <w:ind w:right="120" w:firstLine="440"/>
        <w:spacing w:after="0" w:line="231" w:lineRule="auto"/>
        <w:rPr>
          <w:sz w:val="20"/>
          <w:szCs w:val="20"/>
          <w:color w:val="auto"/>
        </w:rPr>
      </w:pPr>
      <w:r>
        <w:rPr>
          <w:rFonts w:ascii="Arial" w:cs="Arial" w:eastAsia="Arial" w:hAnsi="Arial"/>
          <w:sz w:val="18"/>
          <w:szCs w:val="18"/>
          <w:color w:val="auto"/>
        </w:rPr>
        <w:t>Cash used in operating activities for the nine months ended September 30, 2019 was due primarily to a net loss of $84.0 million, offset by non-cash items such as stock-based compensation of $12.5 million and depreciation of $5.5 million. The change in net operating assets and liabilities was primarily attributed to an increase of $1.4 million in accounts receivable, partially offset by an increase of $4.9 million in accrued expenses and a decrease of $2.3 million in inventory.</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44" w:lineRule="exact"/>
        <w:rPr>
          <w:sz w:val="20"/>
          <w:szCs w:val="20"/>
          <w:color w:val="auto"/>
        </w:rPr>
      </w:pPr>
    </w:p>
    <w:p>
      <w:pPr>
        <w:ind w:right="120" w:firstLine="440"/>
        <w:spacing w:after="0" w:line="235" w:lineRule="auto"/>
        <w:rPr>
          <w:sz w:val="20"/>
          <w:szCs w:val="20"/>
          <w:color w:val="auto"/>
        </w:rPr>
      </w:pPr>
      <w:r>
        <w:rPr>
          <w:rFonts w:ascii="Arial" w:cs="Arial" w:eastAsia="Arial" w:hAnsi="Arial"/>
          <w:sz w:val="18"/>
          <w:szCs w:val="18"/>
          <w:color w:val="auto"/>
        </w:rPr>
        <w:t>Our investing activities consist primarily of capital expenditures and investment purchases, sales and maturities. We used $120.8 million of cash for investing activities for the nine months ended September 30, 2020, compared to receiving cash of $65.5 million from investing activities for the same period in 2019.</w:t>
      </w:r>
    </w:p>
    <w:p>
      <w:pPr>
        <w:spacing w:after="0" w:line="121" w:lineRule="exact"/>
        <w:rPr>
          <w:sz w:val="20"/>
          <w:szCs w:val="20"/>
          <w:color w:val="auto"/>
        </w:rPr>
      </w:pPr>
    </w:p>
    <w:p>
      <w:pPr>
        <w:ind w:right="100" w:firstLine="440"/>
        <w:spacing w:after="0" w:line="246" w:lineRule="auto"/>
        <w:rPr>
          <w:sz w:val="20"/>
          <w:szCs w:val="20"/>
          <w:color w:val="auto"/>
        </w:rPr>
      </w:pPr>
      <w:r>
        <w:rPr>
          <w:rFonts w:ascii="Arial" w:cs="Arial" w:eastAsia="Arial" w:hAnsi="Arial"/>
          <w:sz w:val="18"/>
          <w:szCs w:val="18"/>
          <w:color w:val="auto"/>
        </w:rPr>
        <w:t>Cash used in investing activities for the nine months ended September 30, 2020 was due primarily to net purchases of investments of $119.9 million and purchases of property and equipment of $1.0 million.</w:t>
      </w:r>
    </w:p>
    <w:p>
      <w:pPr>
        <w:spacing w:after="0" w:line="35" w:lineRule="exact"/>
        <w:rPr>
          <w:sz w:val="20"/>
          <w:szCs w:val="20"/>
          <w:color w:val="auto"/>
        </w:rPr>
      </w:pPr>
    </w:p>
    <w:p>
      <w:pPr>
        <w:ind w:right="420" w:firstLine="440"/>
        <w:spacing w:after="0" w:line="246" w:lineRule="auto"/>
        <w:rPr>
          <w:sz w:val="20"/>
          <w:szCs w:val="20"/>
          <w:color w:val="auto"/>
        </w:rPr>
      </w:pPr>
      <w:r>
        <w:rPr>
          <w:rFonts w:ascii="Arial" w:cs="Arial" w:eastAsia="Arial" w:hAnsi="Arial"/>
          <w:sz w:val="18"/>
          <w:szCs w:val="18"/>
          <w:color w:val="auto"/>
        </w:rPr>
        <w:t>Cash provided in investing activities for the nine months ended September 30, 2019 was due primarily to net maturities of investments of $68.2 million.</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44" w:lineRule="exact"/>
        <w:rPr>
          <w:sz w:val="20"/>
          <w:szCs w:val="20"/>
          <w:color w:val="auto"/>
        </w:rPr>
      </w:pPr>
    </w:p>
    <w:p>
      <w:pPr>
        <w:jc w:val="center"/>
        <w:ind w:left="620" w:right="140"/>
        <w:spacing w:after="0" w:line="246" w:lineRule="auto"/>
        <w:rPr>
          <w:sz w:val="20"/>
          <w:szCs w:val="20"/>
          <w:color w:val="auto"/>
        </w:rPr>
      </w:pPr>
      <w:r>
        <w:rPr>
          <w:rFonts w:ascii="Arial" w:cs="Arial" w:eastAsia="Arial" w:hAnsi="Arial"/>
          <w:sz w:val="18"/>
          <w:szCs w:val="18"/>
          <w:color w:val="auto"/>
        </w:rPr>
        <w:t>Cash provided from financing activities was $126.0 million and $8.4 million for the nine months ended September 30, 2020 and 2019, respectively.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240" w:firstLine="440"/>
        <w:spacing w:after="0" w:line="246" w:lineRule="auto"/>
        <w:rPr>
          <w:sz w:val="20"/>
          <w:szCs w:val="20"/>
          <w:color w:val="auto"/>
        </w:rPr>
      </w:pPr>
      <w:r>
        <w:rPr>
          <w:rFonts w:ascii="Arial" w:cs="Arial" w:eastAsia="Arial" w:hAnsi="Arial"/>
          <w:sz w:val="17"/>
          <w:szCs w:val="17"/>
          <w:color w:val="auto"/>
        </w:rPr>
        <w:t>Cash provided by financing activities during the nine months ended September 30, 2020 stemmed from the net proceeds of $93.8 million from our August 2020 underwritten public equity offering after deducting underwriter commissions and paid offering expenses, $34.0 million of Continuation Advances from Illumina and proceeds of $14.2 million from the issuance of common stock through our equity compensation plans, partially offset by $16.0 million we repaid for the remaining outstanding principal to Deerfield upon the maturity of the Facility Agreement.</w:t>
      </w:r>
    </w:p>
    <w:p>
      <w:pPr>
        <w:spacing w:after="0" w:line="117" w:lineRule="exact"/>
        <w:rPr>
          <w:sz w:val="20"/>
          <w:szCs w:val="20"/>
          <w:color w:val="auto"/>
        </w:rPr>
      </w:pPr>
    </w:p>
    <w:p>
      <w:pPr>
        <w:ind w:right="80" w:firstLine="440"/>
        <w:spacing w:after="0" w:line="246" w:lineRule="auto"/>
        <w:rPr>
          <w:sz w:val="20"/>
          <w:szCs w:val="20"/>
          <w:color w:val="auto"/>
        </w:rPr>
      </w:pPr>
      <w:r>
        <w:rPr>
          <w:rFonts w:ascii="Arial" w:cs="Arial" w:eastAsia="Arial" w:hAnsi="Arial"/>
          <w:sz w:val="18"/>
          <w:szCs w:val="18"/>
          <w:color w:val="auto"/>
        </w:rPr>
        <w:t>Cash provided by financing activities during the nine months ended September 30, 2019 was due to $8.4 million from the issuance of common stock through our equity compensation plans.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Resources</w:t>
      </w:r>
    </w:p>
    <w:p>
      <w:pPr>
        <w:spacing w:after="0" w:line="63" w:lineRule="exact"/>
        <w:rPr>
          <w:sz w:val="20"/>
          <w:szCs w:val="20"/>
          <w:color w:val="auto"/>
        </w:rPr>
      </w:pPr>
    </w:p>
    <w:p>
      <w:pPr>
        <w:ind w:right="120" w:firstLine="440"/>
        <w:spacing w:after="0" w:line="276" w:lineRule="auto"/>
        <w:rPr>
          <w:sz w:val="20"/>
          <w:szCs w:val="20"/>
          <w:color w:val="auto"/>
        </w:rPr>
      </w:pPr>
      <w:r>
        <w:rPr>
          <w:rFonts w:ascii="Arial" w:cs="Arial" w:eastAsia="Arial" w:hAnsi="Arial"/>
          <w:sz w:val="16"/>
          <w:szCs w:val="16"/>
          <w:color w:val="auto"/>
        </w:rPr>
        <w:t>In June 2020, we filed a shelf registration statement on Form S-3 with the SEC pursuant to which we may, from time to time, sell up to an aggregate of $250.0 million of our common stock, preferred stock, depository shares, warrants, units or debt securities. On July 14, 2020, the registration statement was declared effective by the SEC, which allows us to access the capital markets for the three-year period following this effective date.</w:t>
      </w:r>
    </w:p>
    <w:p>
      <w:pPr>
        <w:spacing w:after="0" w:line="13" w:lineRule="exact"/>
        <w:rPr>
          <w:sz w:val="20"/>
          <w:szCs w:val="20"/>
          <w:color w:val="auto"/>
        </w:rPr>
      </w:pPr>
    </w:p>
    <w:p>
      <w:pPr>
        <w:ind w:right="20" w:firstLine="440"/>
        <w:spacing w:after="0" w:line="256" w:lineRule="auto"/>
        <w:rPr>
          <w:sz w:val="20"/>
          <w:szCs w:val="20"/>
          <w:color w:val="auto"/>
        </w:rPr>
      </w:pPr>
      <w:r>
        <w:rPr>
          <w:rFonts w:ascii="Arial" w:cs="Arial" w:eastAsia="Arial" w:hAnsi="Arial"/>
          <w:sz w:val="16"/>
          <w:szCs w:val="16"/>
          <w:color w:val="auto"/>
        </w:rPr>
        <w:t>In August 2020 we entered into an underwriting agreement, relating to the public offering of 19,430,000 shares of our common stock, $0.001 par value per share, at a price to the public of $4.47 per share. Under the terms of the underwriting agreement, we also granted the underwriters a 30-day option to purchase up to an additional 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 $0.2 million of which was unpaid as of September 30, 2020. As a result, $150.1 million remains available under the current shelf registration.</w:t>
      </w:r>
    </w:p>
    <w:p>
      <w:pPr>
        <w:spacing w:after="0" w:line="30"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However, the Termination Agreement currently limits our ability to issue additional securities or incur indebtedness as up to the $52.0 million of Continuation Advances paid to us are repayable without interest to Illumina if, within two years of March 31, 2020, we enter into a Change of Control Transaction or raise at least $100 million in a single equity or debt financing (that may have multiple closings), with the amount repayable dependent on the amount raised by us.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63" w:lineRule="exact"/>
        <w:rPr>
          <w:sz w:val="20"/>
          <w:szCs w:val="20"/>
          <w:color w:val="auto"/>
        </w:rPr>
      </w:pPr>
    </w:p>
    <w:p>
      <w:pPr>
        <w:ind w:right="80" w:firstLine="440"/>
        <w:spacing w:after="0" w:line="23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right="100" w:firstLine="440"/>
        <w:spacing w:after="0" w:line="225" w:lineRule="auto"/>
        <w:rPr>
          <w:sz w:val="20"/>
          <w:szCs w:val="20"/>
          <w:color w:val="auto"/>
        </w:rPr>
      </w:pPr>
      <w:r>
        <w:rPr>
          <w:rFonts w:ascii="Arial" w:cs="Arial" w:eastAsia="Arial" w:hAnsi="Arial"/>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6. Commitments and Contingencies” in Part I, Item 1 of this Form 10-Q, any associated expenses incurred are included within the related accrued litigation expense amounts. No additional liability associated with such indemnification agreements has been recorded as of September 30, 2020.</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60" w:firstLine="440"/>
        <w:spacing w:after="0" w:line="228" w:lineRule="auto"/>
        <w:rPr>
          <w:sz w:val="20"/>
          <w:szCs w:val="20"/>
          <w:color w:val="auto"/>
        </w:rPr>
      </w:pPr>
      <w:r>
        <w:rPr>
          <w:rFonts w:ascii="Arial" w:cs="Arial" w:eastAsia="Arial" w:hAnsi="Arial"/>
          <w:sz w:val="18"/>
          <w:szCs w:val="18"/>
          <w:color w:val="auto"/>
        </w:rPr>
        <w:t>Except for the broad effects of COVID-19 and its negative impact on the global economy and financial markets, there have been no material changes in market risk from the information provided in our Annual Report on Form 10-K for the year ended 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7" w:lineRule="exact"/>
        <w:rPr>
          <w:sz w:val="20"/>
          <w:szCs w:val="20"/>
          <w:color w:val="auto"/>
        </w:rPr>
      </w:pPr>
    </w:p>
    <w:p>
      <w:pPr>
        <w:ind w:right="60" w:firstLine="440"/>
        <w:spacing w:after="0" w:line="23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41" w:lineRule="exact"/>
        <w:rPr>
          <w:sz w:val="20"/>
          <w:szCs w:val="20"/>
          <w:color w:val="auto"/>
        </w:rPr>
      </w:pPr>
    </w:p>
    <w:p>
      <w:pPr>
        <w:ind w:right="60" w:firstLine="440"/>
        <w:spacing w:after="0" w:line="23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2020 that have materially affected, or are reasonably likely to materially affect, our internal control over financial reporting.</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Note 6. Commitments and Contingencies</w:t>
      </w:r>
      <w:r>
        <w:rPr>
          <w:rFonts w:ascii="Arial" w:cs="Arial" w:eastAsia="Arial" w:hAnsi="Arial"/>
          <w:sz w:val="18"/>
          <w:szCs w:val="18"/>
          <w:color w:val="auto"/>
        </w:rPr>
        <w:t xml:space="preserve"> of Item 1. of Financial Statements under Part I – Financial Information.</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6" w:lineRule="exact"/>
        <w:rPr>
          <w:sz w:val="20"/>
          <w:szCs w:val="20"/>
          <w:color w:val="auto"/>
        </w:rPr>
      </w:pPr>
    </w:p>
    <w:p>
      <w:pPr>
        <w:ind w:right="120" w:firstLine="648"/>
        <w:spacing w:after="0"/>
        <w:rPr>
          <w:sz w:val="20"/>
          <w:szCs w:val="20"/>
          <w:color w:val="auto"/>
        </w:rPr>
      </w:pPr>
      <w:r>
        <w:rPr>
          <w:rFonts w:ascii="Arial" w:cs="Arial" w:eastAsia="Arial" w:hAnsi="Arial"/>
          <w:sz w:val="18"/>
          <w:szCs w:val="18"/>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 This situation is changing rapidly and additional impacts may arise that we are not aware of currently.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health epidemics including the recent coronavirus outbreak.</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Our business could be adversely impacted by the effects of COVID-19 or other epidemics. As a result of COVID-19, our first nine months of 2020 financial results were impacted negatively as our customers in multiple regions around the world suspended their normal operations in efforts to curb the spread of the COVID-19 pandemic. However, a significant number of our customer sites that had shut down due to COVID-19 have re-opened. In addition, a significant number of customers have delayed purchases of capital due to the negative impact of the pandemic on their businesses. This dynamic continues to negatively impact the recognition of revenue related to the sale of our Sequel and Sequel II/IIe instruments. The negative impacts of COVID-19 on our customers will likely continue to adversely impact our revenues during the fourth quarter of 2020. The inability to receive or accept shipment of orders for our products on a timely basis, or at all, the delay or possible cancellation of orders for our products, and the reduced utilization of our products has negatively affected and may negatively affect in the future our operations and revenues. In response to local stay-at-home orders and in alignment with CDC recommendations, we have 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as much as possible. We are monitoring this rapidly evolving situation.</w:t>
      </w:r>
    </w:p>
    <w:p>
      <w:pPr>
        <w:spacing w:after="0" w:line="170"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Our manufacturing partners and suppliers could also be disrupted by conditions related to COVID-19 or other epidemics,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At this point in time, there is significant uncertainty relating to the potential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w:t>
      </w:r>
    </w:p>
    <w:p>
      <w:pPr>
        <w:spacing w:after="0" w:line="181"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8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i w:val="1"/>
          <w:iCs w:val="1"/>
          <w:color w:val="auto"/>
        </w:rPr>
        <w:t>We have limited commercial sales to date and the commercialization and sales of our current or future products may be unsuccessful or less successful than anticipated.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648"/>
        <w:spacing w:after="0" w:line="273" w:lineRule="auto"/>
        <w:rPr>
          <w:sz w:val="20"/>
          <w:szCs w:val="20"/>
          <w:color w:val="auto"/>
        </w:rPr>
      </w:pPr>
      <w:r>
        <w:rPr>
          <w:rFonts w:ascii="Arial" w:cs="Arial" w:eastAsia="Arial" w:hAnsi="Arial"/>
          <w:sz w:val="16"/>
          <w:szCs w:val="16"/>
          <w:color w:val="auto"/>
        </w:rPr>
        <w:t>Our first commercial product launched in 2011 and we have had limited sales to date. As such, we have limited historical financial data upon which to base our projected revenue and planned operating expenses or upon which to evaluate our company and our commercial prospects. Furthermore,</w:t>
      </w:r>
    </w:p>
    <w:p>
      <w:pPr>
        <w:spacing w:after="0" w:line="1"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in September 2015, we launched the PacBio Sequel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Based on our limited experience in developing and marketing our existing products and launching new products, we may not be able to effectively:</w:t>
      </w:r>
    </w:p>
    <w:p>
      <w:pPr>
        <w:spacing w:after="0" w:line="67" w:lineRule="exact"/>
        <w:rPr>
          <w:sz w:val="20"/>
          <w:szCs w:val="20"/>
          <w:color w:val="auto"/>
        </w:rPr>
      </w:pPr>
    </w:p>
    <w:p>
      <w:pPr>
        <w:ind w:left="1100" w:right="180"/>
        <w:spacing w:after="0" w:line="246" w:lineRule="auto"/>
        <w:rPr>
          <w:sz w:val="20"/>
          <w:szCs w:val="20"/>
          <w:color w:val="auto"/>
        </w:rPr>
      </w:pPr>
      <w:r>
        <w:rPr>
          <w:rFonts w:ascii="Arial" w:cs="Arial" w:eastAsia="Arial" w:hAnsi="Arial"/>
          <w:sz w:val="18"/>
          <w:szCs w:val="18"/>
          <w:color w:val="auto"/>
        </w:rPr>
        <w:t>manage the timeliness of our new product introductions and the rate at which sales of our new products may cannibalize sales of our older products;</w:t>
      </w:r>
    </w:p>
    <w:p>
      <w:pPr>
        <w:spacing w:after="0" w:line="62" w:lineRule="exact"/>
        <w:rPr>
          <w:sz w:val="20"/>
          <w:szCs w:val="20"/>
          <w:color w:val="auto"/>
        </w:rPr>
      </w:pPr>
    </w:p>
    <w:p>
      <w:pPr>
        <w:ind w:left="1100" w:right="3920"/>
        <w:spacing w:after="0" w:line="344" w:lineRule="auto"/>
        <w:rPr>
          <w:sz w:val="20"/>
          <w:szCs w:val="20"/>
          <w:color w:val="auto"/>
        </w:rPr>
      </w:pPr>
      <w:r>
        <w:rPr>
          <w:rFonts w:ascii="Arial" w:cs="Arial" w:eastAsia="Arial" w:hAnsi="Arial"/>
          <w:sz w:val="18"/>
          <w:szCs w:val="18"/>
          <w:color w:val="auto"/>
        </w:rPr>
        <w:t>drive adoption of our current and future products, including the Sequel II/IIe Systems; attract and retain customers for our products;</w:t>
      </w:r>
    </w:p>
    <w:p>
      <w:pPr>
        <w:spacing w:after="0" w:line="1" w:lineRule="exact"/>
        <w:rPr>
          <w:sz w:val="20"/>
          <w:szCs w:val="20"/>
          <w:color w:val="auto"/>
        </w:rPr>
      </w:pPr>
    </w:p>
    <w:p>
      <w:pPr>
        <w:ind w:left="1100" w:right="4280"/>
        <w:spacing w:after="0" w:line="387" w:lineRule="auto"/>
        <w:rPr>
          <w:sz w:val="20"/>
          <w:szCs w:val="20"/>
          <w:color w:val="auto"/>
        </w:rPr>
      </w:pPr>
      <w:r>
        <w:rPr>
          <w:rFonts w:ascii="Arial" w:cs="Arial" w:eastAsia="Arial" w:hAnsi="Arial"/>
          <w:sz w:val="16"/>
          <w:szCs w:val="16"/>
          <w:color w:val="auto"/>
        </w:rPr>
        <w:t>provide appropriate levels of customer training and support for our products; implement an effective marketing strategy to promote awareness of our products;</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 and implement an effective sales and distribution strategy for our current and future products;</w:t>
      </w:r>
    </w:p>
    <w:p>
      <w:pPr>
        <w:spacing w:after="0" w:line="90" w:lineRule="exact"/>
        <w:rPr>
          <w:sz w:val="20"/>
          <w:szCs w:val="20"/>
          <w:color w:val="auto"/>
        </w:rPr>
      </w:pPr>
    </w:p>
    <w:p>
      <w:pPr>
        <w:ind w:left="1100" w:right="140"/>
        <w:spacing w:after="0" w:line="246" w:lineRule="auto"/>
        <w:rPr>
          <w:sz w:val="20"/>
          <w:szCs w:val="20"/>
          <w:color w:val="auto"/>
        </w:rPr>
      </w:pPr>
      <w:r>
        <w:rPr>
          <w:rFonts w:ascii="Arial" w:cs="Arial" w:eastAsia="Arial" w:hAnsi="Arial"/>
          <w:sz w:val="18"/>
          <w:szCs w:val="18"/>
          <w:color w:val="auto"/>
        </w:rPr>
        <w:t>develop, manufacture and commercialize new products or achieve an acceptable return on our manufacturing or research and development efforts and expenses;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comply with regulatory requirements applicable to our products;</w:t>
      </w:r>
    </w:p>
    <w:p>
      <w:pPr>
        <w:spacing w:after="0" w:line="9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anticipate and adapt to changes in our market;</w:t>
      </w:r>
    </w:p>
    <w:p>
      <w:pPr>
        <w:spacing w:after="0" w:line="90" w:lineRule="exact"/>
        <w:rPr>
          <w:sz w:val="20"/>
          <w:szCs w:val="20"/>
          <w:color w:val="auto"/>
        </w:rPr>
      </w:pPr>
    </w:p>
    <w:p>
      <w:pPr>
        <w:ind w:left="1100" w:right="400"/>
        <w:spacing w:after="0" w:line="246" w:lineRule="auto"/>
        <w:rPr>
          <w:sz w:val="20"/>
          <w:szCs w:val="20"/>
          <w:color w:val="auto"/>
        </w:rPr>
      </w:pPr>
      <w:r>
        <w:rPr>
          <w:rFonts w:ascii="Arial" w:cs="Arial" w:eastAsia="Arial" w:hAnsi="Arial"/>
          <w:sz w:val="18"/>
          <w:szCs w:val="18"/>
          <w:color w:val="auto"/>
        </w:rPr>
        <w:t>accommodate customer expectations and demands with respect to our products, increase product adoption by our existing customers or develop new customer relationships;</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grow our share by marketing and selling our products for new and additional applications;</w:t>
      </w:r>
    </w:p>
    <w:p>
      <w:pPr>
        <w:spacing w:after="0" w:line="90" w:lineRule="exact"/>
        <w:rPr>
          <w:sz w:val="20"/>
          <w:szCs w:val="20"/>
          <w:color w:val="auto"/>
        </w:rPr>
      </w:pPr>
    </w:p>
    <w:p>
      <w:pPr>
        <w:ind w:left="1100" w:right="160"/>
        <w:spacing w:after="0" w:line="246" w:lineRule="auto"/>
        <w:rPr>
          <w:sz w:val="20"/>
          <w:szCs w:val="20"/>
          <w:color w:val="auto"/>
        </w:rPr>
      </w:pPr>
      <w:r>
        <w:rPr>
          <w:rFonts w:ascii="Arial" w:cs="Arial" w:eastAsia="Arial" w:hAnsi="Arial"/>
          <w:sz w:val="18"/>
          <w:szCs w:val="18"/>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62" w:lineRule="exact"/>
        <w:rPr>
          <w:sz w:val="20"/>
          <w:szCs w:val="20"/>
          <w:color w:val="auto"/>
        </w:rPr>
      </w:pPr>
    </w:p>
    <w:p>
      <w:pPr>
        <w:ind w:left="1100" w:right="1400"/>
        <w:spacing w:after="0" w:line="344" w:lineRule="auto"/>
        <w:rPr>
          <w:sz w:val="20"/>
          <w:szCs w:val="20"/>
          <w:color w:val="auto"/>
        </w:rPr>
      </w:pPr>
      <w:r>
        <w:rPr>
          <w:rFonts w:ascii="Arial" w:cs="Arial" w:eastAsia="Arial" w:hAnsi="Arial"/>
          <w:sz w:val="18"/>
          <w:szCs w:val="18"/>
          <w:color w:val="auto"/>
        </w:rPr>
        <w:t>adapt or scale our manufacturing activities to meet performance specifications and potential demand at a reasonable cost; avoid infringement and misappropriation of third-party intellectual property;</w:t>
      </w:r>
    </w:p>
    <w:p>
      <w:pPr>
        <w:spacing w:after="0" w:line="1" w:lineRule="exact"/>
        <w:rPr>
          <w:sz w:val="20"/>
          <w:szCs w:val="20"/>
          <w:color w:val="auto"/>
        </w:rPr>
      </w:pPr>
    </w:p>
    <w:p>
      <w:pPr>
        <w:ind w:left="1100" w:right="1960"/>
        <w:spacing w:after="0" w:line="344" w:lineRule="auto"/>
        <w:rPr>
          <w:sz w:val="20"/>
          <w:szCs w:val="20"/>
          <w:color w:val="auto"/>
        </w:rPr>
      </w:pPr>
      <w:r>
        <w:rPr>
          <w:rFonts w:ascii="Arial" w:cs="Arial" w:eastAsia="Arial" w:hAnsi="Arial"/>
          <w:sz w:val="18"/>
          <w:szCs w:val="18"/>
          <w:color w:val="auto"/>
        </w:rPr>
        <w:t>obtain and maintain any necessary licenses to third-party intellectual property on commercially reasonable terms; obtain valid and enforceable patents that give us a competitive advantage or enforce existing patents; protect our proprietary technology; and</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attract, retain and motivate qualified personnel.</w:t>
      </w:r>
    </w:p>
    <w:p>
      <w:pPr>
        <w:spacing w:after="0" w:line="198"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termination of our Merger Agreement with Illumina and the impact of the COVID-19. In addition, a high percentage of our expenses is and will continue to be fixed. Accordingly, if we do not generate revenue as and when anticipated, our losses may be greater than expected and our operating results will suffer.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233"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Except for the quarter ended March 31, 2020 and the quarter ended September 30, 2015 (as a result of a one-time gain on lease amendments), we have incurred net losses since inception and we cannot be certain if or when we will produce sufficient revenue from our operations to support our costs. While we achieved profitability for the quarter ended March 31, 2020, this result was largely due to income recognition of the Continuation Advances. Even if profitability is achieved in the future, we may not be able to sustain profitability on a consistent basis. Excluding the recognition in October 2020 of gain relating to the Reverse Termination Fee, we expect to continue to incur substantial losses and negative cash flow from operations for the foreseeable future.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make it more difficult for us to satisfy our obligations;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our vulnerability to general adverse economic and industry conditions;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increase the volatility of the price of our common stock;</w:t>
      </w: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 our flexibility to react to changes in our business and the industry in which we operate;</w:t>
      </w:r>
    </w:p>
    <w:p>
      <w:pPr>
        <w:spacing w:after="0" w:line="63" w:lineRule="exact"/>
        <w:rPr>
          <w:sz w:val="20"/>
          <w:szCs w:val="20"/>
          <w:color w:val="auto"/>
        </w:rPr>
      </w:pPr>
    </w:p>
    <w:p>
      <w:pPr>
        <w:ind w:left="1100" w:right="2040"/>
        <w:spacing w:after="0" w:line="340" w:lineRule="auto"/>
        <w:rPr>
          <w:sz w:val="20"/>
          <w:szCs w:val="20"/>
          <w:color w:val="auto"/>
        </w:rPr>
      </w:pPr>
      <w:r>
        <w:rPr>
          <w:rFonts w:ascii="Arial" w:cs="Arial" w:eastAsia="Arial" w:hAnsi="Arial"/>
          <w:sz w:val="18"/>
          <w:szCs w:val="18"/>
          <w:color w:val="auto"/>
        </w:rPr>
        <w:t>place us at a disadvantage to other companies that offer nucleic acid sequencing equipment or consumables; and limit our ability to borrow additional funds.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cash flow positive and may not have sufficient cash to fund our current and planned operations.</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 System. Our existing resources may not allow us to conduct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65" w:lineRule="exact"/>
        <w:rPr>
          <w:sz w:val="20"/>
          <w:szCs w:val="20"/>
          <w:color w:val="auto"/>
        </w:rPr>
      </w:pPr>
    </w:p>
    <w:p>
      <w:pPr>
        <w:ind w:right="20" w:firstLine="648"/>
        <w:spacing w:after="0" w:line="256" w:lineRule="auto"/>
        <w:rPr>
          <w:sz w:val="20"/>
          <w:szCs w:val="20"/>
          <w:color w:val="auto"/>
        </w:rPr>
      </w:pPr>
      <w:r>
        <w:rPr>
          <w:rFonts w:ascii="Arial" w:cs="Arial" w:eastAsia="Arial" w:hAnsi="Arial"/>
          <w:sz w:val="16"/>
          <w:szCs w:val="16"/>
          <w:color w:val="auto"/>
        </w:rPr>
        <w:t>Additional funds may not be available on terms acceptable to us or at all, particularly in light of restrictions under the Termination Agreement. We have incurred and may further incur additional debt. Debt holders have rights senior to common stockholders to make claims on our assets. We may not be able to issue equity securities due to unacceptable terms and conditions to us in the capital markets. To the extent that we raise additional funds through the sale of our common stock, continued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38" w:lineRule="exact"/>
        <w:rPr>
          <w:sz w:val="20"/>
          <w:szCs w:val="20"/>
          <w:color w:val="auto"/>
        </w:rPr>
      </w:pPr>
    </w:p>
    <w:p>
      <w:pPr>
        <w:ind w:right="160" w:firstLine="609"/>
        <w:spacing w:after="0"/>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7"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b w:val="1"/>
          <w:bCs w:val="1"/>
          <w:i w:val="1"/>
          <w:iCs w:val="1"/>
          <w:color w:val="auto"/>
        </w:rPr>
        <w:t>If we are unable to successfully develop and timely manufacture our current and future products, including with respect to the Sequel System, the SMRT Cell 8M and Sequel II/IIe Systems and related products, our business may be adversely affected.</w:t>
      </w:r>
    </w:p>
    <w:p>
      <w:pPr>
        <w:spacing w:after="0" w:line="148"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II/IIe Systems,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II/IIe Systems. Our production of the SMRT Cells for the Sequel System has been and may in the future be below desired levels, and we have experienced and may experience in the future manufacturing delays, product or quality defects, SMRT Cell variability, and other issues. For example, the recent COVID–19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our ability to sell our products or result in other material adverse effects on our business, financial condition and results of operations.</w:t>
      </w:r>
    </w:p>
    <w:p>
      <w:pPr>
        <w:spacing w:after="0" w:line="221"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financial condition and results of operations.</w:t>
      </w:r>
    </w:p>
    <w:p>
      <w:pPr>
        <w:spacing w:after="0" w:line="170" w:lineRule="exact"/>
        <w:rPr>
          <w:sz w:val="20"/>
          <w:szCs w:val="20"/>
          <w:color w:val="auto"/>
        </w:rPr>
      </w:pPr>
    </w:p>
    <w:p>
      <w:pPr>
        <w:ind w:right="140"/>
        <w:spacing w:after="0" w:line="343"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01"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with respect to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Furthermore, we need to continue to expand our internal capabilities or seek new partnerships or collaborations, or both, in order to successfully market, sell and commercialize our products in the markets we seek to reach.</w:t>
      </w:r>
    </w:p>
    <w:p>
      <w:pPr>
        <w:spacing w:after="0" w:line="17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b w:val="1"/>
          <w:bCs w:val="1"/>
          <w:i w:val="1"/>
          <w:iCs w:val="1"/>
          <w:color w:val="auto"/>
        </w:rPr>
        <w:t xml:space="preserve">We must successfully manage new product introductions and transitions, including with respect to the SMRT Cell 8M and </w:t>
      </w:r>
      <w:r>
        <w:rPr>
          <w:rFonts w:ascii="Arial" w:cs="Arial" w:eastAsia="Arial" w:hAnsi="Arial"/>
          <w:sz w:val="17"/>
          <w:szCs w:val="17"/>
          <w:i w:val="1"/>
          <w:iCs w:val="1"/>
          <w:color w:val="auto"/>
        </w:rPr>
        <w:t>Sequel II/IIe Systems</w:t>
      </w:r>
      <w:r>
        <w:rPr>
          <w:rFonts w:ascii="Arial" w:cs="Arial" w:eastAsia="Arial" w:hAnsi="Arial"/>
          <w:sz w:val="17"/>
          <w:szCs w:val="17"/>
          <w:b w:val="1"/>
          <w:bCs w:val="1"/>
          <w:i w:val="1"/>
          <w:iCs w:val="1"/>
          <w:color w:val="auto"/>
        </w:rPr>
        <w:t>, we may incur significant costs during these transitions, and they may not result in the benefits we anticipate.</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and also any future products that may be developed for clinical uses, it could have a material adverse effect on our business, financial condition and results of operations. In addition, the introduction of future products, including with respect to the SMRT Cell 8M and Sequel II/IIe Systems,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 transitions, including costs of write-downs of our products, as current or future customers’ transition to new products. If we do not successfully manage these product transitions, including with respect to the SMRT Cell 8M and Sequel II/IIe System, our business, reputation and financial condition may be materially and adversely affected.</w:t>
      </w:r>
    </w:p>
    <w:p>
      <w:pPr>
        <w:spacing w:after="0" w:line="168" w:lineRule="exact"/>
        <w:rPr>
          <w:sz w:val="20"/>
          <w:szCs w:val="20"/>
          <w:color w:val="auto"/>
        </w:rPr>
      </w:pPr>
    </w:p>
    <w:p>
      <w:pPr>
        <w:jc w:val="center"/>
        <w:ind w:right="440"/>
        <w:spacing w:after="0" w:line="246" w:lineRule="auto"/>
        <w:rPr>
          <w:sz w:val="20"/>
          <w:szCs w:val="20"/>
          <w:color w:val="auto"/>
        </w:rPr>
      </w:pPr>
      <w:r>
        <w:rPr>
          <w:rFonts w:ascii="Arial" w:cs="Arial" w:eastAsia="Arial" w:hAnsi="Arial"/>
          <w:sz w:val="18"/>
          <w:szCs w:val="18"/>
          <w:b w:val="1"/>
          <w:bCs w:val="1"/>
          <w:i w:val="1"/>
          <w:iCs w:val="1"/>
          <w:color w:val="auto"/>
        </w:rPr>
        <w:t xml:space="preserve">Our terminated merger with Illumina has affected and may in the future, materially and adversely affect our results of operations and stock price. </w:t>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firstLine="648"/>
        <w:spacing w:after="0" w:line="307" w:lineRule="auto"/>
        <w:rPr>
          <w:sz w:val="20"/>
          <w:szCs w:val="20"/>
          <w:color w:val="auto"/>
        </w:rPr>
      </w:pPr>
      <w:r>
        <w:rPr>
          <w:rFonts w:ascii="Arial" w:cs="Arial" w:eastAsia="Arial" w:hAnsi="Arial"/>
          <w:sz w:val="16"/>
          <w:szCs w:val="16"/>
          <w:color w:val="auto"/>
        </w:rPr>
        <w:t>On January 2, 2020, we, Illumina and Merger Subsidiary terminated the Merger Agreement. Although difficult to quantify, we believe that the terminated merger with Illumina has affected and may, in the future, materially and adversely affect our results of operations, due to the following:</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in the Merger Agreement that limited our ability to take certain actions while the Merger Agreement was in effect;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diverted management attention;</w:t>
      </w:r>
    </w:p>
    <w:p>
      <w:pPr>
        <w:spacing w:after="0" w:line="198"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disruption of our business, including our relationships with our customers, employees, partners and other parties, due to uncertainty over when or if the merger would be completed;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 to repay the Continuation Advances in certain circumstances; and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uncertainties that have impaired our ability to retain, recruit and motivate key personnel.</w:t>
      </w:r>
    </w:p>
    <w:p>
      <w:pPr>
        <w:spacing w:after="0" w:line="19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occurrence, continuation or exacerbation of any of these events individually or in combination could materially and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repay the Continuation Advances to Illumina.</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Pursuant to the Termination Agreement, up to the $52.0 million of Continuation Advances actually paid to us are repayable without interest to Illumina if, within two years of March 31, 2020, we enter into, or consummate a Change of Control Transaction or raises at least $100 million in equity or debt financing in a single transaction (with the amount repayable dependent on the amount raised by us). If we are required to repay the Continuation Advances,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significant changes to our leadership team and the resulting management transitions might harm our future operating results.</w:t>
      </w:r>
    </w:p>
    <w:p>
      <w:pPr>
        <w:spacing w:after="0" w:line="75" w:lineRule="exact"/>
        <w:rPr>
          <w:sz w:val="20"/>
          <w:szCs w:val="20"/>
          <w:color w:val="auto"/>
        </w:rPr>
      </w:pPr>
    </w:p>
    <w:p>
      <w:pPr>
        <w:ind w:right="140" w:firstLine="440"/>
        <w:spacing w:after="0" w:line="228" w:lineRule="auto"/>
        <w:rPr>
          <w:sz w:val="20"/>
          <w:szCs w:val="20"/>
          <w:color w:val="auto"/>
        </w:rPr>
      </w:pPr>
      <w:r>
        <w:rPr>
          <w:rFonts w:ascii="Arial" w:cs="Arial" w:eastAsia="Arial" w:hAnsi="Arial"/>
          <w:sz w:val="18"/>
          <w:szCs w:val="18"/>
          <w:color w:val="auto"/>
        </w:rPr>
        <w:t>We have recently experienced significant changes to our leadership team. Our President and Chief Executive Officer Christian O. Henry was appointed effective September 14, 2020, succeeding Dr. Michael Hunkapiller who announced his retirement at the end of the year. Our Chief Financial Officer Susan G. Kim was appointed effective September 28, 2020, succeeding Susan K. Barnes who retired on August 7, 2020. Also, our Vice President and Chief Accounting Officer Eric E. Schaefer was appointed effective May 26, 2020, and our Chairman of the Board Dr. John F. Milligan was appointed effective September 14, 2020.</w:t>
      </w:r>
    </w:p>
    <w:p>
      <w:pPr>
        <w:spacing w:after="0" w:line="43" w:lineRule="exact"/>
        <w:rPr>
          <w:sz w:val="20"/>
          <w:szCs w:val="20"/>
          <w:color w:val="auto"/>
        </w:rPr>
      </w:pPr>
    </w:p>
    <w:p>
      <w:pPr>
        <w:ind w:firstLine="440"/>
        <w:spacing w:after="0" w:line="252" w:lineRule="auto"/>
        <w:rPr>
          <w:sz w:val="20"/>
          <w:szCs w:val="20"/>
          <w:color w:val="auto"/>
        </w:rPr>
      </w:pPr>
      <w:r>
        <w:rPr>
          <w:rFonts w:ascii="Arial" w:cs="Arial" w:eastAsia="Arial" w:hAnsi="Arial"/>
          <w:sz w:val="16"/>
          <w:szCs w:val="16"/>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w:t>
      </w:r>
    </w:p>
    <w:p>
      <w:pPr>
        <w:spacing w:after="0" w:line="16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and other personnel, our ability to maintain and develop our products could be harmed and we may be unable to achieve our goals.</w:t>
      </w:r>
    </w:p>
    <w:p>
      <w:pPr>
        <w:spacing w:after="0" w:line="165" w:lineRule="exact"/>
        <w:rPr>
          <w:sz w:val="20"/>
          <w:szCs w:val="20"/>
          <w:color w:val="auto"/>
        </w:rPr>
      </w:pPr>
    </w:p>
    <w:p>
      <w:pPr>
        <w:ind w:right="540" w:firstLine="648"/>
        <w:spacing w:after="0" w:line="228" w:lineRule="auto"/>
        <w:rPr>
          <w:sz w:val="20"/>
          <w:szCs w:val="20"/>
          <w:color w:val="auto"/>
        </w:rPr>
      </w:pPr>
      <w:r>
        <w:rPr>
          <w:rFonts w:ascii="Arial" w:cs="Arial" w:eastAsia="Arial" w:hAnsi="Arial"/>
          <w:sz w:val="18"/>
          <w:szCs w:val="18"/>
          <w:color w:val="auto"/>
        </w:rPr>
        <w:t>Our success depends upon the continuing services of members of our senior management team and scientific and engineering personnel. In particular, our scientists and engineers are critical to our technological and product innovations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support of existing products, product development and introductions, business growth prospects, results of operations and financial condition.</w:t>
      </w:r>
    </w:p>
    <w:p>
      <w:pPr>
        <w:spacing w:after="0" w:line="16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For example, the sale and commercialization of the SMRT Cell 8M and Sequel II/IIe Systems, and related products may not be successful.</w:t>
      </w:r>
    </w:p>
    <w:p>
      <w:pPr>
        <w:spacing w:after="0" w:line="165"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There can be no assurance that we will be successful in adding new products or securing additional customers for our current and future products, including with respect to the SMRT Cell 8M and Sequel II/IIe Systems.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have limited experience commercializing and selling products outside of the academic and research settings, and we cannot assure you that we can successfully acquire additional customers. Furthermore, we cannot guarantee that our products will be satisfactory to potential customers we seek to reach or that our products will perform in accordance with customer expectations.</w:t>
      </w:r>
    </w:p>
    <w:p>
      <w:pPr>
        <w:spacing w:after="0" w:line="16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6"/>
          <w:szCs w:val="16"/>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II/IIe Systems.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64"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would be materially harmed and our business may not succeed.</w:t>
      </w:r>
    </w:p>
    <w:p>
      <w:pPr>
        <w:spacing w:after="0" w:line="178" w:lineRule="exact"/>
        <w:rPr>
          <w:sz w:val="20"/>
          <w:szCs w:val="20"/>
          <w:color w:val="auto"/>
        </w:rPr>
      </w:pPr>
    </w:p>
    <w:p>
      <w:pPr>
        <w:jc w:val="both"/>
        <w:ind w:right="220"/>
        <w:spacing w:after="0" w:line="225" w:lineRule="auto"/>
        <w:rPr>
          <w:sz w:val="20"/>
          <w:szCs w:val="20"/>
          <w:color w:val="auto"/>
        </w:rPr>
      </w:pPr>
      <w:r>
        <w:rPr>
          <w:rFonts w:ascii="Arial" w:cs="Arial" w:eastAsia="Arial" w:hAnsi="Arial"/>
          <w:sz w:val="18"/>
          <w:szCs w:val="18"/>
          <w:b w:val="1"/>
          <w:bCs w:val="1"/>
          <w:i w:val="1"/>
          <w:iCs w:val="1"/>
          <w:color w:val="auto"/>
        </w:rPr>
        <w:t>We rely on other companies for the manufacture of certain components and sub-assemblies and intend to outsource additional sub-assemblies in the future. We may not be able to successfully scale the manufacturing process necessary to build and test multiple products on a full commercial basis, which could materially harm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precision in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will be materially and adversely affected, we could be unable to meet customer demand and our business and results of operations may be materially and adversely affected.</w:t>
      </w:r>
    </w:p>
    <w:p>
      <w:pPr>
        <w:spacing w:after="0" w:line="176"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could be materially harmed.</w:t>
      </w:r>
    </w:p>
    <w:p>
      <w:pPr>
        <w:spacing w:after="0" w:line="17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b w:val="1"/>
          <w:bCs w:val="1"/>
          <w:i w:val="1"/>
          <w:iCs w:val="1"/>
          <w:color w:val="auto"/>
        </w:rPr>
        <w:t>We may be unable to consistently manufacture our instruments and consumable kits, including SMRT Cells, to the necessary specifications or in quantities necessary to meet demand at an acceptable cost or at an acceptable performance level.</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has been and may in the future be below desired levels, and we have experienced and may experience in the future manufacturing delays, product defects, variability in the performance of SMRT Cells and other products, inadequate reserves for inventory, or other issues. 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is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financial condition and results of operations.</w:t>
      </w:r>
    </w:p>
    <w:p>
      <w:pPr>
        <w:spacing w:after="0" w:line="18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 System, could diminish future demand for our products and materially harm our future operating results.</w:t>
      </w:r>
    </w:p>
    <w:p>
      <w:pPr>
        <w:spacing w:after="0" w:line="164"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86" w:lineRule="exact"/>
        <w:rPr>
          <w:sz w:val="20"/>
          <w:szCs w:val="20"/>
          <w:color w:val="auto"/>
        </w:rPr>
      </w:pPr>
    </w:p>
    <w:p>
      <w:pPr>
        <w:ind w:right="440" w:firstLine="648"/>
        <w:spacing w:after="0"/>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42"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the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financial condition or results of operations.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successfully increase sales of our current products or market and sell our future products.</w:t>
      </w:r>
    </w:p>
    <w:p>
      <w:pPr>
        <w:spacing w:after="0" w:line="198"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0"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our ability to attract, retain and manage qualified sales, marketing and service personnel necessary to expand market acceptance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86"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availability of potential sales and distribution partners to sell our technologies, and our ability to attract and retain such sales and distribution partners;</w:t>
      </w:r>
    </w:p>
    <w:p>
      <w:pPr>
        <w:spacing w:after="0" w:line="35" w:lineRule="exact"/>
        <w:rPr>
          <w:sz w:val="20"/>
          <w:szCs w:val="20"/>
          <w:color w:val="auto"/>
        </w:rPr>
      </w:pPr>
    </w:p>
    <w:p>
      <w:pPr>
        <w:ind w:left="1100" w:right="340"/>
        <w:spacing w:after="0" w:line="246" w:lineRule="auto"/>
        <w:rPr>
          <w:sz w:val="20"/>
          <w:szCs w:val="20"/>
          <w:color w:val="auto"/>
        </w:rPr>
      </w:pPr>
      <w:r>
        <w:rPr>
          <w:rFonts w:ascii="Arial" w:cs="Arial" w:eastAsia="Arial" w:hAnsi="Arial"/>
          <w:sz w:val="18"/>
          <w:szCs w:val="18"/>
          <w:color w:val="auto"/>
        </w:rPr>
        <w:t>the time and cost of maintaining and growing a specialized sales, marketing and service force for a particular application, which may be difficult to justify in light of the revenue generated; and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sales, marketing and service force may be unable to execute successful commercial activities.</w:t>
      </w:r>
    </w:p>
    <w:p>
      <w:pPr>
        <w:spacing w:after="0" w:line="198"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impact our business operations.</w:t>
      </w:r>
    </w:p>
    <w:p>
      <w:pPr>
        <w:spacing w:after="0" w:line="17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75" w:lineRule="exact"/>
        <w:rPr>
          <w:sz w:val="20"/>
          <w:szCs w:val="20"/>
          <w:color w:val="auto"/>
        </w:rPr>
      </w:pPr>
    </w:p>
    <w:p>
      <w:pPr>
        <w:jc w:val="both"/>
        <w:ind w:right="260" w:firstLine="648"/>
        <w:spacing w:after="0" w:line="225" w:lineRule="auto"/>
        <w:rPr>
          <w:sz w:val="20"/>
          <w:szCs w:val="20"/>
          <w:color w:val="auto"/>
        </w:rPr>
      </w:pPr>
      <w:r>
        <w:rPr>
          <w:rFonts w:ascii="Arial" w:cs="Arial" w:eastAsia="Arial" w:hAnsi="Arial"/>
          <w:sz w:val="18"/>
          <w:szCs w:val="18"/>
          <w:color w:val="auto"/>
        </w:rPr>
        <w:t>We receive a significant portion of our revenue from a limited number of customers. For example, for the fiscal year ended December 31, 2019 and 2018, one of our customers, Gene Company Limited, accounted for approximately 17% and 26% of our total revenue, respectively. Gene Company Limited is our primary distributor in China. Many of these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harm our financial condition and results of operations.</w:t>
      </w:r>
    </w:p>
    <w:p>
      <w:pPr>
        <w:spacing w:after="0" w:line="177" w:lineRule="exact"/>
        <w:rPr>
          <w:sz w:val="20"/>
          <w:szCs w:val="20"/>
          <w:color w:val="auto"/>
        </w:rPr>
      </w:pPr>
    </w:p>
    <w:p>
      <w:pPr>
        <w:ind w:right="240" w:firstLine="693"/>
        <w:spacing w:after="0" w:line="235" w:lineRule="auto"/>
        <w:rPr>
          <w:sz w:val="20"/>
          <w:szCs w:val="20"/>
          <w:color w:val="auto"/>
        </w:rPr>
      </w:pPr>
      <w:r>
        <w:rPr>
          <w:rFonts w:ascii="Arial" w:cs="Arial" w:eastAsia="Arial" w:hAnsi="Arial"/>
          <w:sz w:val="18"/>
          <w:szCs w:val="18"/>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5"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6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70"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 System.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72"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serious adverse effect on our business, financial condition and results of operations.</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7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harm our future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convert our orders in backlog into revenue.</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backlog represents product orders from our customers that we have confirmed and for which we have not yet recognized revenue. We may not receive revenue from these orders, and any order backlog we report may not be indicative of our future revenue.</w:t>
      </w:r>
    </w:p>
    <w:p>
      <w:pPr>
        <w:spacing w:after="0" w:line="170"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Many events can cause an order to be delayed or not completed at all, some of which may be out of our control, including the potential impacts from COVID-19.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7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 and results of operations.</w:t>
      </w:r>
    </w:p>
    <w:p>
      <w:pPr>
        <w:spacing w:after="0" w:line="198" w:lineRule="exact"/>
        <w:rPr>
          <w:sz w:val="20"/>
          <w:szCs w:val="20"/>
          <w:color w:val="auto"/>
        </w:rPr>
      </w:pPr>
    </w:p>
    <w:p>
      <w:pPr>
        <w:ind w:right="20" w:firstLine="648"/>
        <w:spacing w:after="0" w:line="233" w:lineRule="auto"/>
        <w:rPr>
          <w:sz w:val="20"/>
          <w:szCs w:val="20"/>
          <w:color w:val="auto"/>
        </w:rPr>
      </w:pPr>
      <w:r>
        <w:rPr>
          <w:rFonts w:ascii="Arial" w:cs="Arial" w:eastAsia="Arial" w:hAnsi="Arial"/>
          <w:sz w:val="17"/>
          <w:szCs w:val="17"/>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cycles often coincide with government fiscal year ends. For example, the U.S. government’s fiscal year-end occurs in our third quarter and may result in increased sales of our products during this quarter if government-funded customers have unused funds that may be forfeit, or future budgets that may be reduced, if such funds remain unspent at such fiscal year-end. Furthermore, celebrations of the Lunar New Year, which occurs during our first quarter, may last for a week or longer, during which time many of our customers’ offices in China and elsewhere in the Asia-Pacific region may be closed due to the holiday, and have in the past caused, and may in the future cause, decreased sales of our consumables during such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become in the future, more, or less pronounced over time, and have in the past materially affected, and may in the future materially affect, our business, financial condition, results of operations and prospects.</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70" w:lineRule="exact"/>
        <w:rPr>
          <w:sz w:val="20"/>
          <w:szCs w:val="20"/>
          <w:color w:val="auto"/>
        </w:rPr>
      </w:pPr>
    </w:p>
    <w:p>
      <w:pPr>
        <w:ind w:right="40" w:firstLine="648"/>
        <w:spacing w:after="0"/>
        <w:rPr>
          <w:sz w:val="20"/>
          <w:szCs w:val="20"/>
          <w:color w:val="auto"/>
        </w:rPr>
      </w:pPr>
      <w:r>
        <w:rPr>
          <w:rFonts w:ascii="Arial" w:cs="Arial" w:eastAsia="Arial" w:hAnsi="Arial"/>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7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70" w:lineRule="exact"/>
        <w:rPr>
          <w:sz w:val="20"/>
          <w:szCs w:val="20"/>
          <w:color w:val="auto"/>
        </w:rPr>
      </w:pPr>
    </w:p>
    <w:p>
      <w:pPr>
        <w:ind w:right="220" w:firstLine="648"/>
        <w:spacing w:after="0" w:line="299" w:lineRule="auto"/>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 w:lineRule="exact"/>
        <w:rPr>
          <w:sz w:val="20"/>
          <w:szCs w:val="20"/>
          <w:color w:val="auto"/>
        </w:rPr>
      </w:pPr>
    </w:p>
    <w:p>
      <w:pPr>
        <w:ind w:left="1100" w:right="580"/>
        <w:spacing w:after="0" w:line="246" w:lineRule="auto"/>
        <w:rPr>
          <w:sz w:val="20"/>
          <w:szCs w:val="20"/>
          <w:color w:val="auto"/>
        </w:rPr>
      </w:pPr>
      <w:r>
        <w:rPr>
          <w:rFonts w:ascii="Arial" w:cs="Arial" w:eastAsia="Arial" w:hAnsi="Arial"/>
          <w:sz w:val="18"/>
          <w:szCs w:val="18"/>
          <w:color w:val="auto"/>
        </w:rPr>
        <w:t>we or our licensors might not have been the first to make the inventions covered by each of our pending patent applications or issued patents;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licensors might not have been the first to file patent applications for these inventions;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86"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0" w:lineRule="exact"/>
        <w:rPr>
          <w:sz w:val="20"/>
          <w:szCs w:val="20"/>
          <w:color w:val="auto"/>
        </w:rPr>
      </w:pPr>
    </w:p>
    <w:p>
      <w:pPr>
        <w:ind w:left="1100" w:right="80"/>
        <w:spacing w:after="0" w:line="235" w:lineRule="auto"/>
        <w:rPr>
          <w:sz w:val="20"/>
          <w:szCs w:val="20"/>
          <w:color w:val="auto"/>
        </w:rPr>
      </w:pPr>
      <w:r>
        <w:rPr>
          <w:rFonts w:ascii="Arial" w:cs="Arial" w:eastAsia="Arial" w:hAnsi="Arial"/>
          <w:sz w:val="18"/>
          <w:szCs w:val="18"/>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enforcement of patents and proprietary rights in other countries may be problematic or unpredictable;</w:t>
      </w:r>
    </w:p>
    <w:p>
      <w:pPr>
        <w:spacing w:after="0" w:line="63" w:lineRule="exact"/>
        <w:rPr>
          <w:sz w:val="20"/>
          <w:szCs w:val="20"/>
          <w:color w:val="auto"/>
        </w:rPr>
      </w:pPr>
    </w:p>
    <w:p>
      <w:pPr>
        <w:ind w:left="1100" w:right="520"/>
        <w:spacing w:after="0" w:line="246" w:lineRule="auto"/>
        <w:rPr>
          <w:sz w:val="20"/>
          <w:szCs w:val="20"/>
          <w:color w:val="auto"/>
        </w:rPr>
      </w:pPr>
      <w:r>
        <w:rPr>
          <w:rFonts w:ascii="Arial" w:cs="Arial" w:eastAsia="Arial" w:hAnsi="Arial"/>
          <w:sz w:val="18"/>
          <w:szCs w:val="18"/>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or our partners may not adequately protect our trade secrets;</w:t>
      </w:r>
    </w:p>
    <w:p>
      <w:pPr>
        <w:spacing w:after="0" w:line="63" w:lineRule="exact"/>
        <w:rPr>
          <w:sz w:val="20"/>
          <w:szCs w:val="20"/>
          <w:color w:val="auto"/>
        </w:rPr>
      </w:pPr>
    </w:p>
    <w:p>
      <w:pPr>
        <w:ind w:left="5540" w:right="4520" w:hanging="4437"/>
        <w:spacing w:after="0" w:line="307" w:lineRule="auto"/>
        <w:rPr>
          <w:sz w:val="20"/>
          <w:szCs w:val="20"/>
          <w:color w:val="auto"/>
        </w:rPr>
      </w:pPr>
      <w:r>
        <w:rPr>
          <w:rFonts w:ascii="Arial" w:cs="Arial" w:eastAsia="Arial" w:hAnsi="Arial"/>
          <w:sz w:val="16"/>
          <w:szCs w:val="16"/>
          <w:color w:val="auto"/>
        </w:rPr>
        <w:t>we may not develop additional proprietary technologies that are patentable; or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94" w:lineRule="exact"/>
        <w:rPr>
          <w:sz w:val="20"/>
          <w:szCs w:val="20"/>
          <w:color w:val="auto"/>
        </w:rPr>
      </w:pPr>
    </w:p>
    <w:p>
      <w:pPr>
        <w:ind w:right="280" w:firstLine="324"/>
        <w:spacing w:after="0" w:line="246" w:lineRule="auto"/>
        <w:rPr>
          <w:sz w:val="20"/>
          <w:szCs w:val="20"/>
          <w:color w:val="auto"/>
        </w:rPr>
      </w:pPr>
      <w:r>
        <w:rPr>
          <w:rFonts w:ascii="Arial" w:cs="Arial" w:eastAsia="Arial" w:hAnsi="Arial"/>
          <w:sz w:val="18"/>
          <w:szCs w:val="18"/>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Variability in intellectual property laws may adversely affect our intellectual property position.</w:t>
      </w:r>
    </w:p>
    <w:p>
      <w:pPr>
        <w:spacing w:after="0" w:line="19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6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7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We license from third parties some of the intellectual property that is important to our business. If we fail to meet our obligations under these licenses, or if we have a dispute regarding the terms of the licenses, these third parties could terminate the licenses. If the third parties who license intellectual property to us fail to maintain the intellectual property that we have licensed, or lose rights to that intellectual property, the rights we have licensed may be reduced or eliminated, which could subject us to claims of intellectual property infringement.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4"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23"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proprietary information and techniques that are substantially equivalent to ours. The occurrence of these events may have a material adverse effect on our business, financial condition or results of operations.</w:t>
      </w:r>
    </w:p>
    <w:p>
      <w:pPr>
        <w:spacing w:after="0" w:line="17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Our intellectual property may be subject to challenges in the United States or foreign jurisdictions that could adversely affect our intellectual property position.</w:t>
      </w:r>
    </w:p>
    <w:p>
      <w:pPr>
        <w:spacing w:after="0" w:line="170"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Oxford Nanopore Technologies Ltd. (“ONT Ltd.”), Oxford Nanopore Technologies, Inc.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in the future could result in determinations that our patents or pending patent applications are unpatentable to us, invalidated or unenforceable in whole or in part. Accordingly, adverse rulings in such proceedings could negatively impact the scope of our intellectual property protection for our products and technology, and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technology is subject to “march-in” rights by the U.S. government.</w:t>
      </w:r>
    </w:p>
    <w:p>
      <w:pPr>
        <w:spacing w:after="0" w:line="198"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legal proceedings to enforce our intellectual property rights.</w:t>
      </w:r>
    </w:p>
    <w:p>
      <w:pPr>
        <w:spacing w:after="0" w:line="198" w:lineRule="exact"/>
        <w:rPr>
          <w:sz w:val="20"/>
          <w:szCs w:val="20"/>
          <w:color w:val="auto"/>
        </w:rPr>
      </w:pPr>
    </w:p>
    <w:p>
      <w:pPr>
        <w:ind w:right="20" w:firstLine="648"/>
        <w:spacing w:after="0" w:line="235" w:lineRule="auto"/>
        <w:rPr>
          <w:sz w:val="20"/>
          <w:szCs w:val="20"/>
          <w:color w:val="auto"/>
        </w:rPr>
      </w:pPr>
      <w:r>
        <w:rPr>
          <w:rFonts w:ascii="Arial" w:cs="Arial" w:eastAsia="Arial" w:hAnsi="Arial"/>
          <w:sz w:val="17"/>
          <w:szCs w:val="17"/>
          <w:color w:val="auto"/>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received adverse rulings against us with respect to our complaint with the USITC in one of these proceedings and additionally as described in </w:t>
      </w:r>
      <w:r>
        <w:rPr>
          <w:rFonts w:ascii="Arial" w:cs="Arial" w:eastAsia="Arial" w:hAnsi="Arial"/>
          <w:sz w:val="17"/>
          <w:szCs w:val="17"/>
          <w:i w:val="1"/>
          <w:iCs w:val="1"/>
          <w:color w:val="auto"/>
        </w:rPr>
        <w:t>Note 6. Commitments and Contingencies</w:t>
      </w:r>
      <w:r>
        <w:rPr>
          <w:rFonts w:ascii="Arial" w:cs="Arial" w:eastAsia="Arial" w:hAnsi="Arial"/>
          <w:sz w:val="17"/>
          <w:szCs w:val="17"/>
          <w:color w:val="auto"/>
        </w:rPr>
        <w:t xml:space="preserve"> of Item 1. of Financial Statements under Part I – Financial Information. Legal actions to enforce our patent rights have been, and will continue to be, expensive, and may divert significant management time and resources. Adverse parties from previous legal actions have brought, and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that could prevent us from selling any products found to be infringing the intellectual property rights of another party.</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7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8"/>
          <w:szCs w:val="18"/>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previously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develop further, commercialize, or sell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369"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selling some or all of our products, which could materially and adversely affect our business.</w:t>
      </w:r>
    </w:p>
    <w:p>
      <w:pPr>
        <w:spacing w:after="0" w:line="16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70" w:lineRule="exact"/>
        <w:rPr>
          <w:sz w:val="20"/>
          <w:szCs w:val="20"/>
          <w:color w:val="auto"/>
        </w:rPr>
      </w:pPr>
    </w:p>
    <w:p>
      <w:pPr>
        <w:ind w:right="400" w:firstLine="648"/>
        <w:spacing w:after="0" w:line="231" w:lineRule="auto"/>
        <w:rPr>
          <w:sz w:val="20"/>
          <w:szCs w:val="20"/>
          <w:color w:val="auto"/>
        </w:rPr>
      </w:pPr>
      <w:r>
        <w:rPr>
          <w:rFonts w:ascii="Arial" w:cs="Arial" w:eastAsia="Arial" w:hAnsi="Arial"/>
          <w:sz w:val="18"/>
          <w:szCs w:val="18"/>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products and subject us to possible litigation.</w:t>
      </w:r>
    </w:p>
    <w:p>
      <w:pPr>
        <w:spacing w:after="0" w:line="198" w:lineRule="exact"/>
        <w:rPr>
          <w:sz w:val="20"/>
          <w:szCs w:val="20"/>
          <w:color w:val="auto"/>
        </w:rPr>
      </w:pPr>
    </w:p>
    <w:p>
      <w:pPr>
        <w:ind w:right="20" w:firstLine="648"/>
        <w:spacing w:after="0" w:line="233"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an open source license, which could substantially help our competitors develop products that are similar to or better than ours or otherwise materially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We are, and may become, subject to governmental regulations that may impose burdens on our operations, and the markets for our products may be narrowed.</w:t>
      </w:r>
    </w:p>
    <w:p>
      <w:pPr>
        <w:spacing w:after="0" w:line="170"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0"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w:t>
      </w:r>
    </w:p>
    <w:p>
      <w:pPr>
        <w:spacing w:after="0" w:line="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would adversely impact our commercialization of products on which we have expended significant research and development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in turn have a material adverse impact on our business and prospects.</w:t>
      </w:r>
    </w:p>
    <w:p>
      <w:pPr>
        <w:spacing w:after="0" w:line="176" w:lineRule="exact"/>
        <w:rPr>
          <w:sz w:val="20"/>
          <w:szCs w:val="20"/>
          <w:color w:val="auto"/>
        </w:rPr>
      </w:pPr>
    </w:p>
    <w:p>
      <w:pPr>
        <w:jc w:val="both"/>
        <w:ind w:right="140"/>
        <w:spacing w:after="0" w:line="235" w:lineRule="auto"/>
        <w:rPr>
          <w:sz w:val="20"/>
          <w:szCs w:val="20"/>
          <w:color w:val="auto"/>
        </w:rPr>
      </w:pPr>
      <w:r>
        <w:rPr>
          <w:rFonts w:ascii="Arial" w:cs="Arial" w:eastAsia="Arial" w:hAnsi="Arial"/>
          <w:sz w:val="18"/>
          <w:szCs w:val="18"/>
          <w:b w:val="1"/>
          <w:bCs w:val="1"/>
          <w:i w:val="1"/>
          <w:iCs w:val="1"/>
          <w:color w:val="auto"/>
        </w:rPr>
        <w:t>Our products could become subject to regulation by the U.S. Food and Drug Administration or other domestic and international regulatory agencies, which could increase our costs and impede or delay our commercialization efforts, thereby materially and adversely affecting our business and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for use in the diagnosis or treatment of disease. However, in the future, certain of our products or related applications, such as those that may be developed for clinical uses, could be subject to FDA regulation, or the FDA’s regulatory jurisdiction could be expanded to include our products. Even where a product is exempted from FDA clearance or approval, the FDA may impose restrictions as to the types of customers to which we or our partners can market and sell our products. Such regulation and restrictions may materially and adversely affect our business, financial condition and results of operations.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66"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Many countries have laws and regulations that could affect our products, such as 510(k) clearances, premarket approvals or CE Mark requirements, and failure to adhere to applicable statutory or regulatory requirements by us or our business partners would have a material adverse effect on our operations and financial condition.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Any action brought against us for violations of these laws or regulations, even if successfully defended, could cause us to incur significant legal expenses and divert our management’s attention from the operation of our business.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221"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The current U.S. presidential administration has called for substantial changes to U.S. foreign trade policy with respect to China and other countries, including the possibility of imposing greater restrictions on international trade and significant increases in tariffs on goods imported into the United States. Starting September 2018, the U.S. Trade Representative (the “USTR”) has enacted various tariffs of 7.5%, 10%, 15% and 25% on the import of Chinese products, including non-U.S. components and materials that may be used in our products. Additionally, China has also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75" w:lineRule="exact"/>
        <w:rPr>
          <w:sz w:val="20"/>
          <w:szCs w:val="20"/>
          <w:color w:val="auto"/>
        </w:rPr>
      </w:pPr>
    </w:p>
    <w:p>
      <w:pPr>
        <w:ind w:right="360" w:firstLine="648"/>
        <w:spacing w:after="0" w:line="231" w:lineRule="auto"/>
        <w:rPr>
          <w:sz w:val="20"/>
          <w:szCs w:val="20"/>
          <w:color w:val="auto"/>
        </w:rPr>
      </w:pPr>
      <w:r>
        <w:rPr>
          <w:rFonts w:ascii="Arial" w:cs="Arial" w:eastAsia="Arial" w:hAnsi="Arial"/>
          <w:sz w:val="18"/>
          <w:szCs w:val="18"/>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w:t>
      </w:r>
    </w:p>
    <w:p>
      <w:pPr>
        <w:spacing w:after="0" w:line="175"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Finally, in April 2020, BIS expanded its controls on the export, reexport, and transfer of certain items for military end-use or to military end-users in China, Russia, and Venezuela. These expanded controls could impact our ability to sell our products to certain end-users in these countries, most notably China.</w:t>
      </w:r>
    </w:p>
    <w:p>
      <w:pPr>
        <w:spacing w:after="0" w:line="17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If we fail to comply with healthcare and other governmental laws and regulations, we could face substantial penalties and our business, results of operations and financial condition could be adversely affected.</w:t>
      </w:r>
    </w:p>
    <w:p>
      <w:pPr>
        <w:spacing w:after="0" w:line="62" w:lineRule="exact"/>
        <w:rPr>
          <w:sz w:val="20"/>
          <w:szCs w:val="20"/>
          <w:color w:val="auto"/>
        </w:rPr>
      </w:pPr>
    </w:p>
    <w:p>
      <w:pPr>
        <w:ind w:right="100" w:firstLine="440"/>
        <w:spacing w:after="0"/>
        <w:rPr>
          <w:sz w:val="20"/>
          <w:szCs w:val="20"/>
          <w:color w:val="auto"/>
        </w:rPr>
      </w:pPr>
      <w:r>
        <w:rPr>
          <w:rFonts w:ascii="Arial" w:cs="Arial" w:eastAsia="Arial" w:hAnsi="Arial"/>
          <w:sz w:val="17"/>
          <w:szCs w:val="17"/>
          <w:color w:val="auto"/>
        </w:rPr>
        <w:t>The products that we may develop for clinical uses may be highly regulated, and there can be no assurance that the regulatory environment in which we would operate will not change significantly and adversely in the future. Any arrangements with physicians, hospitals and clinics may expose us to broadly applicable fraud and abuse and other laws and regulations that may restrict the financial arrangements and relationships through which we market, sell and distribute our products and services. Our employees, consultants, and commercial partners may engage in misconduct or other improper activities, including non-compliance with regulatory standards and requirements. Federal and state healthcare and other laws and regulations that may affect our ability to conduct business, include, without limitation:</w:t>
      </w:r>
    </w:p>
    <w:p>
      <w:pPr>
        <w:spacing w:after="0" w:line="42"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federal and state laws and regulations regarding billing and claims payment applicable to products that we may develop for clinical uses, and regulatory agencies enforcing those laws and regulations;</w:t>
      </w:r>
    </w:p>
    <w:p>
      <w:pPr>
        <w:spacing w:after="0" w:line="35" w:lineRule="exact"/>
        <w:rPr>
          <w:sz w:val="20"/>
          <w:szCs w:val="20"/>
          <w:color w:val="auto"/>
        </w:rPr>
      </w:pPr>
    </w:p>
    <w:p>
      <w:pPr>
        <w:jc w:val="both"/>
        <w:ind w:left="1100" w:right="540"/>
        <w:spacing w:after="0" w:line="276" w:lineRule="auto"/>
        <w:rPr>
          <w:sz w:val="20"/>
          <w:szCs w:val="20"/>
          <w:color w:val="auto"/>
        </w:rPr>
      </w:pPr>
      <w:r>
        <w:rPr>
          <w:rFonts w:ascii="Arial" w:cs="Arial" w:eastAsia="Arial" w:hAnsi="Arial"/>
          <w:sz w:val="16"/>
          <w:szCs w:val="16"/>
          <w:color w:val="auto"/>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w:t>
      </w:r>
    </w:p>
    <w:p>
      <w:pPr>
        <w:spacing w:after="0" w:line="13" w:lineRule="exact"/>
        <w:rPr>
          <w:sz w:val="20"/>
          <w:szCs w:val="20"/>
          <w:color w:val="auto"/>
        </w:rPr>
      </w:pPr>
    </w:p>
    <w:p>
      <w:pPr>
        <w:ind w:left="1100" w:right="520"/>
        <w:spacing w:after="0" w:line="274" w:lineRule="auto"/>
        <w:rPr>
          <w:sz w:val="20"/>
          <w:szCs w:val="20"/>
          <w:color w:val="auto"/>
        </w:rPr>
      </w:pPr>
      <w:r>
        <w:rPr>
          <w:rFonts w:ascii="Arial" w:cs="Arial" w:eastAsia="Arial" w:hAnsi="Arial"/>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w:t>
      </w:r>
    </w:p>
    <w:p>
      <w:pPr>
        <w:spacing w:after="0" w:line="13" w:lineRule="exact"/>
        <w:rPr>
          <w:sz w:val="20"/>
          <w:szCs w:val="20"/>
          <w:color w:val="auto"/>
        </w:rPr>
      </w:pPr>
    </w:p>
    <w:p>
      <w:pPr>
        <w:ind w:left="1100" w:right="420"/>
        <w:spacing w:after="0" w:line="246" w:lineRule="auto"/>
        <w:rPr>
          <w:sz w:val="20"/>
          <w:szCs w:val="20"/>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35" w:lineRule="exact"/>
        <w:rPr>
          <w:sz w:val="20"/>
          <w:szCs w:val="20"/>
          <w:color w:val="auto"/>
        </w:rPr>
      </w:pPr>
    </w:p>
    <w:p>
      <w:pPr>
        <w:ind w:left="5540" w:right="1660" w:hanging="4437"/>
        <w:spacing w:after="0" w:line="246" w:lineRule="auto"/>
        <w:rPr>
          <w:sz w:val="20"/>
          <w:szCs w:val="20"/>
          <w:color w:val="auto"/>
        </w:rPr>
      </w:pPr>
      <w:r>
        <w:rPr>
          <w:rFonts w:ascii="Arial" w:cs="Arial" w:eastAsia="Arial" w:hAnsi="Arial"/>
          <w:sz w:val="18"/>
          <w:szCs w:val="18"/>
          <w:color w:val="auto"/>
        </w:rPr>
        <w:t>the FCPA, the U.K. Bribery Act of 2010, and other local anti-corruption laws that apply to our international activities;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180"/>
        <w:spacing w:after="0" w:line="242" w:lineRule="auto"/>
        <w:rPr>
          <w:sz w:val="20"/>
          <w:szCs w:val="20"/>
          <w:color w:val="auto"/>
        </w:rPr>
      </w:pPr>
      <w:r>
        <w:rPr>
          <w:rFonts w:ascii="Arial" w:cs="Arial" w:eastAsia="Arial" w:hAnsi="Arial"/>
          <w:sz w:val="17"/>
          <w:szCs w:val="17"/>
          <w:color w:val="auto"/>
        </w:rPr>
        <w:t>the federal Physician Payment Sunshine Act, or Open Payments, created under the Affordable Care Act, and its implementing regulations, which requires manufacturers of drugs, medical devices, biologicals and medical supplies for which payment is available under Medicare, Medicaid, or the Children’s Health Insurance Program to report annually to the U.S. Department of Health and Human Services, or HHS, information related to payments or other transfers of value made to licensed physicians and teaching hospitals, as well as ownership and investment interests held by physicians and their immediate family members;</w:t>
      </w:r>
    </w:p>
    <w:p>
      <w:pPr>
        <w:spacing w:after="0" w:line="40" w:lineRule="exact"/>
        <w:rPr>
          <w:sz w:val="20"/>
          <w:szCs w:val="20"/>
          <w:color w:val="auto"/>
        </w:rPr>
      </w:pPr>
    </w:p>
    <w:p>
      <w:pPr>
        <w:ind w:left="1100" w:right="20"/>
        <w:spacing w:after="0" w:line="235" w:lineRule="auto"/>
        <w:rPr>
          <w:sz w:val="20"/>
          <w:szCs w:val="20"/>
          <w:color w:val="auto"/>
        </w:rPr>
      </w:pPr>
      <w:r>
        <w:rPr>
          <w:rFonts w:ascii="Arial" w:cs="Arial" w:eastAsia="Arial" w:hAnsi="Arial"/>
          <w:sz w:val="17"/>
          <w:szCs w:val="17"/>
          <w:color w:val="auto"/>
        </w:rPr>
        <w:t>the Health Insurance Portability and Accountability Act (“HIPAA”), as amended by the Health Information Technology for Economic and Clinical Health Act, and its implementing regulations, and other laws and regulations relating to privacy and data protection including the European Union’s GDPR, which impose certain requirements relating to the privacy, security and transmission of individually identifiable health information; HIPAA also created criminal liability for knowingly and willfully falsifying or concealing a material fact or making a materially false statement in connection with the delivery of or payment for healthcare benefits, items or services; additionally, California has enacted the California Consumer Privacy Act (“CCPA”), which requires enhanced disclosures related to California residents regarding the use or disclosure of their personal information, allows California residents to opt-out of certain uses and disclosures of their personal information without penalty, provides Californians with other choices related to personal data in our possession, and requires obtaining opt-in consent before engaging in certain uses of personal information relating to Californians under the age of 16. The California Attorney General may, once enforcement commences on July 1, 2020, seek substantial monetary penalties and injunctive relief in the event of non-compliance with the CCPA after it became operative on January 1, 2020.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federal physician self-referral prohibition, commonly known as the Stark Law; and</w:t>
      </w:r>
    </w:p>
    <w:p>
      <w:pPr>
        <w:spacing w:after="0" w:line="63" w:lineRule="exact"/>
        <w:rPr>
          <w:sz w:val="20"/>
          <w:szCs w:val="20"/>
          <w:color w:val="auto"/>
        </w:rPr>
      </w:pPr>
    </w:p>
    <w:p>
      <w:pPr>
        <w:ind w:left="1100" w:right="60"/>
        <w:spacing w:after="0" w:line="231" w:lineRule="auto"/>
        <w:rPr>
          <w:sz w:val="20"/>
          <w:szCs w:val="20"/>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8" w:lineRule="exact"/>
        <w:rPr>
          <w:sz w:val="20"/>
          <w:szCs w:val="20"/>
          <w:color w:val="auto"/>
        </w:rPr>
      </w:pPr>
    </w:p>
    <w:p>
      <w:pPr>
        <w:ind w:right="100" w:firstLine="440"/>
        <w:spacing w:after="0" w:line="242"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or Affordable Care Act, was enacted in 2010. The Affordable Care Act, among other things, amends the intent requirement of the federal Anti-Kickback Statute and criminal healthcare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67" w:lineRule="exact"/>
        <w:rPr>
          <w:sz w:val="20"/>
          <w:szCs w:val="20"/>
          <w:color w:val="auto"/>
        </w:rPr>
      </w:pPr>
    </w:p>
    <w:p>
      <w:pPr>
        <w:ind w:right="160" w:firstLine="440"/>
        <w:spacing w:after="0" w:line="24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activities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67" w:lineRule="exact"/>
        <w:rPr>
          <w:sz w:val="20"/>
          <w:szCs w:val="20"/>
          <w:color w:val="auto"/>
        </w:rPr>
      </w:pPr>
    </w:p>
    <w:p>
      <w:pPr>
        <w:ind w:firstLine="440"/>
        <w:spacing w:after="0" w:line="237"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programs, such as Medicare and Medicaid, and we could be required to curtail or cease certain of our operations. Any of the foregoing consequences could seriously harm our business and our financial results.</w:t>
      </w:r>
    </w:p>
    <w:p>
      <w:pPr>
        <w:spacing w:after="0" w:line="180"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6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Ethical, legal, privacy and social concerns or governmental restrictions surrounding the use of genetic information could reduce demand for our technology.</w:t>
      </w:r>
    </w:p>
    <w:p>
      <w:pPr>
        <w:spacing w:after="0" w:line="17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Such concerns or governmental restrictions could limit the use of our products, which could have a material adverse effect on our business, financial condition and results of operations.</w:t>
      </w:r>
    </w:p>
    <w:p>
      <w:pPr>
        <w:spacing w:after="0" w:line="161"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Reputational harm could materially and adversely affect our business, financial condition or results of operations.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price of our common stock has been, is, and may continue to be, highly volatile, and you may be unable to sell your shares at or above the price you paid to acquire them.</w:t>
      </w:r>
    </w:p>
    <w:p>
      <w:pPr>
        <w:spacing w:after="0" w:line="17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fluctuations in our financial condition and operating results;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announcements of new products, technological innovations or strategic partnerships by us or our competitors;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overall conditions in our industry and market;</w:t>
      </w: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 or loss of significant customers;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changes in laws or regulations applicable to our products;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63" w:lineRule="exact"/>
        <w:rPr>
          <w:sz w:val="20"/>
          <w:szCs w:val="20"/>
          <w:color w:val="auto"/>
        </w:rPr>
      </w:pPr>
    </w:p>
    <w:p>
      <w:pPr>
        <w:ind w:left="1100" w:right="800"/>
        <w:spacing w:after="0" w:line="246" w:lineRule="auto"/>
        <w:rPr>
          <w:sz w:val="20"/>
          <w:szCs w:val="20"/>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additions or departures of key personnel;</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competition from existing products or new products that may emerge;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issuance of new or updated research or reports by securities analysts;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sales of our common stock by us or our stockholders;</w:t>
      </w:r>
    </w:p>
    <w:p>
      <w:pPr>
        <w:spacing w:after="0" w:line="63" w:lineRule="exact"/>
        <w:rPr>
          <w:sz w:val="20"/>
          <w:szCs w:val="20"/>
          <w:color w:val="auto"/>
        </w:rPr>
      </w:pPr>
    </w:p>
    <w:p>
      <w:pPr>
        <w:ind w:left="1100" w:right="2980"/>
        <w:spacing w:after="0" w:line="313" w:lineRule="auto"/>
        <w:rPr>
          <w:sz w:val="20"/>
          <w:szCs w:val="20"/>
          <w:color w:val="auto"/>
        </w:rPr>
      </w:pPr>
      <w:r>
        <w:rPr>
          <w:rFonts w:ascii="Arial" w:cs="Arial" w:eastAsia="Arial" w:hAnsi="Arial"/>
          <w:sz w:val="18"/>
          <w:szCs w:val="18"/>
          <w:color w:val="auto"/>
        </w:rPr>
        <w:t>stock price and volume fluctuations attributable to inconsistent trading volume levels of our shares; reports, guidance and ratings issued by securities or industry analysts; operating results below the expectations of securities analysts or investors; and</w:t>
      </w:r>
    </w:p>
    <w:p>
      <w:pPr>
        <w:ind w:left="1100"/>
        <w:spacing w:after="0"/>
        <w:rPr>
          <w:sz w:val="20"/>
          <w:szCs w:val="20"/>
          <w:color w:val="auto"/>
        </w:rPr>
      </w:pPr>
      <w:r>
        <w:rPr>
          <w:rFonts w:ascii="Arial" w:cs="Arial" w:eastAsia="Arial" w:hAnsi="Arial"/>
          <w:sz w:val="18"/>
          <w:szCs w:val="18"/>
          <w:color w:val="auto"/>
        </w:rPr>
        <w:t>general economic and market conditions, which could be impacted by various events including COVID-19.</w:t>
      </w:r>
    </w:p>
    <w:p>
      <w:pPr>
        <w:spacing w:after="0" w:line="171"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which have been exacerbated by COVID-19,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our stock price to fall.</w:t>
      </w:r>
    </w:p>
    <w:p>
      <w:pPr>
        <w:spacing w:after="0" w:line="63" w:lineRule="exact"/>
        <w:rPr>
          <w:sz w:val="20"/>
          <w:szCs w:val="20"/>
          <w:color w:val="auto"/>
        </w:rPr>
      </w:pPr>
    </w:p>
    <w:p>
      <w:pPr>
        <w:ind w:right="100" w:firstLine="440"/>
        <w:spacing w:after="0" w:line="231" w:lineRule="auto"/>
        <w:rPr>
          <w:sz w:val="20"/>
          <w:szCs w:val="20"/>
          <w:color w:val="auto"/>
        </w:rPr>
      </w:pPr>
      <w:r>
        <w:rPr>
          <w:rFonts w:ascii="Arial" w:cs="Arial" w:eastAsia="Arial" w:hAnsi="Arial"/>
          <w:sz w:val="18"/>
          <w:szCs w:val="18"/>
          <w:color w:val="auto"/>
        </w:rPr>
        <w:t>We filed a shelf registration statement on Form S-3 with the SEC that was declared effective on July 14, 2020, pursuant to which we may, from time to time, sell up to an aggregate of $250.0 million of our common stock, preferred stock, debt securities, depositary shares, warrants, subscription rights, purchase contracts or units. In August 2020, we sold 22.3 million shares of our common stock in an underwritten public offering pursuant to this shelf registration statement on Form S-3, for aggregate gross proceeds of $99.9 million.</w:t>
      </w:r>
    </w:p>
    <w:p>
      <w:pPr>
        <w:spacing w:after="0" w:line="40" w:lineRule="exact"/>
        <w:rPr>
          <w:sz w:val="20"/>
          <w:szCs w:val="20"/>
          <w:color w:val="auto"/>
        </w:rPr>
      </w:pPr>
    </w:p>
    <w:p>
      <w:pPr>
        <w:ind w:right="100" w:firstLine="440"/>
        <w:spacing w:after="0" w:line="242" w:lineRule="auto"/>
        <w:rPr>
          <w:sz w:val="20"/>
          <w:szCs w:val="20"/>
          <w:color w:val="auto"/>
        </w:rPr>
      </w:pPr>
      <w:r>
        <w:rPr>
          <w:rFonts w:ascii="Arial" w:cs="Arial" w:eastAsia="Arial" w:hAnsi="Arial"/>
          <w:sz w:val="17"/>
          <w:szCs w:val="17"/>
          <w:color w:val="auto"/>
        </w:rPr>
        <w:t>We have sold, and plan in the future to sell, shares of our common stock in underwritten offerings and have established, and may in the future establish, “at-the-market” offering programs pursuant to which we may offer and sell shares of our common stock. However, up to the $52.0 million of Continuation Advances actually paid to us are repayable without interest to Illumina if, within two years of March 31, 2020, we raise at least $100 million in equity financing in a single transaction (with the amount repayable dependent on the amount raised by us). Sales of securities have resulted and will continue to result in dilution of our existing stockholders, and such sales could cause our stock price to fall.</w:t>
      </w:r>
    </w:p>
    <w:p>
      <w:pPr>
        <w:spacing w:after="0" w:line="175" w:lineRule="exact"/>
        <w:rPr>
          <w:sz w:val="20"/>
          <w:szCs w:val="20"/>
          <w:color w:val="auto"/>
        </w:rPr>
      </w:pPr>
    </w:p>
    <w:p>
      <w:pPr>
        <w:ind w:right="40" w:firstLine="648"/>
        <w:spacing w:after="0" w:line="231" w:lineRule="auto"/>
        <w:rPr>
          <w:sz w:val="20"/>
          <w:szCs w:val="20"/>
          <w:color w:val="auto"/>
        </w:rPr>
      </w:pPr>
      <w:r>
        <w:rPr>
          <w:rFonts w:ascii="Arial" w:cs="Arial" w:eastAsia="Arial" w:hAnsi="Arial"/>
          <w:sz w:val="18"/>
          <w:szCs w:val="18"/>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from time to time in connection with financings, acquisitions, investments or otherwise. Any such issuance would result in dilution to our existing stockholders and could cause our stock price to fall.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221" w:lineRule="exact"/>
        <w:rPr>
          <w:sz w:val="20"/>
          <w:szCs w:val="20"/>
          <w:color w:val="auto"/>
        </w:rPr>
      </w:pPr>
    </w:p>
    <w:p>
      <w:pPr>
        <w:ind w:right="460" w:firstLine="648"/>
        <w:spacing w:after="0" w:line="228" w:lineRule="auto"/>
        <w:rPr>
          <w:sz w:val="20"/>
          <w:szCs w:val="20"/>
          <w:color w:val="auto"/>
        </w:rPr>
      </w:pPr>
      <w:r>
        <w:rPr>
          <w:rFonts w:ascii="Arial" w:cs="Arial" w:eastAsia="Arial" w:hAnsi="Arial"/>
          <w:sz w:val="18"/>
          <w:szCs w:val="18"/>
          <w:color w:val="auto"/>
        </w:rPr>
        <w:t>Our existing principal stockholders, executive officers, directors and their affiliates beneficially own a significant number of our outstanding shares of common stock. In addition, such parties may acquire additional control by purchasing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stock that we issue in connection with our future fundraising efforts. As a result, these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ind w:right="420" w:firstLine="648"/>
        <w:spacing w:after="0" w:line="274" w:lineRule="auto"/>
        <w:rPr>
          <w:sz w:val="20"/>
          <w:szCs w:val="20"/>
          <w:color w:val="auto"/>
        </w:rPr>
      </w:pPr>
      <w:r>
        <w:rPr>
          <w:rFonts w:ascii="Arial" w:cs="Arial" w:eastAsia="Arial" w:hAnsi="Arial"/>
          <w:sz w:val="17"/>
          <w:szCs w:val="17"/>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86" w:lineRule="exact"/>
        <w:rPr>
          <w:sz w:val="20"/>
          <w:szCs w:val="20"/>
          <w:color w:val="auto"/>
        </w:rPr>
      </w:pPr>
    </w:p>
    <w:p>
      <w:pPr>
        <w:ind w:left="1100" w:right="680"/>
        <w:spacing w:after="0" w:line="246"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35" w:lineRule="exact"/>
        <w:rPr>
          <w:sz w:val="20"/>
          <w:szCs w:val="20"/>
          <w:color w:val="auto"/>
        </w:rPr>
      </w:pPr>
    </w:p>
    <w:p>
      <w:pPr>
        <w:ind w:left="1100" w:right="440"/>
        <w:spacing w:after="0" w:line="246"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sz w:val="20"/>
          <w:szCs w:val="20"/>
          <w:color w:val="auto"/>
        </w:rPr>
      </w:pPr>
    </w:p>
    <w:p>
      <w:pPr>
        <w:ind w:left="1100" w:right="360"/>
        <w:spacing w:after="0" w:line="313" w:lineRule="auto"/>
        <w:rPr>
          <w:sz w:val="20"/>
          <w:szCs w:val="20"/>
          <w:color w:val="auto"/>
        </w:rPr>
      </w:pPr>
      <w:r>
        <w:rPr>
          <w:rFonts w:ascii="Arial" w:cs="Arial" w:eastAsia="Arial" w:hAnsi="Arial"/>
          <w:sz w:val="18"/>
          <w:szCs w:val="18"/>
          <w:color w:val="auto"/>
        </w:rPr>
        <w:t>establish that our board of directors is divided into three classes, Class I, Class II and Class III, with each class serving staggered terms; provide that our directors may be removed only for cause; and</w:t>
      </w:r>
    </w:p>
    <w:p>
      <w:pPr>
        <w:ind w:left="110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9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 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 number of authorized but unissued shares of common stock may potentially dilute existing stockholders’ stockholdings.</w:t>
      </w:r>
    </w:p>
    <w:p>
      <w:pPr>
        <w:spacing w:after="0" w:line="19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98"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directors. Accordingly, investors must rely on sales of their common stock after price appreciation, which may never occur, as the only way to realize any future gains on their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COVID-19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of our products could be delayed or disrupted by factors beyond our control, and we could lose customers as a result.</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Doing business internationally creates operational and financial risks for our business.</w:t>
      </w:r>
    </w:p>
    <w:p>
      <w:pPr>
        <w:spacing w:after="0" w:line="198" w:lineRule="exact"/>
        <w:rPr>
          <w:sz w:val="20"/>
          <w:szCs w:val="20"/>
          <w:color w:val="auto"/>
        </w:rPr>
      </w:pPr>
    </w:p>
    <w:p>
      <w:pPr>
        <w:ind w:right="120" w:firstLine="648"/>
        <w:spacing w:after="0" w:line="237"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limits to travel as a result of COVID-19</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challenges in staffing and managing foreign operations;</w:t>
      </w:r>
    </w:p>
    <w:p>
      <w:pPr>
        <w:spacing w:after="0" w:line="63" w:lineRule="exact"/>
        <w:rPr>
          <w:sz w:val="20"/>
          <w:szCs w:val="20"/>
          <w:color w:val="auto"/>
        </w:rPr>
      </w:pPr>
    </w:p>
    <w:p>
      <w:pPr>
        <w:ind w:left="1100" w:right="40"/>
        <w:spacing w:after="0" w:line="246" w:lineRule="auto"/>
        <w:rPr>
          <w:sz w:val="20"/>
          <w:szCs w:val="20"/>
          <w:color w:val="auto"/>
        </w:rPr>
      </w:pPr>
      <w:r>
        <w:rPr>
          <w:rFonts w:ascii="Arial" w:cs="Arial" w:eastAsia="Arial" w:hAnsi="Arial"/>
          <w:sz w:val="18"/>
          <w:szCs w:val="18"/>
          <w:color w:val="auto"/>
        </w:rPr>
        <w:t>potentially longer sales cycles and more time required to engage and educate customers on the benefits of our platform outside of the United States;</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potential need for localized software and documentation;</w:t>
      </w:r>
    </w:p>
    <w:p>
      <w:pPr>
        <w:spacing w:after="0" w:line="63" w:lineRule="exact"/>
        <w:rPr>
          <w:sz w:val="20"/>
          <w:szCs w:val="20"/>
          <w:color w:val="auto"/>
        </w:rPr>
      </w:pPr>
    </w:p>
    <w:p>
      <w:pPr>
        <w:ind w:left="1100" w:right="120"/>
        <w:spacing w:after="0" w:line="246" w:lineRule="auto"/>
        <w:rPr>
          <w:sz w:val="20"/>
          <w:szCs w:val="20"/>
          <w:color w:val="auto"/>
        </w:rPr>
      </w:pPr>
      <w:r>
        <w:rPr>
          <w:rFonts w:ascii="Arial" w:cs="Arial" w:eastAsia="Arial" w:hAnsi="Arial"/>
          <w:sz w:val="18"/>
          <w:szCs w:val="18"/>
          <w:color w:val="auto"/>
        </w:rPr>
        <w:t>reduced protection for intellectual property rights in some countries and practical difficulties of enforcing intellectual property and contract rights abroad;</w:t>
      </w:r>
    </w:p>
    <w:p>
      <w:pPr>
        <w:spacing w:after="0" w:line="35" w:lineRule="exact"/>
        <w:rPr>
          <w:sz w:val="20"/>
          <w:szCs w:val="20"/>
          <w:color w:val="auto"/>
        </w:rPr>
      </w:pPr>
    </w:p>
    <w:p>
      <w:pPr>
        <w:ind w:left="1100" w:right="60"/>
        <w:spacing w:after="0" w:line="246" w:lineRule="auto"/>
        <w:rPr>
          <w:sz w:val="20"/>
          <w:szCs w:val="20"/>
          <w:color w:val="auto"/>
        </w:rPr>
      </w:pPr>
      <w:r>
        <w:rPr>
          <w:rFonts w:ascii="Arial" w:cs="Arial" w:eastAsia="Arial" w:hAnsi="Arial"/>
          <w:sz w:val="18"/>
          <w:szCs w:val="18"/>
          <w:color w:val="auto"/>
        </w:rPr>
        <w:t>restriction on cross-border investment, including enhanced oversight by the Committee on Foreign Investment in the United States (CFIUS) and substantial restrictions on investment from China;</w:t>
      </w:r>
    </w:p>
    <w:p>
      <w:pPr>
        <w:spacing w:after="0" w:line="35" w:lineRule="exact"/>
        <w:rPr>
          <w:sz w:val="20"/>
          <w:szCs w:val="20"/>
          <w:color w:val="auto"/>
        </w:rPr>
      </w:pPr>
    </w:p>
    <w:p>
      <w:pPr>
        <w:ind w:left="1100" w:right="780"/>
        <w:spacing w:after="0" w:line="256" w:lineRule="auto"/>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100" w:right="380"/>
        <w:spacing w:after="0" w:line="246" w:lineRule="auto"/>
        <w:rPr>
          <w:sz w:val="20"/>
          <w:szCs w:val="20"/>
          <w:color w:val="auto"/>
        </w:rPr>
      </w:pPr>
      <w:r>
        <w:rPr>
          <w:rFonts w:ascii="Arial" w:cs="Arial" w:eastAsia="Arial" w:hAnsi="Arial"/>
          <w:sz w:val="18"/>
          <w:szCs w:val="18"/>
          <w:color w:val="auto"/>
        </w:rPr>
        <w:t>changes in diplomatic and trade relationships, including new tariffs, trade protection measures, import or export licensing requirements, trade embargoes and other trade barriers;</w:t>
      </w:r>
    </w:p>
    <w:p>
      <w:pPr>
        <w:spacing w:after="0" w:line="35" w:lineRule="exact"/>
        <w:rPr>
          <w:sz w:val="20"/>
          <w:szCs w:val="20"/>
          <w:color w:val="auto"/>
        </w:rPr>
      </w:pPr>
    </w:p>
    <w:p>
      <w:pPr>
        <w:ind w:left="1100" w:right="100"/>
        <w:spacing w:after="0" w:line="231" w:lineRule="auto"/>
        <w:rPr>
          <w:sz w:val="20"/>
          <w:szCs w:val="20"/>
          <w:color w:val="auto"/>
        </w:rPr>
      </w:pPr>
      <w:r>
        <w:rPr>
          <w:rFonts w:ascii="Arial" w:cs="Arial" w:eastAsia="Arial" w:hAnsi="Arial"/>
          <w:sz w:val="18"/>
          <w:szCs w:val="18"/>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40" w:lineRule="exact"/>
        <w:rPr>
          <w:sz w:val="20"/>
          <w:szCs w:val="20"/>
          <w:color w:val="auto"/>
        </w:rPr>
      </w:pPr>
    </w:p>
    <w:p>
      <w:pPr>
        <w:ind w:left="1100" w:right="100"/>
        <w:spacing w:after="0" w:line="246" w:lineRule="auto"/>
        <w:rPr>
          <w:sz w:val="20"/>
          <w:szCs w:val="20"/>
          <w:color w:val="auto"/>
        </w:rPr>
      </w:pPr>
      <w:r>
        <w:rPr>
          <w:rFonts w:ascii="Arial" w:cs="Arial" w:eastAsia="Arial" w:hAnsi="Arial"/>
          <w:sz w:val="18"/>
          <w:szCs w:val="18"/>
          <w:color w:val="auto"/>
        </w:rPr>
        <w:t>deterioration of political relations between the U.S. and China, Canada, the U.K. and the EU, which could have a material adverse effect on our sales and operations in these countries;</w:t>
      </w:r>
    </w:p>
    <w:p>
      <w:pPr>
        <w:spacing w:after="0" w:line="35" w:lineRule="exact"/>
        <w:rPr>
          <w:sz w:val="20"/>
          <w:szCs w:val="20"/>
          <w:color w:val="auto"/>
        </w:rPr>
      </w:pPr>
    </w:p>
    <w:p>
      <w:pPr>
        <w:ind w:left="1100" w:right="120"/>
        <w:spacing w:after="0" w:line="235" w:lineRule="auto"/>
        <w:rPr>
          <w:sz w:val="20"/>
          <w:szCs w:val="20"/>
          <w:color w:val="auto"/>
        </w:rPr>
      </w:pPr>
      <w:r>
        <w:rPr>
          <w:rFonts w:ascii="Arial" w:cs="Arial" w:eastAsia="Arial" w:hAnsi="Arial"/>
          <w:sz w:val="18"/>
          <w:szCs w:val="18"/>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United Kingdom from the European Union;</w:t>
      </w:r>
    </w:p>
    <w:p>
      <w:pPr>
        <w:spacing w:after="0" w:line="40" w:lineRule="exact"/>
        <w:rPr>
          <w:sz w:val="20"/>
          <w:szCs w:val="20"/>
          <w:color w:val="auto"/>
        </w:rPr>
      </w:pPr>
    </w:p>
    <w:p>
      <w:pPr>
        <w:ind w:left="1100" w:right="1440"/>
        <w:spacing w:after="0" w:line="313" w:lineRule="auto"/>
        <w:rPr>
          <w:sz w:val="20"/>
          <w:szCs w:val="20"/>
          <w:color w:val="auto"/>
        </w:rPr>
      </w:pPr>
      <w:r>
        <w:rPr>
          <w:rFonts w:ascii="Arial" w:cs="Arial" w:eastAsia="Arial" w:hAnsi="Arial"/>
          <w:sz w:val="18"/>
          <w:szCs w:val="18"/>
          <w:color w:val="auto"/>
        </w:rPr>
        <w:t>difficulties in obtaining export licenses or in overcoming other trade barriers and restrictions resulting in delivery delays; fluctuations in currency exchange rates and the related effect on our results of operations; increased financial accounting and reporting burdens and complexities;</w:t>
      </w:r>
    </w:p>
    <w:p>
      <w:pPr>
        <w:ind w:left="1100"/>
        <w:spacing w:after="0"/>
        <w:rPr>
          <w:sz w:val="20"/>
          <w:szCs w:val="20"/>
          <w:color w:val="auto"/>
        </w:rPr>
      </w:pPr>
      <w:r>
        <w:rPr>
          <w:rFonts w:ascii="Arial" w:cs="Arial" w:eastAsia="Arial" w:hAnsi="Arial"/>
          <w:sz w:val="18"/>
          <w:szCs w:val="18"/>
          <w:color w:val="auto"/>
        </w:rPr>
        <w:t>disruptions to global trade due to disease outbreaks;</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potential increases on tariffs or restrictions on trade generally; and</w:t>
      </w:r>
    </w:p>
    <w:p>
      <w:pPr>
        <w:spacing w:after="0" w:line="63" w:lineRule="exact"/>
        <w:rPr>
          <w:sz w:val="20"/>
          <w:szCs w:val="20"/>
          <w:color w:val="auto"/>
        </w:rPr>
      </w:pPr>
    </w:p>
    <w:p>
      <w:pPr>
        <w:ind w:left="1100" w:right="20"/>
        <w:spacing w:after="0" w:line="307" w:lineRule="auto"/>
        <w:rPr>
          <w:sz w:val="20"/>
          <w:szCs w:val="20"/>
          <w:color w:val="auto"/>
        </w:rPr>
      </w:pPr>
      <w:r>
        <w:rPr>
          <w:rFonts w:ascii="Arial" w:cs="Arial" w:eastAsia="Arial" w:hAnsi="Arial"/>
          <w:sz w:val="16"/>
          <w:szCs w:val="16"/>
          <w:color w:val="auto"/>
        </w:rPr>
        <w:t>significant taxes or other burdens of complying with a variety of foreign laws and regulations, including laws and regulations relating to privacy and data protection such as the EU General Data Protection Regulation (“GDPR”) which took effect in the European Union in 2018.</w:t>
      </w:r>
    </w:p>
    <w:p>
      <w:pPr>
        <w:spacing w:after="0" w:line="96"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76" w:lineRule="exact"/>
        <w:rPr>
          <w:sz w:val="20"/>
          <w:szCs w:val="20"/>
          <w:color w:val="auto"/>
        </w:rPr>
      </w:pPr>
    </w:p>
    <w:p>
      <w:pPr>
        <w:ind w:right="40" w:firstLine="648"/>
        <w:spacing w:after="0" w:line="242"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7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6"/>
          <w:szCs w:val="16"/>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6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70"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or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63" w:lineRule="exact"/>
        <w:rPr>
          <w:sz w:val="20"/>
          <w:szCs w:val="20"/>
          <w:color w:val="auto"/>
        </w:rPr>
      </w:pPr>
    </w:p>
    <w:p>
      <w:pPr>
        <w:ind w:right="60" w:firstLine="648"/>
        <w:spacing w:after="0" w:line="242"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changes in the United States political environment.</w:t>
      </w:r>
    </w:p>
    <w:p>
      <w:pPr>
        <w:spacing w:after="0" w:line="198"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such as during this presidential election year.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7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Disruption of critical information technology systems or material breaches in the security of our systems could harm our business, customer relations and financial condition.</w:t>
      </w:r>
    </w:p>
    <w:p>
      <w:pPr>
        <w:spacing w:after="0" w:line="170"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77" w:lineRule="exact"/>
        <w:rPr>
          <w:sz w:val="20"/>
          <w:szCs w:val="20"/>
          <w:color w:val="auto"/>
        </w:rPr>
      </w:pPr>
    </w:p>
    <w:p>
      <w:pPr>
        <w:ind w:right="60" w:firstLine="648"/>
        <w:spacing w:after="0" w:line="235"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and adversely affect our reputation, financial condition, results of operations, cash flows and the timeliness with which we report our internal and external operating results.</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We and our third-party service providers may face difficulties in identifying, or promptly responding to, potential security breaches and other instances of unauthorized access to, or disclosure or other loss of, information.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40" w:type="dxa"/>
            <w:vAlign w:val="bottom"/>
            <w:gridSpan w:val="11"/>
          </w:tcPr>
          <w:p>
            <w:pPr>
              <w:ind w:left="14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80" w:type="dxa"/>
            <w:vAlign w:val="bottom"/>
            <w:gridSpan w:val="7"/>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20" w:type="dxa"/>
            <w:vAlign w:val="bottom"/>
            <w:gridSpan w:val="8"/>
            <w:shd w:val="clear" w:color="auto" w:fill="CCEEFF"/>
          </w:tcPr>
          <w:p>
            <w:pPr>
              <w:spacing w:after="0" w:line="189" w:lineRule="exact"/>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2020 Equity Incentive Plan and related forms of agreement</w:t>
              </w:r>
            </w:hyperlink>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140" w:type="dxa"/>
            <w:vAlign w:val="bottom"/>
            <w:shd w:val="clear" w:color="auto" w:fill="CCEEFF"/>
          </w:tcPr>
          <w:p>
            <w:pPr>
              <w:jc w:val="right"/>
              <w:ind w:right="322"/>
              <w:spacing w:after="0" w:line="189" w:lineRule="exact"/>
              <w:rPr>
                <w:sz w:val="20"/>
                <w:szCs w:val="20"/>
                <w:color w:val="auto"/>
              </w:rPr>
            </w:pPr>
            <w:r>
              <w:rPr>
                <w:rFonts w:ascii="Arial" w:cs="Arial" w:eastAsia="Arial" w:hAnsi="Arial"/>
                <w:sz w:val="18"/>
                <w:szCs w:val="18"/>
                <w:color w:val="auto"/>
              </w:rPr>
              <w:t>10.1</w:t>
            </w:r>
          </w:p>
        </w:tc>
        <w:tc>
          <w:tcPr>
            <w:tcW w:w="18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August 5, 2020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10.2+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20" w:type="dxa"/>
            <w:vAlign w:val="bottom"/>
            <w:gridSpan w:val="8"/>
          </w:tcPr>
          <w:p>
            <w:pPr>
              <w:spacing w:after="0" w:line="162"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Letter Relating to Employment Terms – Susan G. Kim effective as of September 28,</w:t>
              </w:r>
            </w:hyperlink>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3"/>
          </w:tcPr>
          <w:p>
            <w:pPr>
              <w:spacing w:after="0"/>
              <w:rPr>
                <w:sz w:val="15"/>
                <w:szCs w:val="15"/>
                <w:color w:val="auto"/>
              </w:rPr>
            </w:pPr>
          </w:p>
        </w:tc>
        <w:tc>
          <w:tcPr>
            <w:tcW w:w="5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rPr>
            </w:pPr>
            <w:hyperlink w:anchor="page56">
              <w:r>
                <w:rPr>
                  <w:rFonts w:ascii="Arial" w:cs="Arial" w:eastAsia="Arial" w:hAnsi="Arial"/>
                  <w:sz w:val="18"/>
                  <w:szCs w:val="18"/>
                  <w:color w:val="0000FF"/>
                </w:rPr>
                <w:t>2020</w:t>
              </w:r>
            </w:hyperlink>
          </w:p>
        </w:tc>
        <w:tc>
          <w:tcPr>
            <w:tcW w:w="254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10.3+</w:t>
            </w:r>
          </w:p>
        </w:tc>
        <w:tc>
          <w:tcPr>
            <w:tcW w:w="3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20" w:type="dxa"/>
            <w:vAlign w:val="bottom"/>
            <w:tcBorders>
              <w:bottom w:val="single" w:sz="8" w:color="0000FF"/>
            </w:tcBorders>
            <w:gridSpan w:val="8"/>
            <w:shd w:val="clear" w:color="auto" w:fill="CCEEFF"/>
          </w:tcPr>
          <w:p>
            <w:pPr>
              <w:spacing w:after="0" w:line="162"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Change in Control and Severance Agreement by and between the Company and Susan</w:t>
              </w:r>
            </w:hyperlink>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20" w:type="dxa"/>
            <w:vAlign w:val="bottom"/>
            <w:gridSpan w:val="8"/>
            <w:shd w:val="clear" w:color="auto" w:fill="CCEEFF"/>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G. Kim effective as of September 28, 2020</w:t>
              </w:r>
            </w:hyperlink>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31.1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20" w:type="dxa"/>
            <w:vAlign w:val="bottom"/>
            <w:tcBorders>
              <w:bottom w:val="single" w:sz="8" w:color="0000FF"/>
            </w:tcBorders>
            <w:gridSpan w:val="6"/>
          </w:tcPr>
          <w:p>
            <w:pPr>
              <w:spacing w:after="0" w:line="162" w:lineRule="exact"/>
              <w:rPr>
                <w:rFonts w:ascii="Arial" w:cs="Arial" w:eastAsia="Arial" w:hAnsi="Arial"/>
                <w:sz w:val="18"/>
                <w:szCs w:val="18"/>
                <w:color w:val="0000FF"/>
                <w:w w:val="92"/>
              </w:rPr>
            </w:pPr>
            <w:hyperlink w:anchor="page67">
              <w:r>
                <w:rPr>
                  <w:rFonts w:ascii="Arial" w:cs="Arial" w:eastAsia="Arial" w:hAnsi="Arial"/>
                  <w:sz w:val="18"/>
                  <w:szCs w:val="18"/>
                  <w:color w:val="0000FF"/>
                  <w:w w:val="92"/>
                </w:rPr>
                <w:t>Certification of Chief Executive Officer pursuant to Exchange Act Rules 13a-14(a)</w:t>
              </w:r>
            </w:hyperlink>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gridSpan w:val="8"/>
          </w:tcPr>
          <w:p>
            <w:pPr>
              <w:spacing w:after="0" w:line="196" w:lineRule="exact"/>
              <w:rPr>
                <w:rFonts w:ascii="Arial" w:cs="Arial" w:eastAsia="Arial" w:hAnsi="Arial"/>
                <w:sz w:val="18"/>
                <w:szCs w:val="18"/>
                <w:u w:val="single" w:color="auto"/>
                <w:color w:val="0000FF"/>
                <w:w w:val="90"/>
              </w:rPr>
            </w:pPr>
            <w:hyperlink w:anchor="page67">
              <w:r>
                <w:rPr>
                  <w:rFonts w:ascii="Arial" w:cs="Arial" w:eastAsia="Arial" w:hAnsi="Arial"/>
                  <w:sz w:val="18"/>
                  <w:szCs w:val="18"/>
                  <w:u w:val="single" w:color="auto"/>
                  <w:color w:val="0000FF"/>
                  <w:w w:val="90"/>
                </w:rPr>
                <w:t>and 15d-14(a), as adopted pursuant to Section 302 of the Sarbanes-Oxley Act of 2002</w:t>
              </w:r>
            </w:hyperlink>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31.2</w:t>
            </w:r>
          </w:p>
        </w:tc>
        <w:tc>
          <w:tcPr>
            <w:tcW w:w="3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0000FF"/>
            </w:tcBorders>
            <w:gridSpan w:val="5"/>
            <w:shd w:val="clear" w:color="auto" w:fill="CCEEFF"/>
          </w:tcPr>
          <w:p>
            <w:pPr>
              <w:spacing w:after="0" w:line="162" w:lineRule="exact"/>
              <w:rPr>
                <w:rFonts w:ascii="Arial" w:cs="Arial" w:eastAsia="Arial" w:hAnsi="Arial"/>
                <w:sz w:val="18"/>
                <w:szCs w:val="18"/>
                <w:color w:val="0000FF"/>
                <w:w w:val="92"/>
              </w:rPr>
            </w:pPr>
            <w:hyperlink w:anchor="page68">
              <w:r>
                <w:rPr>
                  <w:rFonts w:ascii="Arial" w:cs="Arial" w:eastAsia="Arial" w:hAnsi="Arial"/>
                  <w:sz w:val="18"/>
                  <w:szCs w:val="18"/>
                  <w:color w:val="0000FF"/>
                  <w:w w:val="92"/>
                </w:rPr>
                <w:t>Certification of Chief Financial Officer pursuant to Exchange Act Rules 13a-14(a)</w:t>
              </w:r>
            </w:hyperlink>
          </w:p>
        </w:tc>
        <w:tc>
          <w:tcPr>
            <w:tcW w:w="240" w:type="dxa"/>
            <w:vAlign w:val="bottom"/>
            <w:tcBorders>
              <w:bottom w:val="single" w:sz="8" w:color="CCEEFF"/>
            </w:tcBorders>
            <w:gridSpan w:val="3"/>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20" w:type="dxa"/>
            <w:vAlign w:val="bottom"/>
            <w:gridSpan w:val="8"/>
            <w:shd w:val="clear" w:color="auto" w:fill="CCEEFF"/>
          </w:tcPr>
          <w:p>
            <w:pPr>
              <w:spacing w:after="0" w:line="196" w:lineRule="exact"/>
              <w:rPr>
                <w:rFonts w:ascii="Arial" w:cs="Arial" w:eastAsia="Arial" w:hAnsi="Arial"/>
                <w:sz w:val="18"/>
                <w:szCs w:val="18"/>
                <w:u w:val="single" w:color="auto"/>
                <w:color w:val="0000FF"/>
                <w:w w:val="90"/>
              </w:rPr>
            </w:pPr>
            <w:hyperlink w:anchor="page68">
              <w:r>
                <w:rPr>
                  <w:rFonts w:ascii="Arial" w:cs="Arial" w:eastAsia="Arial" w:hAnsi="Arial"/>
                  <w:sz w:val="18"/>
                  <w:szCs w:val="18"/>
                  <w:u w:val="single" w:color="auto"/>
                  <w:color w:val="0000FF"/>
                  <w:w w:val="90"/>
                </w:rPr>
                <w:t>and 15d-14(a), as adopted pursuant to Section 302 of the Sarbanes-Oxley Act of 2002</w:t>
              </w:r>
            </w:hyperlink>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line="162" w:lineRule="exact"/>
              <w:rPr>
                <w:sz w:val="20"/>
                <w:szCs w:val="20"/>
                <w:color w:val="auto"/>
              </w:rPr>
            </w:pPr>
            <w:r>
              <w:rPr>
                <w:rFonts w:ascii="Arial" w:cs="Arial" w:eastAsia="Arial" w:hAnsi="Arial"/>
                <w:sz w:val="18"/>
                <w:szCs w:val="18"/>
                <w:color w:val="auto"/>
              </w:rPr>
              <w:t>32.1*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20" w:type="dxa"/>
            <w:vAlign w:val="bottom"/>
            <w:gridSpan w:val="8"/>
          </w:tcPr>
          <w:p>
            <w:pPr>
              <w:spacing w:after="0" w:line="162" w:lineRule="exact"/>
              <w:rPr>
                <w:rFonts w:ascii="Arial" w:cs="Arial" w:eastAsia="Arial" w:hAnsi="Arial"/>
                <w:sz w:val="18"/>
                <w:szCs w:val="18"/>
                <w:color w:val="0000FF"/>
                <w:w w:val="99"/>
              </w:rPr>
            </w:pPr>
            <w:hyperlink w:anchor="page69">
              <w:r>
                <w:rPr>
                  <w:rFonts w:ascii="Arial" w:cs="Arial" w:eastAsia="Arial" w:hAnsi="Arial"/>
                  <w:sz w:val="18"/>
                  <w:szCs w:val="18"/>
                  <w:color w:val="0000FF"/>
                  <w:w w:val="99"/>
                </w:rPr>
                <w:t>Certification of Chief Executive Officer pursuant to 18 U.S.C. Section 1350, as</w:t>
              </w:r>
            </w:hyperlink>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top w:val="single" w:sz="8" w:color="0000FF"/>
            </w:tcBorders>
            <w:gridSpan w:val="4"/>
          </w:tcPr>
          <w:p>
            <w:pPr>
              <w:spacing w:after="0" w:line="196"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adopted pursuant to Section 906 of the Sarbanes-Oxley Act of 2002</w:t>
              </w:r>
            </w:hyperlink>
          </w:p>
        </w:tc>
        <w:tc>
          <w:tcPr>
            <w:tcW w:w="4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32.2*</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20" w:type="dxa"/>
            <w:vAlign w:val="bottom"/>
            <w:gridSpan w:val="8"/>
            <w:shd w:val="clear" w:color="auto" w:fill="CCEEFF"/>
          </w:tcPr>
          <w:p>
            <w:pPr>
              <w:spacing w:after="0" w:line="162" w:lineRule="exact"/>
              <w:rPr>
                <w:rFonts w:ascii="Arial" w:cs="Arial" w:eastAsia="Arial" w:hAnsi="Arial"/>
                <w:sz w:val="18"/>
                <w:szCs w:val="18"/>
                <w:color w:val="0000FF"/>
              </w:rPr>
            </w:pPr>
            <w:hyperlink w:anchor="page70">
              <w:r>
                <w:rPr>
                  <w:rFonts w:ascii="Arial" w:cs="Arial" w:eastAsia="Arial" w:hAnsi="Arial"/>
                  <w:sz w:val="18"/>
                  <w:szCs w:val="18"/>
                  <w:color w:val="0000FF"/>
                </w:rPr>
                <w:t>Certification of Chief Financial Officer pursuant to 18 U.S.C. Section 1350, as</w:t>
              </w:r>
            </w:hyperlink>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adopted pursuant to Section 906 of the Sarbanes-Oxley Act of 2002</w:t>
              </w:r>
            </w:hyperlink>
          </w:p>
        </w:tc>
        <w:tc>
          <w:tcPr>
            <w:tcW w:w="520" w:type="dxa"/>
            <w:vAlign w:val="bottom"/>
            <w:tcBorders>
              <w:top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line="161" w:lineRule="exact"/>
              <w:rPr>
                <w:sz w:val="20"/>
                <w:szCs w:val="20"/>
                <w:color w:val="auto"/>
              </w:rPr>
            </w:pPr>
            <w:r>
              <w:rPr>
                <w:rFonts w:ascii="Arial" w:cs="Arial" w:eastAsia="Arial" w:hAnsi="Arial"/>
                <w:sz w:val="18"/>
                <w:szCs w:val="18"/>
                <w:color w:val="auto"/>
              </w:rPr>
              <w:t>101.INS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20" w:type="dxa"/>
            <w:vAlign w:val="bottom"/>
            <w:gridSpan w:val="8"/>
          </w:tcPr>
          <w:p>
            <w:pPr>
              <w:spacing w:after="0" w:line="161" w:lineRule="exact"/>
              <w:rPr>
                <w:sz w:val="20"/>
                <w:szCs w:val="20"/>
                <w:color w:val="auto"/>
              </w:rPr>
            </w:pPr>
            <w:r>
              <w:rPr>
                <w:rFonts w:ascii="Arial" w:cs="Arial" w:eastAsia="Arial" w:hAnsi="Arial"/>
                <w:sz w:val="18"/>
                <w:szCs w:val="18"/>
                <w:color w:val="auto"/>
                <w:w w:val="92"/>
              </w:rPr>
              <w:t>XBRL Instance Document (the instance document does not appear in the Interactive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8"/>
          </w:tcPr>
          <w:p>
            <w:pPr>
              <w:spacing w:after="0"/>
              <w:rPr>
                <w:sz w:val="20"/>
                <w:szCs w:val="20"/>
                <w:color w:val="auto"/>
              </w:rPr>
            </w:pPr>
            <w:r>
              <w:rPr>
                <w:rFonts w:ascii="Arial" w:cs="Arial" w:eastAsia="Arial" w:hAnsi="Arial"/>
                <w:sz w:val="18"/>
                <w:szCs w:val="18"/>
                <w:color w:val="auto"/>
                <w:w w:val="95"/>
              </w:rPr>
              <w:t>Data File because its XBRL tags are embedded within the Inline XBRL document)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101.SCH</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2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gridSpan w:val="8"/>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101.DEF</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2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5" w:lineRule="exact"/>
              <w:rPr>
                <w:sz w:val="20"/>
                <w:szCs w:val="20"/>
                <w:color w:val="auto"/>
              </w:rPr>
            </w:pPr>
            <w:r>
              <w:rPr>
                <w:rFonts w:ascii="Arial" w:cs="Arial" w:eastAsia="Arial" w:hAnsi="Arial"/>
                <w:sz w:val="18"/>
                <w:szCs w:val="18"/>
                <w:color w:val="auto"/>
              </w:rPr>
              <w:t>101.LAB</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20" w:type="dxa"/>
            <w:vAlign w:val="bottom"/>
            <w:gridSpan w:val="8"/>
          </w:tcPr>
          <w:p>
            <w:pPr>
              <w:spacing w:after="0" w:line="175" w:lineRule="exact"/>
              <w:rPr>
                <w:sz w:val="20"/>
                <w:szCs w:val="20"/>
                <w:color w:val="auto"/>
              </w:rPr>
            </w:pPr>
            <w:r>
              <w:rPr>
                <w:rFonts w:ascii="Arial" w:cs="Arial" w:eastAsia="Arial" w:hAnsi="Arial"/>
                <w:sz w:val="18"/>
                <w:szCs w:val="18"/>
                <w:color w:val="auto"/>
              </w:rPr>
              <w:t>XBRL Taxonomy Extension Labels Linkbase Document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360" w:hanging="1339"/>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File (formatted as inline XBRL and contained in Exhibit 101)</w:t>
      </w:r>
    </w:p>
    <w:p>
      <w:pPr>
        <w:spacing w:after="0" w:line="398"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0175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43" w:lineRule="exact"/>
        <w:rPr>
          <w:sz w:val="20"/>
          <w:szCs w:val="20"/>
          <w:color w:val="auto"/>
        </w:rPr>
      </w:pPr>
    </w:p>
    <w:p>
      <w:pPr>
        <w:ind w:right="60" w:firstLine="8"/>
        <w:spacing w:after="0" w:line="231"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40" w:type="dxa"/>
            <w:vAlign w:val="bottom"/>
            <w:gridSpan w:val="2"/>
          </w:tcPr>
          <w:p>
            <w:pPr>
              <w:ind w:left="22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ACIFIC</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IOSCIENCES OF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ALIFORNIA</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Date: November 2, 2020</w:t>
            </w:r>
          </w:p>
        </w:tc>
        <w:tc>
          <w:tcPr>
            <w:tcW w:w="2520" w:type="dxa"/>
            <w:vAlign w:val="bottom"/>
            <w:vMerge w:val="restart"/>
          </w:tcPr>
          <w:p>
            <w:pPr>
              <w:ind w:left="2220"/>
              <w:spacing w:after="0"/>
              <w:rPr>
                <w:sz w:val="20"/>
                <w:szCs w:val="20"/>
                <w:color w:val="auto"/>
              </w:rPr>
            </w:pPr>
            <w:r>
              <w:rPr>
                <w:rFonts w:ascii="Arial" w:cs="Arial" w:eastAsia="Arial" w:hAnsi="Arial"/>
                <w:sz w:val="18"/>
                <w:szCs w:val="18"/>
                <w:color w:val="auto"/>
              </w:rPr>
              <w:t>By:</w:t>
            </w:r>
          </w:p>
        </w:tc>
        <w:tc>
          <w:tcPr>
            <w:tcW w:w="4720" w:type="dxa"/>
            <w:vAlign w:val="bottom"/>
          </w:tcPr>
          <w:p>
            <w:pPr>
              <w:ind w:left="15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USAN</w:t>
            </w:r>
            <w:r>
              <w:rPr>
                <w:rFonts w:ascii="Arial" w:cs="Arial" w:eastAsia="Arial" w:hAnsi="Arial"/>
                <w:sz w:val="18"/>
                <w:szCs w:val="18"/>
                <w:color w:val="auto"/>
              </w:rPr>
              <w:t xml:space="preserve"> G. Kim</w:t>
            </w:r>
          </w:p>
        </w:tc>
        <w:tc>
          <w:tcPr>
            <w:tcW w:w="0" w:type="dxa"/>
            <w:vAlign w:val="bottom"/>
          </w:tcPr>
          <w:p>
            <w:pPr>
              <w:spacing w:after="0"/>
              <w:rPr>
                <w:sz w:val="1"/>
                <w:szCs w:val="1"/>
                <w:color w:val="auto"/>
              </w:rPr>
            </w:pPr>
          </w:p>
        </w:tc>
      </w:tr>
      <w:tr>
        <w:trPr>
          <w:trHeight w:val="94"/>
        </w:trPr>
        <w:tc>
          <w:tcPr>
            <w:tcW w:w="39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Susan G. Kim</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7"/>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November 2, 2020</w:t>
            </w:r>
          </w:p>
        </w:tc>
        <w:tc>
          <w:tcPr>
            <w:tcW w:w="2520" w:type="dxa"/>
            <w:vAlign w:val="bottom"/>
            <w:vMerge w:val="restart"/>
          </w:tcPr>
          <w:p>
            <w:pPr>
              <w:ind w:left="2220"/>
              <w:spacing w:after="0"/>
              <w:rPr>
                <w:sz w:val="20"/>
                <w:szCs w:val="20"/>
                <w:color w:val="auto"/>
              </w:rPr>
            </w:pPr>
            <w:r>
              <w:rPr>
                <w:rFonts w:ascii="Arial" w:cs="Arial" w:eastAsia="Arial" w:hAnsi="Arial"/>
                <w:sz w:val="18"/>
                <w:szCs w:val="18"/>
                <w:color w:val="auto"/>
              </w:rPr>
              <w:t>By:</w:t>
            </w:r>
          </w:p>
        </w:tc>
        <w:tc>
          <w:tcPr>
            <w:tcW w:w="4720" w:type="dxa"/>
            <w:vAlign w:val="bottom"/>
          </w:tcPr>
          <w:p>
            <w:pPr>
              <w:ind w:left="1460"/>
              <w:spacing w:after="0"/>
              <w:rPr>
                <w:sz w:val="20"/>
                <w:szCs w:val="20"/>
                <w:color w:val="auto"/>
              </w:rPr>
            </w:pPr>
            <w:r>
              <w:rPr>
                <w:rFonts w:ascii="Arial" w:cs="Arial" w:eastAsia="Arial" w:hAnsi="Arial"/>
                <w:sz w:val="18"/>
                <w:szCs w:val="18"/>
                <w:color w:val="auto"/>
              </w:rPr>
              <w:t>/s/   Eric E. Schaefer</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9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Eric E. Schaefer</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3"/>
                <w:szCs w:val="13"/>
                <w:b w:val="1"/>
                <w:bCs w:val="1"/>
                <w:color w:val="auto"/>
                <w:w w:val="94"/>
              </w:rPr>
              <w:t>Vice President and Chief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12" w:right="339" w:bottom="1440" w:gutter="0" w:footer="0" w:header="0"/>
        </w:sectPr>
      </w:pPr>
    </w:p>
    <w:bookmarkStart w:id="55" w:name="page56"/>
    <w:bookmarkEnd w:id="55"/>
    <w:p>
      <w:pPr>
        <w:ind w:left="766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128270</wp:posOffset>
            </wp:positionV>
            <wp:extent cx="2194560" cy="436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1945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August 28, 2020</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Susan G. Kim</w:t>
      </w:r>
    </w:p>
    <w:p>
      <w:pPr>
        <w:ind w:left="180"/>
        <w:spacing w:after="0" w:line="203" w:lineRule="auto"/>
        <w:rPr>
          <w:sz w:val="20"/>
          <w:szCs w:val="20"/>
          <w:color w:val="auto"/>
        </w:rPr>
      </w:pPr>
      <w:r>
        <w:rPr>
          <w:rFonts w:ascii="Arial" w:cs="Arial" w:eastAsia="Arial" w:hAnsi="Arial"/>
          <w:sz w:val="18"/>
          <w:szCs w:val="18"/>
          <w:color w:val="auto"/>
        </w:rPr>
        <w:t>16 Carriage Court</w:t>
      </w:r>
    </w:p>
    <w:p>
      <w:pPr>
        <w:ind w:left="180"/>
        <w:spacing w:after="0"/>
        <w:rPr>
          <w:sz w:val="20"/>
          <w:szCs w:val="20"/>
          <w:color w:val="auto"/>
        </w:rPr>
      </w:pPr>
      <w:r>
        <w:rPr>
          <w:rFonts w:ascii="Arial" w:cs="Arial" w:eastAsia="Arial" w:hAnsi="Arial"/>
          <w:sz w:val="18"/>
          <w:szCs w:val="18"/>
          <w:color w:val="auto"/>
        </w:rPr>
        <w:t>Los Altos, CA 94022</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Dear Susan,</w:t>
      </w:r>
    </w:p>
    <w:p>
      <w:pPr>
        <w:spacing w:after="0" w:line="140" w:lineRule="exact"/>
        <w:rPr>
          <w:sz w:val="20"/>
          <w:szCs w:val="20"/>
          <w:color w:val="auto"/>
        </w:rPr>
      </w:pPr>
    </w:p>
    <w:p>
      <w:pPr>
        <w:ind w:left="180" w:right="719"/>
        <w:spacing w:after="0" w:line="263" w:lineRule="auto"/>
        <w:rPr>
          <w:sz w:val="20"/>
          <w:szCs w:val="20"/>
          <w:color w:val="auto"/>
        </w:rPr>
      </w:pPr>
      <w:r>
        <w:rPr>
          <w:rFonts w:ascii="Arial" w:cs="Arial" w:eastAsia="Arial" w:hAnsi="Arial"/>
          <w:sz w:val="17"/>
          <w:szCs w:val="17"/>
          <w:color w:val="auto"/>
        </w:rPr>
        <w:t>On behalf of Pacific Biosciences of California, Inc. (the “</w:t>
      </w:r>
      <w:r>
        <w:rPr>
          <w:rFonts w:ascii="Arial" w:cs="Arial" w:eastAsia="Arial" w:hAnsi="Arial"/>
          <w:sz w:val="17"/>
          <w:szCs w:val="17"/>
          <w:b w:val="1"/>
          <w:bCs w:val="1"/>
          <w:color w:val="auto"/>
        </w:rPr>
        <w:t>Company</w:t>
      </w:r>
      <w:r>
        <w:rPr>
          <w:rFonts w:ascii="Arial" w:cs="Arial" w:eastAsia="Arial" w:hAnsi="Arial"/>
          <w:sz w:val="17"/>
          <w:szCs w:val="17"/>
          <w:color w:val="auto"/>
        </w:rPr>
        <w:t>”), I am pleased to offer you a position at the Company as Chief Financial Officer (“</w:t>
      </w:r>
      <w:r>
        <w:rPr>
          <w:rFonts w:ascii="Arial" w:cs="Arial" w:eastAsia="Arial" w:hAnsi="Arial"/>
          <w:sz w:val="17"/>
          <w:szCs w:val="17"/>
          <w:b w:val="1"/>
          <w:bCs w:val="1"/>
          <w:color w:val="auto"/>
        </w:rPr>
        <w:t>CFO</w:t>
      </w:r>
      <w:r>
        <w:rPr>
          <w:rFonts w:ascii="Arial" w:cs="Arial" w:eastAsia="Arial" w:hAnsi="Arial"/>
          <w:sz w:val="17"/>
          <w:szCs w:val="17"/>
          <w:color w:val="auto"/>
        </w:rPr>
        <w:t>”). You will be reporting to the Chief Executive Officer.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You will receive a salary of $415,000 annually, paid twice monthly according to the Company’s payroll schedule.</w:t>
      </w:r>
    </w:p>
    <w:p>
      <w:pPr>
        <w:spacing w:after="0" w:line="156" w:lineRule="exact"/>
        <w:rPr>
          <w:sz w:val="20"/>
          <w:szCs w:val="20"/>
          <w:color w:val="auto"/>
        </w:rPr>
      </w:pPr>
    </w:p>
    <w:p>
      <w:pPr>
        <w:ind w:left="180" w:right="319"/>
        <w:spacing w:after="0" w:line="214" w:lineRule="auto"/>
        <w:rPr>
          <w:sz w:val="20"/>
          <w:szCs w:val="20"/>
          <w:color w:val="auto"/>
        </w:rPr>
      </w:pPr>
      <w:r>
        <w:rPr>
          <w:rFonts w:ascii="Arial" w:cs="Arial" w:eastAsia="Arial" w:hAnsi="Arial"/>
          <w:sz w:val="18"/>
          <w:szCs w:val="18"/>
          <w:color w:val="auto"/>
        </w:rPr>
        <w:t>You will be eligible for a one-time signing bonus of $75,000, to be paid in your first full payroll cycle paycheck, subject to payroll deductions and in accordance with the Company’s customary payroll procedures (the “</w:t>
      </w:r>
      <w:r>
        <w:rPr>
          <w:rFonts w:ascii="Arial" w:cs="Arial" w:eastAsia="Arial" w:hAnsi="Arial"/>
          <w:sz w:val="18"/>
          <w:szCs w:val="18"/>
          <w:b w:val="1"/>
          <w:bCs w:val="1"/>
          <w:color w:val="auto"/>
        </w:rPr>
        <w:t>Sign-On</w:t>
      </w:r>
      <w:r>
        <w:rPr>
          <w:rFonts w:ascii="Arial" w:cs="Arial" w:eastAsia="Arial" w:hAnsi="Arial"/>
          <w:sz w:val="18"/>
          <w:szCs w:val="18"/>
          <w:color w:val="auto"/>
        </w:rPr>
        <w:t xml:space="preserve"> </w:t>
      </w:r>
      <w:r>
        <w:rPr>
          <w:rFonts w:ascii="Arial" w:cs="Arial" w:eastAsia="Arial" w:hAnsi="Arial"/>
          <w:sz w:val="18"/>
          <w:szCs w:val="18"/>
          <w:b w:val="1"/>
          <w:bCs w:val="1"/>
          <w:color w:val="auto"/>
        </w:rPr>
        <w:t>Bonus</w:t>
      </w:r>
      <w:r>
        <w:rPr>
          <w:rFonts w:ascii="Arial" w:cs="Arial" w:eastAsia="Arial" w:hAnsi="Arial"/>
          <w:sz w:val="18"/>
          <w:szCs w:val="18"/>
          <w:color w:val="auto"/>
        </w:rPr>
        <w:t>”). If you resign from your employment with the Company for any reason prior to completing 12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 employment, you hereby agree to repay a pro-rata portion of the gross Sign-On Bonus (based on a 365 day year less the number of days you were employed by the Company) within 10 days after your employment termination date.</w:t>
      </w:r>
    </w:p>
    <w:p>
      <w:pPr>
        <w:spacing w:after="0" w:line="117" w:lineRule="exact"/>
        <w:rPr>
          <w:sz w:val="20"/>
          <w:szCs w:val="20"/>
          <w:color w:val="auto"/>
        </w:rPr>
      </w:pPr>
    </w:p>
    <w:p>
      <w:pPr>
        <w:jc w:val="both"/>
        <w:ind w:left="180" w:right="219"/>
        <w:spacing w:after="0" w:line="226" w:lineRule="auto"/>
        <w:rPr>
          <w:sz w:val="20"/>
          <w:szCs w:val="20"/>
          <w:color w:val="auto"/>
        </w:rPr>
      </w:pPr>
      <w:r>
        <w:rPr>
          <w:rFonts w:ascii="Arial" w:cs="Arial" w:eastAsia="Arial" w:hAnsi="Arial"/>
          <w:sz w:val="18"/>
          <w:szCs w:val="18"/>
          <w:color w:val="auto"/>
        </w:rPr>
        <w:t>You will also be eligible to participate in The Employee Incentive Bonus Plan (the “</w:t>
      </w:r>
      <w:r>
        <w:rPr>
          <w:rFonts w:ascii="Arial" w:cs="Arial" w:eastAsia="Arial" w:hAnsi="Arial"/>
          <w:sz w:val="18"/>
          <w:szCs w:val="18"/>
          <w:b w:val="1"/>
          <w:bCs w:val="1"/>
          <w:color w:val="auto"/>
        </w:rPr>
        <w:t>Bonus Plan</w:t>
      </w:r>
      <w:r>
        <w:rPr>
          <w:rFonts w:ascii="Arial" w:cs="Arial" w:eastAsia="Arial" w:hAnsi="Arial"/>
          <w:sz w:val="18"/>
          <w:szCs w:val="18"/>
          <w:color w:val="auto"/>
        </w:rPr>
        <w:t>”) with a target of 50% of your base salary (subject to the Company’s achievement of certain corporate goals and objectives). The details of the Bonus Plan are set forth in the Employee Handbook.</w:t>
      </w:r>
    </w:p>
    <w:p>
      <w:pPr>
        <w:spacing w:after="0" w:line="117" w:lineRule="exact"/>
        <w:rPr>
          <w:sz w:val="20"/>
          <w:szCs w:val="20"/>
          <w:color w:val="auto"/>
        </w:rPr>
      </w:pPr>
    </w:p>
    <w:p>
      <w:pPr>
        <w:jc w:val="both"/>
        <w:ind w:left="180" w:right="219"/>
        <w:spacing w:after="0" w:line="250" w:lineRule="auto"/>
        <w:rPr>
          <w:sz w:val="20"/>
          <w:szCs w:val="20"/>
          <w:color w:val="auto"/>
        </w:rPr>
      </w:pPr>
      <w:r>
        <w:rPr>
          <w:rFonts w:ascii="Arial" w:cs="Arial" w:eastAsia="Arial" w:hAnsi="Arial"/>
          <w:sz w:val="16"/>
          <w:szCs w:val="16"/>
          <w:color w:val="auto"/>
        </w:rPr>
        <w:t>Subject to approval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and as otherwise described below, you will be granted (i) a nonstatutory stock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a total of 400,000 shares of the Company’s common stock (each a “</w:t>
      </w:r>
      <w:r>
        <w:rPr>
          <w:rFonts w:ascii="Arial" w:cs="Arial" w:eastAsia="Arial" w:hAnsi="Arial"/>
          <w:sz w:val="16"/>
          <w:szCs w:val="16"/>
          <w:b w:val="1"/>
          <w:bCs w:val="1"/>
          <w:color w:val="auto"/>
        </w:rPr>
        <w:t>Share</w:t>
      </w:r>
      <w:r>
        <w:rPr>
          <w:rFonts w:ascii="Arial" w:cs="Arial" w:eastAsia="Arial" w:hAnsi="Arial"/>
          <w:sz w:val="16"/>
          <w:szCs w:val="16"/>
          <w:color w:val="auto"/>
        </w:rPr>
        <w:t>” and, collectively, the “</w:t>
      </w:r>
      <w:r>
        <w:rPr>
          <w:rFonts w:ascii="Arial" w:cs="Arial" w:eastAsia="Arial" w:hAnsi="Arial"/>
          <w:sz w:val="16"/>
          <w:szCs w:val="16"/>
          <w:b w:val="1"/>
          <w:bCs w:val="1"/>
          <w:color w:val="auto"/>
        </w:rPr>
        <w:t>Shares</w:t>
      </w:r>
      <w:r>
        <w:rPr>
          <w:rFonts w:ascii="Arial" w:cs="Arial" w:eastAsia="Arial" w:hAnsi="Arial"/>
          <w:sz w:val="16"/>
          <w:szCs w:val="16"/>
          <w:color w:val="auto"/>
        </w:rPr>
        <w:t>”), having an exercise price per Share equal to the fair market value of a Share on the date of grant, and (ii) an award of restricted stock units covering 150,000 Shares (the “</w:t>
      </w:r>
      <w:r>
        <w:rPr>
          <w:rFonts w:ascii="Arial" w:cs="Arial" w:eastAsia="Arial" w:hAnsi="Arial"/>
          <w:sz w:val="16"/>
          <w:szCs w:val="16"/>
          <w:b w:val="1"/>
          <w:bCs w:val="1"/>
          <w:color w:val="auto"/>
        </w:rPr>
        <w:t>RSUs</w:t>
      </w:r>
      <w:r>
        <w:rPr>
          <w:rFonts w:ascii="Arial" w:cs="Arial" w:eastAsia="Arial" w:hAnsi="Arial"/>
          <w:sz w:val="16"/>
          <w:szCs w:val="16"/>
          <w:color w:val="auto"/>
        </w:rPr>
        <w:t>”).</w:t>
      </w:r>
    </w:p>
    <w:p>
      <w:pPr>
        <w:spacing w:after="0" w:line="115" w:lineRule="exact"/>
        <w:rPr>
          <w:sz w:val="20"/>
          <w:szCs w:val="20"/>
          <w:color w:val="auto"/>
        </w:rPr>
      </w:pPr>
    </w:p>
    <w:p>
      <w:pPr>
        <w:ind w:left="180" w:right="279"/>
        <w:spacing w:after="0" w:line="237" w:lineRule="auto"/>
        <w:rPr>
          <w:sz w:val="20"/>
          <w:szCs w:val="20"/>
          <w:color w:val="auto"/>
        </w:rPr>
      </w:pPr>
      <w:r>
        <w:rPr>
          <w:rFonts w:ascii="Arial" w:cs="Arial" w:eastAsia="Arial" w:hAnsi="Arial"/>
          <w:sz w:val="16"/>
          <w:szCs w:val="16"/>
          <w:color w:val="auto"/>
        </w:rPr>
        <w:t>The effectiveness of the Option will be subject to your being employed by the Company on the date of grant. The specific terms of the Option will be determined by the Board and will be subject to the terms and conditions of the Company’s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 related agreements thereunder. The Option will be scheduled to vest as to one-fourth (1/4</w:t>
      </w:r>
      <w:r>
        <w:rPr>
          <w:rFonts w:ascii="Arial" w:cs="Arial" w:eastAsia="Arial" w:hAnsi="Arial"/>
          <w:sz w:val="7"/>
          <w:szCs w:val="7"/>
          <w:color w:val="auto"/>
        </w:rPr>
        <w:t>th</w:t>
      </w:r>
      <w:r>
        <w:rPr>
          <w:rFonts w:ascii="Arial" w:cs="Arial" w:eastAsia="Arial" w:hAnsi="Arial"/>
          <w:sz w:val="16"/>
          <w:szCs w:val="16"/>
          <w:color w:val="auto"/>
        </w:rPr>
        <w:t>) of the Shares subject at grant to the Option on the one-year anniversary of your start date with the Company (the “</w:t>
      </w:r>
      <w:r>
        <w:rPr>
          <w:rFonts w:ascii="Arial" w:cs="Arial" w:eastAsia="Arial" w:hAnsi="Arial"/>
          <w:sz w:val="16"/>
          <w:szCs w:val="16"/>
          <w:b w:val="1"/>
          <w:bCs w:val="1"/>
          <w:color w:val="auto"/>
        </w:rPr>
        <w:t>Start Date</w:t>
      </w:r>
      <w:r>
        <w:rPr>
          <w:rFonts w:ascii="Arial" w:cs="Arial" w:eastAsia="Arial" w:hAnsi="Arial"/>
          <w:sz w:val="16"/>
          <w:szCs w:val="16"/>
          <w:color w:val="auto"/>
        </w:rPr>
        <w:t>”) and as to one forty-eighth (1/48</w:t>
      </w:r>
      <w:r>
        <w:rPr>
          <w:rFonts w:ascii="Arial" w:cs="Arial" w:eastAsia="Arial" w:hAnsi="Arial"/>
          <w:sz w:val="7"/>
          <w:szCs w:val="7"/>
          <w:color w:val="auto"/>
        </w:rPr>
        <w:t>th</w:t>
      </w:r>
      <w:r>
        <w:rPr>
          <w:rFonts w:ascii="Arial" w:cs="Arial" w:eastAsia="Arial" w:hAnsi="Arial"/>
          <w:sz w:val="16"/>
          <w:szCs w:val="16"/>
          <w:color w:val="auto"/>
        </w:rPr>
        <w:t>) of the Shares subject at grant to the Option each month thereafter on the same day of the month as the Start Date, provided that you remain employed with the Company through the applicable vesting date. Any portion of the Option that has not vested as of the date of cessation of your continuous status as an employee of the Company will terminate as of the date of such cessation.</w:t>
      </w:r>
    </w:p>
    <w:p>
      <w:pPr>
        <w:spacing w:after="0" w:line="126" w:lineRule="exact"/>
        <w:rPr>
          <w:sz w:val="20"/>
          <w:szCs w:val="20"/>
          <w:color w:val="auto"/>
        </w:rPr>
      </w:pPr>
    </w:p>
    <w:p>
      <w:pPr>
        <w:ind w:left="180" w:right="219"/>
        <w:spacing w:after="0" w:line="241" w:lineRule="auto"/>
        <w:rPr>
          <w:sz w:val="20"/>
          <w:szCs w:val="20"/>
          <w:color w:val="auto"/>
        </w:rPr>
      </w:pPr>
      <w:r>
        <w:rPr>
          <w:rFonts w:ascii="Arial" w:cs="Arial" w:eastAsia="Arial" w:hAnsi="Arial"/>
          <w:sz w:val="16"/>
          <w:szCs w:val="16"/>
          <w:color w:val="auto"/>
        </w:rPr>
        <w:t>The RSU award will be subject to your being employed by the Company on the date of grant. The specific terms of the RSU award will be determined when granted by the Board and will be subject to the Plan and the related agreements thereunder. The RSUs will be scheduled to vest as to one fourth (1/4th) of the Shares on each of the one (1), two (2), three (3) and four (4) year anniversaries of the date of grant, provided that you remain employed with the Company through the applicable vesting date. Any portion of the award of RSUs that has not vested as of the date of cessation of your continuous status as an employee of the Company will terminate as of the date of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50354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6" w:name="page57"/>
    <w:bookmarkEnd w:id="56"/>
    <w:p>
      <w:pPr>
        <w:ind w:left="180" w:right="259"/>
        <w:spacing w:after="0" w:line="232" w:lineRule="auto"/>
        <w:rPr>
          <w:sz w:val="20"/>
          <w:szCs w:val="20"/>
          <w:color w:val="auto"/>
        </w:rPr>
      </w:pPr>
      <w:r>
        <w:rPr>
          <w:rFonts w:ascii="Arial" w:cs="Arial" w:eastAsia="Arial" w:hAnsi="Arial"/>
          <w:sz w:val="17"/>
          <w:szCs w:val="17"/>
          <w:color w:val="auto"/>
        </w:rPr>
        <w:t>You will be eligible to receive equity awards covering Shares pursuant to any plans or arrangements the Company may have in effect from time to time, including but not limited to any focal grants. The Board will determine in its discretion whether you will be granted any such equity awards and the terms of any such award in accordance with the terms of any applicable plan or arrangement that may be in effect from time to time.</w:t>
      </w:r>
    </w:p>
    <w:p>
      <w:pPr>
        <w:spacing w:after="0" w:line="122" w:lineRule="exact"/>
        <w:rPr>
          <w:sz w:val="20"/>
          <w:szCs w:val="20"/>
          <w:color w:val="auto"/>
        </w:rPr>
      </w:pPr>
    </w:p>
    <w:p>
      <w:pPr>
        <w:ind w:left="180" w:right="319"/>
        <w:spacing w:after="0" w:line="224" w:lineRule="auto"/>
        <w:rPr>
          <w:sz w:val="20"/>
          <w:szCs w:val="20"/>
          <w:color w:val="auto"/>
        </w:rPr>
      </w:pPr>
      <w:r>
        <w:rPr>
          <w:rFonts w:ascii="Arial" w:cs="Arial" w:eastAsia="Arial" w:hAnsi="Arial"/>
          <w:sz w:val="18"/>
          <w:szCs w:val="18"/>
          <w:color w:val="auto"/>
        </w:rPr>
        <w:t>You will also be offered our standard executive Change in Control Severance Agreement, subject to approval by the Compensation Committee of the Board, and our standard director/officer Indemnification Agreement, copies of which are attached.</w:t>
      </w:r>
    </w:p>
    <w:p>
      <w:pPr>
        <w:spacing w:after="0" w:line="122" w:lineRule="exact"/>
        <w:rPr>
          <w:sz w:val="20"/>
          <w:szCs w:val="20"/>
          <w:color w:val="auto"/>
        </w:rPr>
      </w:pPr>
    </w:p>
    <w:p>
      <w:pPr>
        <w:ind w:left="180" w:right="419"/>
        <w:spacing w:after="0" w:line="219" w:lineRule="auto"/>
        <w:rPr>
          <w:sz w:val="20"/>
          <w:szCs w:val="20"/>
          <w:color w:val="auto"/>
        </w:rPr>
      </w:pPr>
      <w:r>
        <w:rPr>
          <w:rFonts w:ascii="Arial" w:cs="Arial" w:eastAsia="Arial" w:hAnsi="Arial"/>
          <w:sz w:val="18"/>
          <w:szCs w:val="18"/>
          <w:color w:val="auto"/>
        </w:rPr>
        <w:t>We will be offering you our standard benefits package. You will also be eligible for up to 15 days of vacation and 10 days of sick time per year, and you will receive designated Company holidays. The terms of our time off with pay policies are outlined in our employee handbook. The Company reserves the right to modify or terminate the benefit plans and programs it offers to its employees at any time.</w:t>
      </w:r>
    </w:p>
    <w:p>
      <w:pPr>
        <w:spacing w:after="0" w:line="122" w:lineRule="exact"/>
        <w:rPr>
          <w:sz w:val="20"/>
          <w:szCs w:val="20"/>
          <w:color w:val="auto"/>
        </w:rPr>
      </w:pPr>
    </w:p>
    <w:p>
      <w:pPr>
        <w:ind w:left="180" w:right="279"/>
        <w:spacing w:after="0" w:line="235" w:lineRule="auto"/>
        <w:rPr>
          <w:sz w:val="20"/>
          <w:szCs w:val="20"/>
          <w:color w:val="auto"/>
        </w:rPr>
      </w:pPr>
      <w:r>
        <w:rPr>
          <w:rFonts w:ascii="Arial" w:cs="Arial" w:eastAsia="Arial" w:hAnsi="Arial"/>
          <w:sz w:val="18"/>
          <w:szCs w:val="18"/>
          <w:color w:val="auto"/>
        </w:rPr>
        <w:t>All forms of compensation referred to in this letter agreement are subject to reduction to reflect applicable withholding and payroll taxes and other deductions required by law.</w:t>
      </w:r>
    </w:p>
    <w:p>
      <w:pPr>
        <w:spacing w:after="0" w:line="121" w:lineRule="exact"/>
        <w:rPr>
          <w:sz w:val="20"/>
          <w:szCs w:val="20"/>
          <w:color w:val="auto"/>
        </w:rPr>
      </w:pPr>
    </w:p>
    <w:p>
      <w:pPr>
        <w:ind w:left="180" w:right="279"/>
        <w:spacing w:after="0" w:line="225" w:lineRule="auto"/>
        <w:rPr>
          <w:sz w:val="20"/>
          <w:szCs w:val="20"/>
          <w:color w:val="auto"/>
        </w:rPr>
      </w:pPr>
      <w:r>
        <w:rPr>
          <w:rFonts w:ascii="Arial" w:cs="Arial" w:eastAsia="Arial" w:hAnsi="Arial"/>
          <w:sz w:val="17"/>
          <w:szCs w:val="17"/>
          <w:color w:val="auto"/>
        </w:rPr>
        <w:t>Your employment with the Company is for no specified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21" w:lineRule="exact"/>
        <w:rPr>
          <w:sz w:val="20"/>
          <w:szCs w:val="20"/>
          <w:color w:val="auto"/>
        </w:rPr>
      </w:pPr>
    </w:p>
    <w:p>
      <w:pPr>
        <w:ind w:left="180" w:right="199"/>
        <w:spacing w:after="0" w:line="224" w:lineRule="auto"/>
        <w:rPr>
          <w:sz w:val="20"/>
          <w:szCs w:val="20"/>
          <w:color w:val="auto"/>
        </w:rPr>
      </w:pPr>
      <w:r>
        <w:rPr>
          <w:rFonts w:ascii="Arial" w:cs="Arial" w:eastAsia="Arial" w:hAnsi="Arial"/>
          <w:sz w:val="18"/>
          <w:szCs w:val="18"/>
          <w:color w:val="auto"/>
        </w:rPr>
        <w:t>You represent that the performance of your duties in the position described above will not violate the terms of any agreements you may have with others, including your former employer. You also understand that you are not to bring to or use at the Company any confidential information of your prior employers.</w:t>
      </w:r>
    </w:p>
    <w:p>
      <w:pPr>
        <w:spacing w:after="0" w:line="122" w:lineRule="exact"/>
        <w:rPr>
          <w:sz w:val="20"/>
          <w:szCs w:val="20"/>
          <w:color w:val="auto"/>
        </w:rPr>
      </w:pPr>
    </w:p>
    <w:p>
      <w:pPr>
        <w:ind w:left="180" w:right="379"/>
        <w:spacing w:after="0" w:line="258" w:lineRule="auto"/>
        <w:rPr>
          <w:sz w:val="20"/>
          <w:szCs w:val="20"/>
          <w:color w:val="auto"/>
        </w:rPr>
      </w:pPr>
      <w:r>
        <w:rPr>
          <w:rFonts w:ascii="Arial" w:cs="Arial" w:eastAsia="Arial" w:hAnsi="Arial"/>
          <w:sz w:val="17"/>
          <w:szCs w:val="17"/>
          <w:color w:val="auto"/>
        </w:rPr>
        <w:t>Your employment is also conditioned upon your agreement and execution of the attached Pacific Biosciences At Will Employment, Confidential Information, Invention Assignment, and Arbitration Agreement.</w:t>
      </w:r>
    </w:p>
    <w:p>
      <w:pPr>
        <w:spacing w:after="0" w:line="106" w:lineRule="exact"/>
        <w:rPr>
          <w:sz w:val="20"/>
          <w:szCs w:val="20"/>
          <w:color w:val="auto"/>
        </w:rPr>
      </w:pPr>
    </w:p>
    <w:p>
      <w:pPr>
        <w:ind w:left="180" w:right="219"/>
        <w:spacing w:after="0" w:line="241" w:lineRule="auto"/>
        <w:rPr>
          <w:sz w:val="20"/>
          <w:szCs w:val="20"/>
          <w:color w:val="auto"/>
        </w:rPr>
      </w:pPr>
      <w:r>
        <w:rPr>
          <w:rFonts w:ascii="Arial" w:cs="Arial" w:eastAsia="Arial" w:hAnsi="Arial"/>
          <w:sz w:val="16"/>
          <w:szCs w:val="16"/>
          <w:color w:val="auto"/>
        </w:rPr>
        <w:t>Upon your acceptance of this offer (as evidenced by your return of a signed copy of this letter and the attached agreement to the Company), this letter agreement, the Pacific Biosciences At Will Employment, Confidential Information, Invention Assignment, and Arbitration Agreement, the Change in Control Severance Agreement (if signed by you) and the Indemnification Agreement (if signed by you) together constitute the complete agreement between you and the Company, contain all of the terms of your employment with the Company and supersede any prior agreements, representations or understandings (whether written, oral or implied) between you and the Company.</w:t>
      </w:r>
    </w:p>
    <w:p>
      <w:pPr>
        <w:spacing w:after="0" w:line="120" w:lineRule="exact"/>
        <w:rPr>
          <w:sz w:val="20"/>
          <w:szCs w:val="20"/>
          <w:color w:val="auto"/>
        </w:rPr>
      </w:pPr>
    </w:p>
    <w:p>
      <w:pPr>
        <w:jc w:val="both"/>
        <w:ind w:left="180" w:right="259"/>
        <w:spacing w:after="0" w:line="234" w:lineRule="auto"/>
        <w:rPr>
          <w:sz w:val="20"/>
          <w:szCs w:val="20"/>
          <w:color w:val="auto"/>
        </w:rPr>
      </w:pPr>
      <w:r>
        <w:rPr>
          <w:rFonts w:ascii="Arial" w:cs="Arial" w:eastAsia="Arial" w:hAnsi="Arial"/>
          <w:sz w:val="16"/>
          <w:szCs w:val="16"/>
          <w:color w:val="auto"/>
        </w:rPr>
        <w:t>As required by law, your employment with the Company is contingent upon your providing legal proof of identity and authorization to work within the United States on your first day of employment. In addition, to the extent permitted by applicable law, the Company may require current or new employees to submit to, and pass, a background check if such testing is required by a Company customer in order for that individual to provide goods or services to the customer.</w:t>
      </w:r>
    </w:p>
    <w:p>
      <w:pPr>
        <w:ind w:left="180" w:right="619"/>
        <w:spacing w:after="0" w:line="226" w:lineRule="auto"/>
        <w:rPr>
          <w:sz w:val="20"/>
          <w:szCs w:val="20"/>
          <w:color w:val="auto"/>
        </w:rPr>
      </w:pPr>
      <w:r>
        <w:rPr>
          <w:rFonts w:ascii="Arial" w:cs="Arial" w:eastAsia="Arial" w:hAnsi="Arial"/>
          <w:sz w:val="18"/>
          <w:szCs w:val="18"/>
          <w:color w:val="auto"/>
        </w:rPr>
        <w:t>Additionally, any employee authorized to drive a Company vehicle, or who is receiving a vehicle allowance, must provide a valid and current driver’s license and consent to a DMV check.</w:t>
      </w:r>
    </w:p>
    <w:p>
      <w:pPr>
        <w:spacing w:after="0" w:line="121" w:lineRule="exact"/>
        <w:rPr>
          <w:sz w:val="20"/>
          <w:szCs w:val="20"/>
          <w:color w:val="auto"/>
        </w:rPr>
      </w:pPr>
    </w:p>
    <w:p>
      <w:pPr>
        <w:ind w:left="180" w:right="219"/>
        <w:spacing w:after="0" w:line="235" w:lineRule="auto"/>
        <w:rPr>
          <w:sz w:val="20"/>
          <w:szCs w:val="20"/>
          <w:color w:val="auto"/>
        </w:rPr>
      </w:pPr>
      <w:r>
        <w:rPr>
          <w:rFonts w:ascii="Arial" w:cs="Arial" w:eastAsia="Arial" w:hAnsi="Arial"/>
          <w:sz w:val="18"/>
          <w:szCs w:val="18"/>
          <w:color w:val="auto"/>
        </w:rPr>
        <w:t>To accept our offer, please sign and date this letter in the space provided below. If you accept our offer, your first day of employment will be September 28, 2020.</w:t>
      </w:r>
    </w:p>
    <w:p>
      <w:pPr>
        <w:spacing w:after="0" w:line="121" w:lineRule="exact"/>
        <w:rPr>
          <w:sz w:val="20"/>
          <w:szCs w:val="20"/>
          <w:color w:val="auto"/>
        </w:rPr>
      </w:pPr>
    </w:p>
    <w:p>
      <w:pPr>
        <w:ind w:left="180" w:right="219"/>
        <w:spacing w:after="0" w:line="235" w:lineRule="auto"/>
        <w:rPr>
          <w:sz w:val="20"/>
          <w:szCs w:val="20"/>
          <w:color w:val="auto"/>
        </w:rPr>
      </w:pPr>
      <w:r>
        <w:rPr>
          <w:rFonts w:ascii="Arial" w:cs="Arial" w:eastAsia="Arial" w:hAnsi="Arial"/>
          <w:sz w:val="18"/>
          <w:szCs w:val="18"/>
          <w:color w:val="auto"/>
        </w:rPr>
        <w:t>This offer of employment will terminate if it is not accepted, signed, and returned by midnight Pacific Time, September 2, 2020.</w:t>
      </w:r>
    </w:p>
    <w:p>
      <w:pPr>
        <w:spacing w:after="0" w:line="121" w:lineRule="exact"/>
        <w:rPr>
          <w:sz w:val="20"/>
          <w:szCs w:val="20"/>
          <w:color w:val="auto"/>
        </w:rPr>
      </w:pPr>
    </w:p>
    <w:p>
      <w:pPr>
        <w:ind w:left="180" w:right="419"/>
        <w:spacing w:after="0" w:line="235" w:lineRule="auto"/>
        <w:rPr>
          <w:sz w:val="20"/>
          <w:szCs w:val="20"/>
          <w:color w:val="auto"/>
        </w:rPr>
      </w:pPr>
      <w:r>
        <w:rPr>
          <w:rFonts w:ascii="Arial" w:cs="Arial" w:eastAsia="Arial" w:hAnsi="Arial"/>
          <w:sz w:val="18"/>
          <w:szCs w:val="18"/>
          <w:color w:val="auto"/>
        </w:rPr>
        <w:t>The Company is committed to hiring employees like you that have the courage, creativity, and experience to develop new ideas for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342900</wp:posOffset>
            </wp:positionV>
            <wp:extent cx="550354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ind w:left="180"/>
        <w:spacing w:after="0"/>
        <w:rPr>
          <w:sz w:val="20"/>
          <w:szCs w:val="20"/>
          <w:color w:val="auto"/>
        </w:rPr>
      </w:pPr>
      <w:r>
        <w:rPr>
          <w:rFonts w:ascii="Arial" w:cs="Arial" w:eastAsia="Arial" w:hAnsi="Arial"/>
          <w:sz w:val="18"/>
          <w:szCs w:val="18"/>
          <w:color w:val="auto"/>
        </w:rPr>
        <w:t>We look forward to your joining us!</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2040" w:val="left"/>
        </w:tabs>
        <w:rPr>
          <w:sz w:val="20"/>
          <w:szCs w:val="20"/>
          <w:color w:val="auto"/>
        </w:rPr>
      </w:pPr>
      <w:r>
        <w:rPr>
          <w:rFonts w:ascii="Arial" w:cs="Arial" w:eastAsia="Arial" w:hAnsi="Arial"/>
          <w:sz w:val="18"/>
          <w:szCs w:val="18"/>
          <w:color w:val="auto"/>
        </w:rPr>
        <w:t>/s/ Michael Hunkapiller</w:t>
      </w:r>
      <w:r>
        <w:rPr>
          <w:sz w:val="20"/>
          <w:szCs w:val="20"/>
          <w:color w:val="auto"/>
        </w:rPr>
        <w:tab/>
      </w:r>
      <w:r>
        <w:rPr>
          <w:rFonts w:ascii="Arial" w:cs="Arial" w:eastAsia="Arial" w:hAnsi="Arial"/>
          <w:sz w:val="16"/>
          <w:szCs w:val="16"/>
          <w:color w:val="auto"/>
        </w:rPr>
        <w:t>August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4423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Pacific Biosciences of California, Inc. By: Michael Hunkapiller, Ph.D., CEO &amp; President</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have read and accept this employment offer:</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/s/ Susan G. Kim</w:t>
      </w:r>
      <w:r>
        <w:rPr>
          <w:sz w:val="20"/>
          <w:szCs w:val="20"/>
          <w:color w:val="auto"/>
        </w:rPr>
        <w:tab/>
      </w:r>
      <w:r>
        <w:rPr>
          <w:rFonts w:ascii="Arial" w:cs="Arial" w:eastAsia="Arial" w:hAnsi="Arial"/>
          <w:sz w:val="15"/>
          <w:szCs w:val="15"/>
          <w:color w:val="auto"/>
        </w:rPr>
        <w:t>September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4474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146050</wp:posOffset>
            </wp:positionV>
            <wp:extent cx="550354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8" w:name="page59"/>
    <w:bookmarkEnd w:id="58"/>
    <w:p>
      <w:pPr>
        <w:ind w:left="8964"/>
        <w:spacing w:after="0"/>
        <w:rPr>
          <w:sz w:val="20"/>
          <w:szCs w:val="20"/>
          <w:color w:val="auto"/>
        </w:rPr>
      </w:pPr>
      <w:r>
        <w:rPr>
          <w:rFonts w:ascii="Arial" w:cs="Arial" w:eastAsia="Arial" w:hAnsi="Arial"/>
          <w:sz w:val="17"/>
          <w:szCs w:val="17"/>
          <w:b w:val="1"/>
          <w:bCs w:val="1"/>
          <w:color w:val="auto"/>
        </w:rPr>
        <w:t>Exhibit 10.3</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1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89" w:lineRule="exact"/>
        <w:rPr>
          <w:sz w:val="20"/>
          <w:szCs w:val="20"/>
          <w:color w:val="auto"/>
        </w:rPr>
      </w:pPr>
    </w:p>
    <w:p>
      <w:pPr>
        <w:jc w:val="both"/>
        <w:ind w:left="4" w:right="20" w:firstLine="648"/>
        <w:spacing w:after="0" w:line="224"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and entered into by and between Susan Kim (“</w:t>
      </w:r>
      <w:r>
        <w:rPr>
          <w:rFonts w:ascii="Arial" w:cs="Arial" w:eastAsia="Arial" w:hAnsi="Arial"/>
          <w:sz w:val="18"/>
          <w:szCs w:val="18"/>
          <w:i w:val="1"/>
          <w:iCs w:val="1"/>
          <w:color w:val="auto"/>
        </w:rPr>
        <w:t>Executive</w:t>
      </w:r>
      <w:r>
        <w:rPr>
          <w:rFonts w:ascii="Arial" w:cs="Arial" w:eastAsia="Arial" w:hAnsi="Arial"/>
          <w:sz w:val="18"/>
          <w:szCs w:val="18"/>
          <w:color w:val="auto"/>
        </w:rPr>
        <w:t>”) and Pacific Biosciences of California,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effective as of September 28, 2020 (the “</w:t>
      </w:r>
      <w:r>
        <w:rPr>
          <w:rFonts w:ascii="Arial" w:cs="Arial" w:eastAsia="Arial" w:hAnsi="Arial"/>
          <w:sz w:val="18"/>
          <w:szCs w:val="18"/>
          <w:i w:val="1"/>
          <w:iCs w:val="1"/>
          <w:color w:val="auto"/>
        </w:rPr>
        <w:t>Effective Date</w:t>
      </w:r>
      <w:r>
        <w:rPr>
          <w:rFonts w:ascii="Arial" w:cs="Arial" w:eastAsia="Arial" w:hAnsi="Arial"/>
          <w:sz w:val="18"/>
          <w:szCs w:val="18"/>
          <w:color w:val="auto"/>
        </w:rPr>
        <w:t>”).</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RECITALS</w:t>
      </w:r>
    </w:p>
    <w:p>
      <w:pPr>
        <w:spacing w:after="0" w:line="189" w:lineRule="exact"/>
        <w:rPr>
          <w:sz w:val="20"/>
          <w:szCs w:val="20"/>
          <w:color w:val="auto"/>
        </w:rPr>
      </w:pPr>
    </w:p>
    <w:p>
      <w:pPr>
        <w:jc w:val="both"/>
        <w:ind w:left="4" w:right="20" w:firstLine="644"/>
        <w:spacing w:after="0" w:line="214" w:lineRule="auto"/>
        <w:tabs>
          <w:tab w:leader="none" w:pos="1021"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61" w:lineRule="exact"/>
        <w:rPr>
          <w:rFonts w:ascii="Arial" w:cs="Arial" w:eastAsia="Arial" w:hAnsi="Arial"/>
          <w:sz w:val="18"/>
          <w:szCs w:val="18"/>
          <w:color w:val="auto"/>
        </w:rPr>
      </w:pPr>
    </w:p>
    <w:p>
      <w:pPr>
        <w:jc w:val="both"/>
        <w:ind w:left="4" w:firstLine="644"/>
        <w:spacing w:after="0" w:line="289" w:lineRule="auto"/>
        <w:tabs>
          <w:tab w:leader="none" w:pos="96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spacing w:after="0" w:line="123" w:lineRule="exact"/>
        <w:rPr>
          <w:rFonts w:ascii="Arial" w:cs="Arial" w:eastAsia="Arial" w:hAnsi="Arial"/>
          <w:sz w:val="16"/>
          <w:szCs w:val="16"/>
          <w:color w:val="auto"/>
        </w:rPr>
      </w:pPr>
    </w:p>
    <w:p>
      <w:pPr>
        <w:jc w:val="both"/>
        <w:ind w:left="4" w:right="20" w:firstLine="644"/>
        <w:spacing w:after="0" w:line="224" w:lineRule="auto"/>
        <w:tabs>
          <w:tab w:leader="none" w:pos="99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spacing w:after="0" w:line="162" w:lineRule="exact"/>
        <w:rPr>
          <w:rFonts w:ascii="Arial" w:cs="Arial" w:eastAsia="Arial" w:hAnsi="Arial"/>
          <w:sz w:val="18"/>
          <w:szCs w:val="18"/>
          <w:color w:val="auto"/>
        </w:rPr>
      </w:pPr>
    </w:p>
    <w:p>
      <w:pPr>
        <w:ind w:left="964" w:hanging="316"/>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189" w:lineRule="exact"/>
        <w:rPr>
          <w:sz w:val="20"/>
          <w:szCs w:val="20"/>
          <w:color w:val="auto"/>
        </w:rPr>
      </w:pPr>
    </w:p>
    <w:p>
      <w:pPr>
        <w:jc w:val="center"/>
        <w:ind w:right="256"/>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185" w:lineRule="exact"/>
        <w:rPr>
          <w:sz w:val="20"/>
          <w:szCs w:val="20"/>
          <w:color w:val="auto"/>
        </w:rPr>
      </w:pPr>
    </w:p>
    <w:p>
      <w:pPr>
        <w:jc w:val="both"/>
        <w:ind w:left="4" w:firstLine="644"/>
        <w:spacing w:after="0" w:line="223" w:lineRule="auto"/>
        <w:tabs>
          <w:tab w:leader="none" w:pos="102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three (3) years commencing on the Effective Date (the “</w:t>
      </w:r>
      <w:r>
        <w:rPr>
          <w:rFonts w:ascii="Arial" w:cs="Arial" w:eastAsia="Arial" w:hAnsi="Arial"/>
          <w:sz w:val="17"/>
          <w:szCs w:val="17"/>
          <w:i w:val="1"/>
          <w:iCs w:val="1"/>
          <w:color w:val="auto"/>
        </w:rPr>
        <w:t>Initial Term</w:t>
      </w:r>
      <w:r>
        <w:rPr>
          <w:rFonts w:ascii="Arial" w:cs="Arial" w:eastAsia="Arial" w:hAnsi="Arial"/>
          <w:sz w:val="17"/>
          <w:szCs w:val="17"/>
          <w:color w:val="auto"/>
        </w:rPr>
        <w:t>”). On the third anniversary of the Effective Date, this Agreement will renew automatically for additional one (1) year terms (each an “</w:t>
      </w:r>
      <w:r>
        <w:rPr>
          <w:rFonts w:ascii="Arial" w:cs="Arial" w:eastAsia="Arial" w:hAnsi="Arial"/>
          <w:sz w:val="17"/>
          <w:szCs w:val="17"/>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 3(a) or Section 3(b) during the term of this Agreement, the Agreement will not terminate until all of the obligations of the parties hereto with respect to this Agreement have been satisfied.</w:t>
      </w:r>
    </w:p>
    <w:p>
      <w:pPr>
        <w:spacing w:after="0" w:line="166" w:lineRule="exact"/>
        <w:rPr>
          <w:rFonts w:ascii="Arial" w:cs="Arial" w:eastAsia="Arial" w:hAnsi="Arial"/>
          <w:sz w:val="17"/>
          <w:szCs w:val="17"/>
          <w:color w:val="auto"/>
        </w:rPr>
      </w:pPr>
    </w:p>
    <w:p>
      <w:pPr>
        <w:jc w:val="both"/>
        <w:ind w:left="4" w:right="20" w:firstLine="644"/>
        <w:spacing w:after="0" w:line="232" w:lineRule="auto"/>
        <w:tabs>
          <w:tab w:leader="none" w:pos="1007"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62" w:lineRule="exact"/>
        <w:rPr>
          <w:rFonts w:ascii="Arial" w:cs="Arial" w:eastAsia="Arial" w:hAnsi="Arial"/>
          <w:sz w:val="17"/>
          <w:szCs w:val="17"/>
          <w:color w:val="auto"/>
        </w:rPr>
      </w:pPr>
    </w:p>
    <w:p>
      <w:pPr>
        <w:ind w:left="964" w:hanging="316"/>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4" w:firstLine="1292"/>
        <w:spacing w:after="0" w:line="224" w:lineRule="auto"/>
        <w:tabs>
          <w:tab w:leader="none" w:pos="1706"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Other than Death or Disability or Resignation for Good Reason Other than During the Change in Control Period</w:t>
      </w:r>
      <w:r>
        <w:rPr>
          <w:rFonts w:ascii="Arial" w:cs="Arial" w:eastAsia="Arial" w:hAnsi="Arial"/>
          <w:sz w:val="18"/>
          <w:szCs w:val="18"/>
          <w:color w:val="auto"/>
        </w:rPr>
        <w:t>. If a Qualifying Termination occurs other than during the Change in Control Period, then subject to Section 4, Executive will receive the following severance from the Company:</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Base Salary Severance</w:t>
      </w:r>
      <w:r>
        <w:rPr>
          <w:rFonts w:ascii="Arial" w:cs="Arial" w:eastAsia="Arial" w:hAnsi="Arial"/>
          <w:sz w:val="16"/>
          <w:szCs w:val="16"/>
          <w:color w:val="auto"/>
        </w:rPr>
        <w:t>. Executive will receive continuing payments of Salary, less any applicable withholdings, for a period of twelve</w:t>
      </w:r>
    </w:p>
    <w:p>
      <w:pPr>
        <w:spacing w:after="0" w:line="8" w:lineRule="exact"/>
        <w:rPr>
          <w:sz w:val="20"/>
          <w:szCs w:val="20"/>
          <w:color w:val="auto"/>
        </w:rPr>
      </w:pPr>
    </w:p>
    <w:p>
      <w:pPr>
        <w:ind w:left="4" w:right="20" w:hanging="4"/>
        <w:spacing w:after="0" w:line="226" w:lineRule="auto"/>
        <w:tabs>
          <w:tab w:leader="none" w:pos="366"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months following the date of such termination of employment, to be paid periodically in accordance with the Company’s normal payroll policies.</w:t>
      </w:r>
    </w:p>
    <w:p>
      <w:pPr>
        <w:spacing w:after="0" w:line="121"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i w:val="1"/>
          <w:iCs w:val="1"/>
          <w:color w:val="auto"/>
        </w:rPr>
        <w:t>COBRA</w:t>
      </w:r>
      <w:r>
        <w:rPr>
          <w:rFonts w:ascii="Arial" w:cs="Arial" w:eastAsia="Arial" w:hAnsi="Arial"/>
          <w:sz w:val="16"/>
          <w:szCs w:val="16"/>
          <w:color w:val="auto"/>
        </w:rPr>
        <w:t>”) for Executive and Executive’s eligible dependents (as applicable), within the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632650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59" w:name="page60"/>
    <w:bookmarkEnd w:id="59"/>
    <w:p>
      <w:pPr>
        <w:jc w:val="both"/>
        <w:ind w:right="20"/>
        <w:spacing w:after="0" w:line="214" w:lineRule="auto"/>
        <w:rPr>
          <w:sz w:val="20"/>
          <w:szCs w:val="20"/>
          <w:color w:val="auto"/>
        </w:rPr>
      </w:pPr>
      <w:r>
        <w:rPr>
          <w:rFonts w:ascii="Arial" w:cs="Arial" w:eastAsia="Arial" w:hAnsi="Arial"/>
          <w:sz w:val="18"/>
          <w:szCs w:val="18"/>
          <w:color w:val="auto"/>
        </w:rPr>
        <w:t>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Arial" w:cs="Arial" w:eastAsia="Arial" w:hAnsi="Arial"/>
          <w:sz w:val="18"/>
          <w:szCs w:val="18"/>
          <w:i w:val="1"/>
          <w:iCs w:val="1"/>
          <w:color w:val="auto"/>
        </w:rPr>
        <w:t>COBRA Severance</w:t>
      </w:r>
      <w:r>
        <w:rPr>
          <w:rFonts w:ascii="Arial" w:cs="Arial" w:eastAsia="Arial" w:hAnsi="Arial"/>
          <w:sz w:val="18"/>
          <w:szCs w:val="18"/>
          <w:color w:val="auto"/>
        </w:rPr>
        <w:t>”)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spacing w:after="0" w:line="162" w:lineRule="exact"/>
        <w:rPr>
          <w:sz w:val="20"/>
          <w:szCs w:val="20"/>
          <w:color w:val="auto"/>
        </w:rPr>
      </w:pPr>
    </w:p>
    <w:p>
      <w:pPr>
        <w:jc w:val="both"/>
        <w:ind w:firstLine="1292"/>
        <w:spacing w:after="0" w:line="224" w:lineRule="auto"/>
        <w:tabs>
          <w:tab w:leader="none" w:pos="17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Other than Death or Disability or Resignation for Good Reason On or Within Twelve Months Following a Change in Control</w:t>
      </w:r>
      <w:r>
        <w:rPr>
          <w:rFonts w:ascii="Arial" w:cs="Arial" w:eastAsia="Arial" w:hAnsi="Arial"/>
          <w:sz w:val="18"/>
          <w:szCs w:val="18"/>
          <w:color w:val="auto"/>
        </w:rPr>
        <w:t>. If a Qualifying Termination occurs during the Change in Control Period, then subject to Section 4, Executive will receive the following severance from the Company:</w:t>
      </w:r>
    </w:p>
    <w:p>
      <w:pPr>
        <w:spacing w:after="0" w:line="162" w:lineRule="exact"/>
        <w:rPr>
          <w:rFonts w:ascii="Arial" w:cs="Arial" w:eastAsia="Arial" w:hAnsi="Arial"/>
          <w:sz w:val="18"/>
          <w:szCs w:val="18"/>
          <w:color w:val="auto"/>
        </w:rPr>
      </w:pPr>
    </w:p>
    <w:p>
      <w:pPr>
        <w:jc w:val="both"/>
        <w:ind w:right="20" w:firstLine="2264"/>
        <w:spacing w:after="0" w:line="224" w:lineRule="auto"/>
        <w:tabs>
          <w:tab w:leader="none" w:pos="2672"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Base Salary Severance</w:t>
      </w:r>
      <w:r>
        <w:rPr>
          <w:rFonts w:ascii="Arial" w:cs="Arial" w:eastAsia="Arial" w:hAnsi="Arial"/>
          <w:sz w:val="18"/>
          <w:szCs w:val="18"/>
          <w:color w:val="auto"/>
        </w:rPr>
        <w:t>. Executive will receive continuing payments of Salary, less any applicable withholdings, for a period of twelve (12) months following the date of such termination of employment, to be paid periodically in accordance with the Company’s normal payroll policies.</w:t>
      </w:r>
    </w:p>
    <w:p>
      <w:pPr>
        <w:spacing w:after="0" w:line="162" w:lineRule="exact"/>
        <w:rPr>
          <w:rFonts w:ascii="Arial" w:cs="Arial" w:eastAsia="Arial" w:hAnsi="Arial"/>
          <w:sz w:val="18"/>
          <w:szCs w:val="18"/>
          <w:color w:val="auto"/>
        </w:rPr>
      </w:pPr>
    </w:p>
    <w:p>
      <w:pPr>
        <w:jc w:val="both"/>
        <w:ind w:right="20" w:firstLine="2264"/>
        <w:spacing w:after="0" w:line="233" w:lineRule="auto"/>
        <w:tabs>
          <w:tab w:leader="none" w:pos="2722"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Continued Employee Benefits</w:t>
      </w:r>
      <w:r>
        <w:rPr>
          <w:rFonts w:ascii="Arial" w:cs="Arial" w:eastAsia="Arial" w:hAnsi="Arial"/>
          <w:sz w:val="16"/>
          <w:szCs w:val="16"/>
          <w:color w:val="auto"/>
        </w:rPr>
        <w:t>. If Executive elects continuation coverage pursuant to COBRA for Executive and Executive’s eligible dependents (as applicable), within the time period prescribed pursuant to COBRA, the Company will provide the COBRA Severance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w:t>
      </w:r>
    </w:p>
    <w:p>
      <w:pPr>
        <w:spacing w:after="0"/>
        <w:rPr>
          <w:rFonts w:ascii="Arial" w:cs="Arial" w:eastAsia="Arial" w:hAnsi="Arial"/>
          <w:sz w:val="16"/>
          <w:szCs w:val="16"/>
          <w:color w:val="auto"/>
        </w:rPr>
      </w:pPr>
      <w:r>
        <w:rPr>
          <w:rFonts w:ascii="Arial" w:cs="Arial" w:eastAsia="Arial" w:hAnsi="Arial"/>
          <w:sz w:val="18"/>
          <w:szCs w:val="18"/>
          <w:color w:val="auto"/>
        </w:rPr>
        <w:t>COBRA.</w:t>
      </w:r>
    </w:p>
    <w:p>
      <w:pPr>
        <w:spacing w:after="0" w:line="168" w:lineRule="exact"/>
        <w:rPr>
          <w:rFonts w:ascii="Arial" w:cs="Arial" w:eastAsia="Arial" w:hAnsi="Arial"/>
          <w:sz w:val="16"/>
          <w:szCs w:val="16"/>
          <w:color w:val="auto"/>
        </w:rPr>
      </w:pPr>
    </w:p>
    <w:p>
      <w:pPr>
        <w:jc w:val="both"/>
        <w:ind w:firstLine="2264"/>
        <w:spacing w:after="0" w:line="226" w:lineRule="auto"/>
        <w:tabs>
          <w:tab w:leader="none" w:pos="2758" w:val="left"/>
        </w:tabs>
        <w:numPr>
          <w:ilvl w:val="2"/>
          <w:numId w:val="9"/>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One hundred percent (100%) of the unvested portion of the Executive’s then-outstanding equity awards (the “</w:t>
      </w:r>
      <w:r>
        <w:rPr>
          <w:rFonts w:ascii="Arial" w:cs="Arial" w:eastAsia="Arial" w:hAnsi="Arial"/>
          <w:sz w:val="17"/>
          <w:szCs w:val="17"/>
          <w:i w:val="1"/>
          <w:iCs w:val="1"/>
          <w:color w:val="auto"/>
        </w:rPr>
        <w:t>Awards</w:t>
      </w:r>
      <w:r>
        <w:rPr>
          <w:rFonts w:ascii="Arial" w:cs="Arial" w:eastAsia="Arial" w:hAnsi="Arial"/>
          <w:sz w:val="17"/>
          <w:szCs w:val="17"/>
          <w:color w:val="auto"/>
        </w:rPr>
        <w:t>”) will immediately vest and, to the extent applicable, become exercisable, as of the date of such termination. To the extent that an Award is subject to performance-based vesting at the time of such termination, such performance goals will be deemed achieved at one hundred percent (100%) of target levels and all other terms and conditions met, unless specifically provided otherwise under the applicable Award agreement. The Awards will remain exercisable, to the extent applicable, following Executive’s termination for the period prescribed in the applicable equity plan and agreement for each Award.</w:t>
      </w:r>
    </w:p>
    <w:p>
      <w:pPr>
        <w:spacing w:after="0" w:line="164" w:lineRule="exact"/>
        <w:rPr>
          <w:rFonts w:ascii="Arial" w:cs="Arial" w:eastAsia="Arial" w:hAnsi="Arial"/>
          <w:sz w:val="17"/>
          <w:szCs w:val="17"/>
          <w:color w:val="auto"/>
        </w:rPr>
      </w:pPr>
    </w:p>
    <w:p>
      <w:pPr>
        <w:jc w:val="both"/>
        <w:ind w:firstLine="1292"/>
        <w:spacing w:after="0" w:line="216" w:lineRule="auto"/>
        <w:tabs>
          <w:tab w:leader="none" w:pos="185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Executive’s employment with the Company terminates other than as set forth in Section 3(a) or 3(b) above, then (i) all vesting will terminate immediately with respect to Executive’s outstanding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162" w:lineRule="exact"/>
        <w:rPr>
          <w:rFonts w:ascii="Arial" w:cs="Arial" w:eastAsia="Arial" w:hAnsi="Arial"/>
          <w:sz w:val="18"/>
          <w:szCs w:val="18"/>
          <w:color w:val="auto"/>
        </w:rPr>
      </w:pPr>
    </w:p>
    <w:p>
      <w:pPr>
        <w:jc w:val="both"/>
        <w:ind w:firstLine="1292"/>
        <w:spacing w:after="0" w:line="224" w:lineRule="auto"/>
        <w:tabs>
          <w:tab w:leader="none" w:pos="169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Accrued Amounts</w:t>
      </w:r>
      <w:r>
        <w:rPr>
          <w:rFonts w:ascii="Arial" w:cs="Arial" w:eastAsia="Arial" w:hAnsi="Arial"/>
          <w:sz w:val="18"/>
          <w:szCs w:val="18"/>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62" w:lineRule="exact"/>
        <w:rPr>
          <w:rFonts w:ascii="Arial" w:cs="Arial" w:eastAsia="Arial" w:hAnsi="Arial"/>
          <w:sz w:val="18"/>
          <w:szCs w:val="18"/>
          <w:color w:val="auto"/>
        </w:rPr>
      </w:pPr>
    </w:p>
    <w:p>
      <w:pPr>
        <w:jc w:val="both"/>
        <w:ind w:right="20" w:firstLine="1292"/>
        <w:spacing w:after="0" w:line="214" w:lineRule="auto"/>
        <w:tabs>
          <w:tab w:leader="none" w:pos="174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Non-duplication of Payment or Benefits</w:t>
      </w:r>
      <w:r>
        <w:rPr>
          <w:rFonts w:ascii="Arial" w:cs="Arial" w:eastAsia="Arial" w:hAnsi="Arial"/>
          <w:sz w:val="18"/>
          <w:szCs w:val="18"/>
          <w:color w:val="auto"/>
        </w:rPr>
        <w:t>. Notwithstanding any provision of this Agreement to the contrary, if Executive is entitled to any cash severance, continued health coverage severance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8"/>
          <w:szCs w:val="18"/>
          <w:u w:val="single" w:color="auto"/>
          <w:color w:val="auto"/>
        </w:rPr>
        <w:t>Other Benefits</w:t>
      </w:r>
      <w:r>
        <w:rPr>
          <w:rFonts w:ascii="Arial" w:cs="Arial" w:eastAsia="Arial" w:hAnsi="Arial"/>
          <w:sz w:val="18"/>
          <w:szCs w:val="18"/>
          <w:color w:val="auto"/>
        </w:rPr>
        <w:t>”), then the corresponding severance payments and benefits under this Agreement will be reduced by the amount of Other Benefits paid or provided to Executive.</w:t>
      </w:r>
    </w:p>
    <w:p>
      <w:pPr>
        <w:spacing w:after="0" w:line="161" w:lineRule="exact"/>
        <w:rPr>
          <w:rFonts w:ascii="Arial" w:cs="Arial" w:eastAsia="Arial" w:hAnsi="Arial"/>
          <w:sz w:val="18"/>
          <w:szCs w:val="18"/>
          <w:color w:val="auto"/>
        </w:rPr>
      </w:pPr>
    </w:p>
    <w:p>
      <w:pPr>
        <w:ind w:left="960" w:hanging="3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right="20" w:firstLine="1292"/>
        <w:spacing w:after="0" w:line="236" w:lineRule="auto"/>
        <w:tabs>
          <w:tab w:leader="none" w:pos="1702"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Release of Claims Agreement</w:t>
      </w:r>
      <w:r>
        <w:rPr>
          <w:rFonts w:ascii="Arial" w:cs="Arial" w:eastAsia="Arial" w:hAnsi="Arial"/>
          <w:sz w:val="16"/>
          <w:szCs w:val="16"/>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6"/>
          <w:szCs w:val="16"/>
          <w:i w:val="1"/>
          <w:iCs w:val="1"/>
          <w:color w:val="auto"/>
        </w:rPr>
        <w:t>Release</w:t>
      </w:r>
      <w:r>
        <w:rPr>
          <w:rFonts w:ascii="Arial" w:cs="Arial" w:eastAsia="Arial" w:hAnsi="Arial"/>
          <w:sz w:val="16"/>
          <w:szCs w:val="16"/>
          <w:color w:val="auto"/>
        </w:rPr>
        <w:t>”), which must become effective and irrevocable no later than the sixtieth (60</w:t>
      </w:r>
      <w:r>
        <w:rPr>
          <w:rFonts w:ascii="Arial" w:cs="Arial" w:eastAsia="Arial" w:hAnsi="Arial"/>
          <w:sz w:val="7"/>
          <w:szCs w:val="7"/>
          <w:color w:val="auto"/>
        </w:rPr>
        <w:t>th</w:t>
      </w:r>
      <w:r>
        <w:rPr>
          <w:rFonts w:ascii="Arial" w:cs="Arial" w:eastAsia="Arial" w:hAnsi="Arial"/>
          <w:sz w:val="16"/>
          <w:szCs w:val="16"/>
          <w:color w:val="auto"/>
        </w:rPr>
        <w:t>) day following Executive’s termination of employment (the “</w:t>
      </w:r>
      <w:r>
        <w:rPr>
          <w:rFonts w:ascii="Arial" w:cs="Arial" w:eastAsia="Arial" w:hAnsi="Arial"/>
          <w:sz w:val="16"/>
          <w:szCs w:val="16"/>
          <w:i w:val="1"/>
          <w:iCs w:val="1"/>
          <w:color w:val="auto"/>
        </w:rPr>
        <w:t>Release Deadline Date</w:t>
      </w:r>
      <w:r>
        <w:rPr>
          <w:rFonts w:ascii="Arial" w:cs="Arial" w:eastAsia="Arial" w:hAnsi="Arial"/>
          <w:sz w:val="16"/>
          <w:szCs w:val="16"/>
          <w:color w:val="auto"/>
        </w:rPr>
        <w:t>”). If the Release does not become effective and irrevocable by the Release Deadline Date, Executive will forfeit any right to severance payments or benefits under this Agreement. No severance payments and benefits under Section 3(a) or 3(b) of this 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2650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40"/>
          </w:cols>
          <w:pgMar w:left="980" w:top="112" w:right="979" w:bottom="1440" w:gutter="0" w:footer="0" w:header="0"/>
        </w:sectPr>
      </w:pPr>
    </w:p>
    <w:bookmarkStart w:id="60" w:name="page61"/>
    <w:bookmarkEnd w:id="60"/>
    <w:p>
      <w:pPr>
        <w:jc w:val="both"/>
        <w:ind w:right="20"/>
        <w:spacing w:after="0" w:line="249" w:lineRule="auto"/>
        <w:rPr>
          <w:sz w:val="20"/>
          <w:szCs w:val="20"/>
          <w:color w:val="auto"/>
        </w:rPr>
      </w:pPr>
      <w:r>
        <w:rPr>
          <w:rFonts w:ascii="Arial" w:cs="Arial" w:eastAsia="Arial" w:hAnsi="Arial"/>
          <w:sz w:val="16"/>
          <w:szCs w:val="16"/>
          <w:color w:val="auto"/>
        </w:rPr>
        <w:t>that accelerate vesting under this Agreement (“</w:t>
      </w:r>
      <w:r>
        <w:rPr>
          <w:rFonts w:ascii="Arial" w:cs="Arial" w:eastAsia="Arial" w:hAnsi="Arial"/>
          <w:sz w:val="16"/>
          <w:szCs w:val="16"/>
          <w:i w:val="1"/>
          <w:iCs w:val="1"/>
          <w:color w:val="auto"/>
        </w:rPr>
        <w:t>Full Value Awards</w:t>
      </w:r>
      <w:r>
        <w:rPr>
          <w:rFonts w:ascii="Arial" w:cs="Arial" w:eastAsia="Arial" w:hAnsi="Arial"/>
          <w:sz w:val="16"/>
          <w:szCs w:val="16"/>
          <w:color w:val="auto"/>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Arial" w:cs="Arial" w:eastAsia="Arial" w:hAnsi="Arial"/>
          <w:sz w:val="16"/>
          <w:szCs w:val="16"/>
          <w:i w:val="1"/>
          <w:iCs w:val="1"/>
          <w:color w:val="auto"/>
        </w:rPr>
        <w:t>Full Value</w:t>
      </w:r>
      <w:r>
        <w:rPr>
          <w:rFonts w:ascii="Arial" w:cs="Arial" w:eastAsia="Arial" w:hAnsi="Arial"/>
          <w:sz w:val="16"/>
          <w:szCs w:val="16"/>
          <w:color w:val="auto"/>
        </w:rPr>
        <w:t xml:space="preserve"> </w:t>
      </w:r>
      <w:r>
        <w:rPr>
          <w:rFonts w:ascii="Arial" w:cs="Arial" w:eastAsia="Arial" w:hAnsi="Arial"/>
          <w:sz w:val="16"/>
          <w:szCs w:val="16"/>
          <w:i w:val="1"/>
          <w:iCs w:val="1"/>
          <w:color w:val="auto"/>
        </w:rPr>
        <w:t>Settlement Provisions</w:t>
      </w:r>
      <w:r>
        <w:rPr>
          <w:rFonts w:ascii="Arial" w:cs="Arial" w:eastAsia="Arial" w:hAnsi="Arial"/>
          <w:sz w:val="16"/>
          <w:szCs w:val="16"/>
          <w:color w:val="auto"/>
        </w:rPr>
        <w:t>”), on a date within ten (10) days following the date the Release becomes effective and irrevocable.</w:t>
      </w:r>
    </w:p>
    <w:p>
      <w:pPr>
        <w:spacing w:after="0" w:line="154" w:lineRule="exact"/>
        <w:rPr>
          <w:sz w:val="20"/>
          <w:szCs w:val="20"/>
          <w:color w:val="auto"/>
        </w:rPr>
      </w:pPr>
    </w:p>
    <w:p>
      <w:pPr>
        <w:jc w:val="both"/>
        <w:ind w:firstLine="1292"/>
        <w:spacing w:after="0" w:line="237" w:lineRule="auto"/>
        <w:tabs>
          <w:tab w:leader="none" w:pos="168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spacing w:after="0" w:line="163" w:lineRule="exact"/>
        <w:rPr>
          <w:rFonts w:ascii="Arial" w:cs="Arial" w:eastAsia="Arial" w:hAnsi="Arial"/>
          <w:sz w:val="17"/>
          <w:szCs w:val="17"/>
          <w:color w:val="auto"/>
        </w:rPr>
      </w:pPr>
    </w:p>
    <w:p>
      <w:pPr>
        <w:jc w:val="both"/>
        <w:ind w:firstLine="1292"/>
        <w:spacing w:after="0" w:line="219" w:lineRule="auto"/>
        <w:tabs>
          <w:tab w:leader="none" w:pos="167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COBRA Severance Limitations</w:t>
      </w:r>
      <w:r>
        <w:rPr>
          <w:rFonts w:ascii="Arial" w:cs="Arial" w:eastAsia="Arial" w:hAnsi="Arial"/>
          <w:sz w:val="17"/>
          <w:szCs w:val="17"/>
          <w:color w:val="auto"/>
        </w:rPr>
        <w:t>. Notwithstanding the provisions of Sections 3(a)(ii) and 3(b)(ii), 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3(a)(i) 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Arial" w:cs="Arial" w:eastAsia="Arial" w:hAnsi="Arial"/>
          <w:sz w:val="17"/>
          <w:szCs w:val="17"/>
          <w:i w:val="1"/>
          <w:iCs w:val="1"/>
          <w:color w:val="auto"/>
        </w:rPr>
        <w:t>Taxable Payment</w:t>
      </w:r>
      <w:r>
        <w:rPr>
          <w:rFonts w:ascii="Arial" w:cs="Arial" w:eastAsia="Arial" w:hAnsi="Arial"/>
          <w:sz w:val="17"/>
          <w:szCs w:val="17"/>
          <w:color w:val="auto"/>
        </w:rPr>
        <w:t>”). For the avoidance of doubt, the Taxable Payment may be used for any purpose, including, but not limited to continuation coverage under 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spacing w:after="0" w:line="172" w:lineRule="exact"/>
        <w:rPr>
          <w:rFonts w:ascii="Arial" w:cs="Arial" w:eastAsia="Arial" w:hAnsi="Arial"/>
          <w:sz w:val="17"/>
          <w:szCs w:val="17"/>
          <w:color w:val="auto"/>
        </w:rPr>
      </w:pPr>
    </w:p>
    <w:p>
      <w:pPr>
        <w:ind w:left="1680" w:hanging="388"/>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2264"/>
        <w:spacing w:after="0" w:line="181" w:lineRule="exact"/>
        <w:tabs>
          <w:tab w:leader="none" w:pos="2726"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6"/>
          <w:szCs w:val="16"/>
          <w:i w:val="1"/>
          <w:iCs w:val="1"/>
          <w:color w:val="auto"/>
        </w:rPr>
        <w:t>Deferred Payments</w:t>
      </w:r>
      <w:r>
        <w:rPr>
          <w:rFonts w:ascii="Arial" w:cs="Arial" w:eastAsia="Arial" w:hAnsi="Arial"/>
          <w:sz w:val="16"/>
          <w:szCs w:val="16"/>
          <w:color w:val="auto"/>
        </w:rPr>
        <w:t>”) will be payable until Executive has a “separation from service” within the meaning of Section 409A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and the Treasury Regulations and guidance thereunder, and any applicable state law equivalent, as each may be promulgated, amended or modified from time to time (“</w:t>
      </w:r>
      <w:r>
        <w:rPr>
          <w:rFonts w:ascii="Arial" w:cs="Arial" w:eastAsia="Arial" w:hAnsi="Arial"/>
          <w:sz w:val="16"/>
          <w:szCs w:val="16"/>
          <w:i w:val="1"/>
          <w:iCs w:val="1"/>
          <w:color w:val="auto"/>
        </w:rPr>
        <w:t>Section 409A</w:t>
      </w:r>
      <w:r>
        <w:rPr>
          <w:rFonts w:ascii="Arial" w:cs="Arial" w:eastAsia="Arial" w:hAnsi="Arial"/>
          <w:sz w:val="16"/>
          <w:szCs w:val="16"/>
          <w:color w:val="auto"/>
        </w:rPr>
        <w:t>”). Similarly, no severance payable to Executive, if any, pursuant to this Agreement that otherwise would be exempt from Section 409A pursuant to Treasury Regulations Section 1.409A</w:t>
      </w:r>
      <w:r>
        <w:rPr>
          <w:rFonts w:ascii="MS PGothic" w:cs="MS PGothic" w:eastAsia="MS PGothic" w:hAnsi="MS PGothic"/>
          <w:sz w:val="16"/>
          <w:szCs w:val="16"/>
          <w:color w:val="auto"/>
        </w:rPr>
        <w:t>‑</w:t>
      </w:r>
      <w:r>
        <w:rPr>
          <w:rFonts w:ascii="Arial" w:cs="Arial" w:eastAsia="Arial" w:hAnsi="Arial"/>
          <w:sz w:val="16"/>
          <w:szCs w:val="16"/>
          <w:color w:val="auto"/>
        </w:rPr>
        <w:t>1(b)(9) will be payable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61" w:lineRule="exact"/>
        <w:rPr>
          <w:rFonts w:ascii="Arial" w:cs="Arial" w:eastAsia="Arial" w:hAnsi="Arial"/>
          <w:sz w:val="16"/>
          <w:szCs w:val="16"/>
          <w:color w:val="auto"/>
        </w:rPr>
      </w:pPr>
    </w:p>
    <w:p>
      <w:pPr>
        <w:jc w:val="both"/>
        <w:ind w:firstLine="2264"/>
        <w:spacing w:after="0" w:line="239" w:lineRule="auto"/>
        <w:tabs>
          <w:tab w:leader="none" w:pos="278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7"/>
          <w:szCs w:val="7"/>
          <w:color w:val="auto"/>
        </w:rPr>
        <w:t>th</w:t>
      </w:r>
      <w:r>
        <w:rPr>
          <w:rFonts w:ascii="Arial" w:cs="Arial" w:eastAsia="Arial" w:hAnsi="Arial"/>
          <w:sz w:val="16"/>
          <w:szCs w:val="16"/>
          <w:color w:val="auto"/>
        </w:rPr>
        <w:t>)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7"/>
          <w:szCs w:val="7"/>
          <w:color w:val="auto"/>
        </w:rPr>
        <w:t>th</w:t>
      </w:r>
      <w:r>
        <w:rPr>
          <w:rFonts w:ascii="Arial" w:cs="Arial" w:eastAsia="Arial" w:hAnsi="Arial"/>
          <w:sz w:val="16"/>
          <w:szCs w:val="16"/>
          <w:color w:val="auto"/>
        </w:rPr>
        <w:t>) day following Executive’s separation from service and the remaining payments shall be made as provided in this Agreement.</w:t>
      </w:r>
    </w:p>
    <w:p>
      <w:pPr>
        <w:spacing w:after="0" w:line="161" w:lineRule="exact"/>
        <w:rPr>
          <w:rFonts w:ascii="Arial" w:cs="Arial" w:eastAsia="Arial" w:hAnsi="Arial"/>
          <w:sz w:val="16"/>
          <w:szCs w:val="16"/>
          <w:color w:val="auto"/>
        </w:rPr>
      </w:pPr>
    </w:p>
    <w:p>
      <w:pPr>
        <w:jc w:val="both"/>
        <w:ind w:right="20" w:firstLine="2264"/>
        <w:spacing w:after="0" w:line="236" w:lineRule="auto"/>
        <w:tabs>
          <w:tab w:leader="none" w:pos="2745" w:val="left"/>
        </w:tabs>
        <w:numPr>
          <w:ilvl w:val="1"/>
          <w:numId w:val="11"/>
        </w:numPr>
        <w:rPr>
          <w:rFonts w:ascii="Arial" w:cs="Arial" w:eastAsia="Arial" w:hAnsi="Arial"/>
          <w:sz w:val="16"/>
          <w:szCs w:val="16"/>
          <w:color w:val="auto"/>
        </w:rPr>
      </w:pPr>
      <w:r>
        <w:rPr>
          <w:rFonts w:ascii="Arial" w:cs="Arial" w:eastAsia="Arial" w:hAnsi="Arial"/>
          <w:sz w:val="16"/>
          <w:szCs w:val="16"/>
          <w:color w:val="auto"/>
        </w:rPr>
        <w:t>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265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61" w:name="page62"/>
    <w:bookmarkEnd w:id="61"/>
    <w:p>
      <w:pPr>
        <w:jc w:val="both"/>
        <w:ind w:right="20" w:firstLine="2264"/>
        <w:spacing w:after="0" w:line="216" w:lineRule="auto"/>
        <w:tabs>
          <w:tab w:leader="none" w:pos="2735"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spacing w:after="0" w:line="162" w:lineRule="exact"/>
        <w:rPr>
          <w:rFonts w:ascii="Arial" w:cs="Arial" w:eastAsia="Arial" w:hAnsi="Arial"/>
          <w:sz w:val="18"/>
          <w:szCs w:val="18"/>
          <w:color w:val="auto"/>
        </w:rPr>
      </w:pPr>
    </w:p>
    <w:p>
      <w:pPr>
        <w:jc w:val="both"/>
        <w:ind w:right="20" w:firstLine="2264"/>
        <w:spacing w:after="0" w:line="211" w:lineRule="auto"/>
        <w:tabs>
          <w:tab w:leader="none" w:pos="275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spacing w:after="0" w:line="164" w:lineRule="exact"/>
        <w:rPr>
          <w:rFonts w:ascii="Arial" w:cs="Arial" w:eastAsia="Arial" w:hAnsi="Arial"/>
          <w:sz w:val="18"/>
          <w:szCs w:val="18"/>
          <w:color w:val="auto"/>
        </w:rPr>
      </w:pPr>
    </w:p>
    <w:p>
      <w:pPr>
        <w:jc w:val="both"/>
        <w:ind w:right="20" w:firstLine="644"/>
        <w:spacing w:after="0" w:line="232" w:lineRule="auto"/>
        <w:tabs>
          <w:tab w:leader="none" w:pos="96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 In the event that the severance and other benefits provided for in this Agreement or otherwise that Executive would receive from the Company or any other party whether in connection with the provisions of this Agreement or otherwise (the “</w:t>
      </w:r>
      <w:r>
        <w:rPr>
          <w:rFonts w:ascii="Arial" w:cs="Arial" w:eastAsia="Arial" w:hAnsi="Arial"/>
          <w:sz w:val="17"/>
          <w:szCs w:val="17"/>
          <w:i w:val="1"/>
          <w:iCs w:val="1"/>
          <w:color w:val="auto"/>
        </w:rPr>
        <w:t>Payments</w:t>
      </w:r>
      <w:r>
        <w:rPr>
          <w:rFonts w:ascii="Arial" w:cs="Arial" w:eastAsia="Arial" w:hAnsi="Arial"/>
          <w:sz w:val="17"/>
          <w:szCs w:val="17"/>
          <w:color w:val="auto"/>
        </w:rPr>
        <w:t>”) would (i) constitute “parachute payments” within the meaning of Section 280G of the Code and (ii) but for this Section 5, would be subject to the excise tax imposed by Section 4999 of the Code, then the Payments will be either:</w:t>
      </w:r>
    </w:p>
    <w:p>
      <w:pPr>
        <w:spacing w:after="0" w:line="162" w:lineRule="exact"/>
        <w:rPr>
          <w:rFonts w:ascii="Arial" w:cs="Arial" w:eastAsia="Arial" w:hAnsi="Arial"/>
          <w:sz w:val="17"/>
          <w:szCs w:val="17"/>
          <w:color w:val="auto"/>
        </w:rPr>
      </w:pPr>
    </w:p>
    <w:p>
      <w:pPr>
        <w:ind w:left="1680" w:hanging="388"/>
        <w:spacing w:after="0"/>
        <w:tabs>
          <w:tab w:leader="none" w:pos="1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84" w:lineRule="exact"/>
        <w:rPr>
          <w:rFonts w:ascii="Arial" w:cs="Arial" w:eastAsia="Arial" w:hAnsi="Arial"/>
          <w:sz w:val="18"/>
          <w:szCs w:val="18"/>
          <w:color w:val="auto"/>
        </w:rPr>
      </w:pPr>
    </w:p>
    <w:p>
      <w:pPr>
        <w:ind w:left="1940" w:hanging="648"/>
        <w:spacing w:after="0" w:line="235" w:lineRule="auto"/>
        <w:tabs>
          <w:tab w:leader="none" w:pos="1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delivered as to such lesser extent which would result in no portion of such Payments being subject to excise tax under Section 4999 of the Code,</w:t>
      </w:r>
    </w:p>
    <w:p>
      <w:pPr>
        <w:spacing w:after="0" w:line="16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169" w:lineRule="exact"/>
        <w:rPr>
          <w:sz w:val="20"/>
          <w:szCs w:val="20"/>
          <w:color w:val="auto"/>
        </w:rPr>
      </w:pPr>
    </w:p>
    <w:p>
      <w:pPr>
        <w:jc w:val="both"/>
        <w:ind w:right="20" w:firstLine="1296"/>
        <w:spacing w:after="0" w:line="222"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a nationally recognized accounting or valuation firm (the “</w:t>
      </w:r>
      <w:r>
        <w:rPr>
          <w:rFonts w:ascii="Arial" w:cs="Arial" w:eastAsia="Arial" w:hAnsi="Arial"/>
          <w:sz w:val="17"/>
          <w:szCs w:val="17"/>
          <w:i w:val="1"/>
          <w:iCs w:val="1"/>
          <w:color w:val="auto"/>
        </w:rPr>
        <w:t>Firm</w:t>
      </w:r>
      <w:r>
        <w:rPr>
          <w:rFonts w:ascii="Arial" w:cs="Arial" w:eastAsia="Arial" w:hAnsi="Arial"/>
          <w:sz w:val="17"/>
          <w:szCs w:val="17"/>
          <w:color w:val="auto"/>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spacing w:after="0" w:line="168" w:lineRule="exact"/>
        <w:rPr>
          <w:sz w:val="20"/>
          <w:szCs w:val="20"/>
          <w:color w:val="auto"/>
        </w:rPr>
      </w:pPr>
    </w:p>
    <w:p>
      <w:pPr>
        <w:ind w:right="20" w:firstLine="644"/>
        <w:spacing w:after="0" w:line="235"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For purposes of this Agreement, the following terms referred to in this Agreement will have the following meanings:</w:t>
      </w:r>
    </w:p>
    <w:p>
      <w:pPr>
        <w:spacing w:after="0" w:line="161" w:lineRule="exact"/>
        <w:rPr>
          <w:rFonts w:ascii="Arial" w:cs="Arial" w:eastAsia="Arial" w:hAnsi="Arial"/>
          <w:sz w:val="18"/>
          <w:szCs w:val="18"/>
          <w:color w:val="auto"/>
        </w:rPr>
      </w:pPr>
    </w:p>
    <w:p>
      <w:pPr>
        <w:jc w:val="both"/>
        <w:ind w:right="20" w:firstLine="1292"/>
        <w:spacing w:after="0" w:line="232" w:lineRule="auto"/>
        <w:tabs>
          <w:tab w:leader="none" w:pos="1743"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i w:val="1"/>
          <w:iCs w:val="1"/>
          <w:color w:val="auto"/>
        </w:rPr>
        <w:t>Cause</w:t>
      </w:r>
      <w:r>
        <w:rPr>
          <w:rFonts w:ascii="Arial" w:cs="Arial" w:eastAsia="Arial" w:hAnsi="Arial"/>
          <w:sz w:val="17"/>
          <w:szCs w:val="17"/>
          <w:color w:val="auto"/>
        </w:rPr>
        <w:t>” 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 (iv) intentional and material damage to the Company’s property; or (v) material breach of the Company’s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2650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62" w:name="page63"/>
    <w:bookmarkEnd w:id="62"/>
    <w:p>
      <w:pPr>
        <w:ind w:left="1304"/>
        <w:spacing w:after="0"/>
        <w:tabs>
          <w:tab w:leader="none" w:pos="1764"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u w:val="single" w:color="auto"/>
          <w:color w:val="auto"/>
        </w:rPr>
        <w:t>Change in Control</w:t>
      </w:r>
      <w:r>
        <w:rPr>
          <w:rFonts w:ascii="Arial" w:cs="Arial" w:eastAsia="Arial" w:hAnsi="Arial"/>
          <w:sz w:val="17"/>
          <w:szCs w:val="17"/>
          <w:color w:val="auto"/>
        </w:rPr>
        <w:t>.  “</w:t>
      </w:r>
      <w:r>
        <w:rPr>
          <w:rFonts w:ascii="Arial" w:cs="Arial" w:eastAsia="Arial" w:hAnsi="Arial"/>
          <w:sz w:val="17"/>
          <w:szCs w:val="17"/>
          <w:i w:val="1"/>
          <w:iCs w:val="1"/>
          <w:color w:val="auto"/>
        </w:rPr>
        <w:t>Change in Control</w:t>
      </w:r>
      <w:r>
        <w:rPr>
          <w:rFonts w:ascii="Arial" w:cs="Arial" w:eastAsia="Arial" w:hAnsi="Arial"/>
          <w:sz w:val="17"/>
          <w:szCs w:val="17"/>
          <w:color w:val="auto"/>
        </w:rPr>
        <w:t>” means the first occurrence of any of the following on or after the</w:t>
      </w:r>
    </w:p>
    <w:p>
      <w:pPr>
        <w:ind w:left="4"/>
        <w:spacing w:after="0"/>
        <w:rPr>
          <w:sz w:val="20"/>
          <w:szCs w:val="20"/>
          <w:color w:val="auto"/>
        </w:rPr>
      </w:pPr>
      <w:r>
        <w:rPr>
          <w:rFonts w:ascii="Arial" w:cs="Arial" w:eastAsia="Arial" w:hAnsi="Arial"/>
          <w:sz w:val="18"/>
          <w:szCs w:val="18"/>
          <w:color w:val="auto"/>
        </w:rPr>
        <w:t>Effective Date:</w:t>
      </w:r>
    </w:p>
    <w:p>
      <w:pPr>
        <w:spacing w:after="0" w:line="169" w:lineRule="exact"/>
        <w:rPr>
          <w:sz w:val="20"/>
          <w:szCs w:val="20"/>
          <w:color w:val="auto"/>
        </w:rPr>
      </w:pPr>
    </w:p>
    <w:p>
      <w:pPr>
        <w:jc w:val="both"/>
        <w:ind w:left="4" w:firstLine="2264"/>
        <w:spacing w:after="0" w:line="221" w:lineRule="auto"/>
        <w:tabs>
          <w:tab w:leader="none" w:pos="2662"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i w:val="1"/>
          <w:iCs w:val="1"/>
          <w:color w:val="auto"/>
        </w:rPr>
        <w:t>Person</w:t>
      </w:r>
      <w:r>
        <w:rPr>
          <w:rFonts w:ascii="Arial" w:cs="Arial" w:eastAsia="Arial" w:hAnsi="Arial"/>
          <w:sz w:val="17"/>
          <w:szCs w:val="17"/>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62" w:lineRule="exact"/>
        <w:rPr>
          <w:rFonts w:ascii="Arial" w:cs="Arial" w:eastAsia="Arial" w:hAnsi="Arial"/>
          <w:sz w:val="17"/>
          <w:szCs w:val="17"/>
          <w:color w:val="auto"/>
        </w:rPr>
      </w:pPr>
    </w:p>
    <w:p>
      <w:pPr>
        <w:jc w:val="both"/>
        <w:ind w:left="4" w:firstLine="2264"/>
        <w:spacing w:after="0" w:line="216" w:lineRule="auto"/>
        <w:tabs>
          <w:tab w:leader="none" w:pos="2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(each, a “</w:t>
      </w:r>
      <w:r>
        <w:rPr>
          <w:rFonts w:ascii="Arial" w:cs="Arial" w:eastAsia="Arial" w:hAnsi="Arial"/>
          <w:sz w:val="18"/>
          <w:szCs w:val="18"/>
          <w:i w:val="1"/>
          <w:iCs w:val="1"/>
          <w:color w:val="auto"/>
        </w:rPr>
        <w:t>Director</w:t>
      </w:r>
      <w:r>
        <w:rPr>
          <w:rFonts w:ascii="Arial" w:cs="Arial" w:eastAsia="Arial" w:hAnsi="Arial"/>
          <w:sz w:val="18"/>
          <w:szCs w:val="18"/>
          <w:color w:val="auto"/>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62" w:lineRule="exact"/>
        <w:rPr>
          <w:rFonts w:ascii="Arial" w:cs="Arial" w:eastAsia="Arial" w:hAnsi="Arial"/>
          <w:sz w:val="18"/>
          <w:szCs w:val="18"/>
          <w:color w:val="auto"/>
        </w:rPr>
      </w:pPr>
    </w:p>
    <w:p>
      <w:pPr>
        <w:jc w:val="both"/>
        <w:ind w:left="4" w:firstLine="2264"/>
        <w:spacing w:after="0" w:line="231" w:lineRule="auto"/>
        <w:tabs>
          <w:tab w:leader="none" w:pos="27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w:t>
      </w:r>
    </w:p>
    <w:p>
      <w:pPr>
        <w:spacing w:after="0" w:line="1" w:lineRule="exact"/>
        <w:rPr>
          <w:rFonts w:ascii="Arial" w:cs="Arial" w:eastAsia="Arial" w:hAnsi="Arial"/>
          <w:sz w:val="16"/>
          <w:szCs w:val="16"/>
          <w:color w:val="auto"/>
        </w:rPr>
      </w:pPr>
    </w:p>
    <w:p>
      <w:pPr>
        <w:jc w:val="both"/>
        <w:ind w:left="4" w:right="20" w:hanging="4"/>
        <w:spacing w:after="0" w:line="231" w:lineRule="auto"/>
        <w:tabs>
          <w:tab w:leader="none" w:pos="2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62" w:lineRule="exact"/>
        <w:rPr>
          <w:sz w:val="20"/>
          <w:szCs w:val="20"/>
          <w:color w:val="auto"/>
        </w:rPr>
      </w:pPr>
    </w:p>
    <w:p>
      <w:pPr>
        <w:jc w:val="both"/>
        <w:ind w:left="4" w:right="20" w:firstLine="1944"/>
        <w:spacing w:after="0" w:line="209" w:lineRule="auto"/>
        <w:rPr>
          <w:sz w:val="20"/>
          <w:szCs w:val="20"/>
          <w:color w:val="auto"/>
        </w:rPr>
      </w:pPr>
      <w:r>
        <w:rPr>
          <w:rFonts w:ascii="Arial" w:cs="Arial" w:eastAsia="Arial" w:hAnsi="Arial"/>
          <w:sz w:val="18"/>
          <w:szCs w:val="18"/>
          <w:color w:val="auto"/>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spacing w:after="0" w:line="2" w:lineRule="exact"/>
        <w:rPr>
          <w:sz w:val="20"/>
          <w:szCs w:val="20"/>
          <w:color w:val="auto"/>
        </w:rPr>
      </w:pPr>
    </w:p>
    <w:p>
      <w:pPr>
        <w:jc w:val="both"/>
        <w:ind w:left="4" w:right="20" w:firstLine="1944"/>
        <w:spacing w:after="0" w:line="203"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 w:lineRule="exact"/>
        <w:rPr>
          <w:sz w:val="20"/>
          <w:szCs w:val="20"/>
          <w:color w:val="auto"/>
        </w:rPr>
      </w:pPr>
    </w:p>
    <w:p>
      <w:pPr>
        <w:jc w:val="both"/>
        <w:ind w:left="4" w:right="20" w:firstLine="1944"/>
        <w:spacing w:after="0" w:line="248" w:lineRule="auto"/>
        <w:rPr>
          <w:sz w:val="20"/>
          <w:szCs w:val="20"/>
          <w:color w:val="auto"/>
        </w:rPr>
      </w:pPr>
      <w:r>
        <w:rPr>
          <w:rFonts w:ascii="Arial" w:cs="Arial" w:eastAsia="Arial" w:hAnsi="Arial"/>
          <w:sz w:val="16"/>
          <w:szCs w:val="16"/>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56" w:lineRule="exact"/>
        <w:rPr>
          <w:sz w:val="20"/>
          <w:szCs w:val="20"/>
          <w:color w:val="auto"/>
        </w:rPr>
      </w:pPr>
    </w:p>
    <w:p>
      <w:pPr>
        <w:ind w:left="4" w:right="20" w:firstLine="1292"/>
        <w:spacing w:after="0" w:line="235" w:lineRule="auto"/>
        <w:tabs>
          <w:tab w:leader="none" w:pos="174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w:t>
      </w:r>
      <w:r>
        <w:rPr>
          <w:rFonts w:ascii="Arial" w:cs="Arial" w:eastAsia="Arial" w:hAnsi="Arial"/>
          <w:sz w:val="18"/>
          <w:szCs w:val="18"/>
          <w:i w:val="1"/>
          <w:iCs w:val="1"/>
          <w:color w:val="auto"/>
        </w:rPr>
        <w:t>Change in Control Period</w:t>
      </w:r>
      <w:r>
        <w:rPr>
          <w:rFonts w:ascii="Arial" w:cs="Arial" w:eastAsia="Arial" w:hAnsi="Arial"/>
          <w:sz w:val="18"/>
          <w:szCs w:val="18"/>
          <w:color w:val="auto"/>
        </w:rPr>
        <w:t>” means the period beginning upon the occurrence of a Change in Control through the date twelve (12) months following a Change in Control.</w:t>
      </w:r>
    </w:p>
    <w:p>
      <w:pPr>
        <w:spacing w:after="0" w:line="161" w:lineRule="exact"/>
        <w:rPr>
          <w:rFonts w:ascii="Arial" w:cs="Arial" w:eastAsia="Arial" w:hAnsi="Arial"/>
          <w:sz w:val="18"/>
          <w:szCs w:val="18"/>
          <w:color w:val="auto"/>
        </w:rPr>
      </w:pPr>
    </w:p>
    <w:p>
      <w:pPr>
        <w:jc w:val="both"/>
        <w:ind w:left="4" w:right="20" w:firstLine="1292"/>
        <w:spacing w:after="0" w:line="224" w:lineRule="auto"/>
        <w:tabs>
          <w:tab w:leader="none" w:pos="171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w:t>
      </w:r>
      <w:r>
        <w:rPr>
          <w:rFonts w:ascii="Arial" w:cs="Arial" w:eastAsia="Arial" w:hAnsi="Arial"/>
          <w:sz w:val="18"/>
          <w:szCs w:val="18"/>
          <w:i w:val="1"/>
          <w:iCs w:val="1"/>
          <w:color w:val="auto"/>
        </w:rPr>
        <w:t>Disability</w:t>
      </w:r>
      <w:r>
        <w:rPr>
          <w:rFonts w:ascii="Arial" w:cs="Arial" w:eastAsia="Arial" w:hAnsi="Arial"/>
          <w:sz w:val="18"/>
          <w:szCs w:val="18"/>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2" w:lineRule="exact"/>
        <w:rPr>
          <w:rFonts w:ascii="Arial" w:cs="Arial" w:eastAsia="Arial" w:hAnsi="Arial"/>
          <w:sz w:val="18"/>
          <w:szCs w:val="18"/>
          <w:color w:val="auto"/>
        </w:rPr>
      </w:pPr>
    </w:p>
    <w:p>
      <w:pPr>
        <w:jc w:val="both"/>
        <w:ind w:left="4" w:right="20" w:firstLine="1292"/>
        <w:spacing w:after="0" w:line="239" w:lineRule="auto"/>
        <w:tabs>
          <w:tab w:leader="none" w:pos="167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reduction in duties, authority, or responsibilities solely by virtue of the Company being acquired and made part of a larger entity (for example, where Executive retains essentially the same responsibility and duties of the subsidiary, business unit or division substantially containing the Company’s business following a Change in Control) shall not constitute “Good Reason”; (ii) a material reduction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32650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4"/>
          </w:cols>
          <w:pgMar w:left="976" w:top="324" w:right="979" w:bottom="1440" w:gutter="0" w:footer="0" w:header="0"/>
        </w:sectPr>
      </w:pPr>
    </w:p>
    <w:bookmarkStart w:id="63" w:name="page64"/>
    <w:bookmarkEnd w:id="63"/>
    <w:p>
      <w:pPr>
        <w:jc w:val="both"/>
        <w:spacing w:after="0" w:line="180" w:lineRule="exact"/>
        <w:rPr>
          <w:sz w:val="20"/>
          <w:szCs w:val="20"/>
          <w:color w:val="auto"/>
        </w:rPr>
      </w:pPr>
      <w:r>
        <w:rPr>
          <w:rFonts w:ascii="Arial" w:cs="Arial" w:eastAsia="Arial" w:hAnsi="Arial"/>
          <w:sz w:val="16"/>
          <w:szCs w:val="16"/>
          <w:color w:val="auto"/>
        </w:rPr>
        <w:t>Company in Executive’s annualized base pay as in effect immediately prior to such reduction (in other words, a reduction of more than ten percent (10%) of Executive’s annualized base compensation in any one year, other than a reduction applicable to executives generally that does not adversely affect Executive to a greater extent than other similarly situated executives);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place order, quarantine order, or similar work</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69" w:lineRule="exact"/>
        <w:rPr>
          <w:sz w:val="20"/>
          <w:szCs w:val="20"/>
          <w:color w:val="auto"/>
        </w:rPr>
      </w:pPr>
    </w:p>
    <w:p>
      <w:pPr>
        <w:jc w:val="both"/>
        <w:ind w:right="20" w:firstLine="1292"/>
        <w:spacing w:after="0" w:line="224" w:lineRule="auto"/>
        <w:tabs>
          <w:tab w:leader="none" w:pos="184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w:t>
      </w:r>
      <w:r>
        <w:rPr>
          <w:rFonts w:ascii="Arial" w:cs="Arial" w:eastAsia="Arial" w:hAnsi="Arial"/>
          <w:sz w:val="18"/>
          <w:szCs w:val="18"/>
          <w:i w:val="1"/>
          <w:iCs w:val="1"/>
          <w:color w:val="auto"/>
        </w:rPr>
        <w:t>Qualifying Termination</w:t>
      </w:r>
      <w:r>
        <w:rPr>
          <w:rFonts w:ascii="Arial" w:cs="Arial" w:eastAsia="Arial" w:hAnsi="Arial"/>
          <w:sz w:val="18"/>
          <w:szCs w:val="18"/>
          <w:color w:val="auto"/>
        </w:rPr>
        <w:t>” means either (i) the Company terminates Executive’s employment with the Company for a reason other than (A) Cause, (B) Executive’s death, or (C) Executive’s Disability or (ii) Executive resigns for Good Reason.</w:t>
      </w:r>
    </w:p>
    <w:p>
      <w:pPr>
        <w:spacing w:after="0" w:line="162" w:lineRule="exact"/>
        <w:rPr>
          <w:rFonts w:ascii="Arial" w:cs="Arial" w:eastAsia="Arial" w:hAnsi="Arial"/>
          <w:sz w:val="18"/>
          <w:szCs w:val="18"/>
          <w:color w:val="auto"/>
        </w:rPr>
      </w:pPr>
    </w:p>
    <w:p>
      <w:pPr>
        <w:jc w:val="both"/>
        <w:ind w:firstLine="1292"/>
        <w:spacing w:after="0" w:line="232" w:lineRule="auto"/>
        <w:tabs>
          <w:tab w:leader="none" w:pos="172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w:t>
      </w:r>
      <w:r>
        <w:rPr>
          <w:rFonts w:ascii="Arial" w:cs="Arial" w:eastAsia="Arial" w:hAnsi="Arial"/>
          <w:sz w:val="17"/>
          <w:szCs w:val="17"/>
          <w:i w:val="1"/>
          <w:iCs w:val="1"/>
          <w:color w:val="auto"/>
        </w:rPr>
        <w:t>Salary</w:t>
      </w:r>
      <w:r>
        <w:rPr>
          <w:rFonts w:ascii="Arial" w:cs="Arial" w:eastAsia="Arial" w:hAnsi="Arial"/>
          <w:sz w:val="17"/>
          <w:szCs w:val="17"/>
          <w:color w:val="auto"/>
        </w:rPr>
        <w:t>” 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spacing w:after="0" w:line="162" w:lineRule="exact"/>
        <w:rPr>
          <w:rFonts w:ascii="Arial" w:cs="Arial" w:eastAsia="Arial" w:hAnsi="Arial"/>
          <w:sz w:val="17"/>
          <w:szCs w:val="17"/>
          <w:color w:val="auto"/>
        </w:rPr>
      </w:pPr>
    </w:p>
    <w:p>
      <w:pPr>
        <w:ind w:left="1040" w:hanging="39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right="20" w:firstLine="1292"/>
        <w:spacing w:after="0" w:line="241" w:lineRule="auto"/>
        <w:tabs>
          <w:tab w:leader="none" w:pos="1689"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The Company’s Successors</w:t>
      </w:r>
      <w:r>
        <w:rPr>
          <w:rFonts w:ascii="Arial" w:cs="Arial" w:eastAsia="Arial" w:hAnsi="Arial"/>
          <w:sz w:val="16"/>
          <w:szCs w:val="16"/>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60" w:lineRule="exact"/>
        <w:rPr>
          <w:rFonts w:ascii="Arial" w:cs="Arial" w:eastAsia="Arial" w:hAnsi="Arial"/>
          <w:sz w:val="16"/>
          <w:szCs w:val="16"/>
          <w:color w:val="auto"/>
        </w:rPr>
      </w:pPr>
    </w:p>
    <w:p>
      <w:pPr>
        <w:jc w:val="both"/>
        <w:ind w:right="20" w:firstLine="1292"/>
        <w:spacing w:after="0" w:line="244" w:lineRule="auto"/>
        <w:tabs>
          <w:tab w:leader="none" w:pos="1767"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58" w:lineRule="exact"/>
        <w:rPr>
          <w:rFonts w:ascii="Arial" w:cs="Arial" w:eastAsia="Arial" w:hAnsi="Arial"/>
          <w:sz w:val="16"/>
          <w:szCs w:val="16"/>
          <w:color w:val="auto"/>
        </w:rPr>
      </w:pPr>
    </w:p>
    <w:p>
      <w:pPr>
        <w:ind w:left="1040" w:hanging="39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292"/>
        <w:spacing w:after="0" w:line="226" w:lineRule="auto"/>
        <w:tabs>
          <w:tab w:leader="none" w:pos="1729"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spacing w:after="0" w:line="164" w:lineRule="exact"/>
        <w:rPr>
          <w:rFonts w:ascii="Arial" w:cs="Arial" w:eastAsia="Arial" w:hAnsi="Arial"/>
          <w:sz w:val="17"/>
          <w:szCs w:val="17"/>
          <w:color w:val="auto"/>
        </w:rPr>
      </w:pPr>
    </w:p>
    <w:p>
      <w:pPr>
        <w:jc w:val="both"/>
        <w:ind w:firstLine="1292"/>
        <w:spacing w:after="0" w:line="237" w:lineRule="auto"/>
        <w:tabs>
          <w:tab w:leader="none" w:pos="1713"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of Executive’s employment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spacing w:after="0" w:line="166" w:lineRule="exact"/>
        <w:rPr>
          <w:rFonts w:ascii="Arial" w:cs="Arial" w:eastAsia="Arial" w:hAnsi="Arial"/>
          <w:sz w:val="16"/>
          <w:szCs w:val="16"/>
          <w:color w:val="auto"/>
        </w:rPr>
      </w:pPr>
    </w:p>
    <w:p>
      <w:pPr>
        <w:ind w:right="20" w:firstLine="1292"/>
        <w:spacing w:after="0" w:line="289" w:lineRule="auto"/>
        <w:tabs>
          <w:tab w:leader="none" w:pos="170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The termination of Executive’s employment for any reason also will constitute, without any further required action by Executive, Executive’s voluntary resignation from all officer and/or director positions held at the Company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32650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64" w:name="page65"/>
    <w:bookmarkEnd w:id="64"/>
    <w:p>
      <w:pPr>
        <w:ind w:right="20"/>
        <w:spacing w:after="0" w:line="235" w:lineRule="auto"/>
        <w:rPr>
          <w:sz w:val="20"/>
          <w:szCs w:val="20"/>
          <w:color w:val="auto"/>
        </w:rPr>
      </w:pPr>
      <w:r>
        <w:rPr>
          <w:rFonts w:ascii="Arial" w:cs="Arial" w:eastAsia="Arial" w:hAnsi="Arial"/>
          <w:sz w:val="18"/>
          <w:szCs w:val="18"/>
          <w:color w:val="auto"/>
        </w:rPr>
        <w:t>its subsidiaries or affiliates, and at the Board’s request, Executive will execute any documents reasonably necessary to reflect the resignations.</w:t>
      </w:r>
    </w:p>
    <w:p>
      <w:pPr>
        <w:spacing w:after="0" w:line="162" w:lineRule="exact"/>
        <w:rPr>
          <w:sz w:val="20"/>
          <w:szCs w:val="20"/>
          <w:color w:val="auto"/>
        </w:rPr>
      </w:pPr>
    </w:p>
    <w:p>
      <w:pPr>
        <w:ind w:left="1040" w:hanging="396"/>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right="20" w:firstLine="1292"/>
        <w:spacing w:after="0" w:line="224" w:lineRule="auto"/>
        <w:tabs>
          <w:tab w:leader="none" w:pos="16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 except as specified in Sections 3(e), 4(d) and 5.</w:t>
      </w:r>
    </w:p>
    <w:p>
      <w:pPr>
        <w:spacing w:after="0" w:line="162" w:lineRule="exact"/>
        <w:rPr>
          <w:rFonts w:ascii="Arial" w:cs="Arial" w:eastAsia="Arial" w:hAnsi="Arial"/>
          <w:sz w:val="18"/>
          <w:szCs w:val="18"/>
          <w:color w:val="auto"/>
        </w:rPr>
      </w:pPr>
    </w:p>
    <w:p>
      <w:pPr>
        <w:jc w:val="both"/>
        <w:ind w:firstLine="1292"/>
        <w:spacing w:after="0" w:line="232" w:lineRule="auto"/>
        <w:tabs>
          <w:tab w:leader="none" w:pos="1713"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62" w:lineRule="exact"/>
        <w:rPr>
          <w:rFonts w:ascii="Arial" w:cs="Arial" w:eastAsia="Arial" w:hAnsi="Arial"/>
          <w:sz w:val="17"/>
          <w:szCs w:val="17"/>
          <w:color w:val="auto"/>
        </w:rPr>
      </w:pPr>
    </w:p>
    <w:p>
      <w:pPr>
        <w:ind w:right="20" w:firstLine="1292"/>
        <w:spacing w:after="0" w:line="235" w:lineRule="auto"/>
        <w:tabs>
          <w:tab w:leader="none" w:pos="168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captions and section headings used in this Agreement are for convenient reference only and do not form a part of this Agreement.</w:t>
      </w:r>
    </w:p>
    <w:p>
      <w:pPr>
        <w:spacing w:after="0" w:line="161" w:lineRule="exact"/>
        <w:rPr>
          <w:rFonts w:ascii="Arial" w:cs="Arial" w:eastAsia="Arial" w:hAnsi="Arial"/>
          <w:sz w:val="18"/>
          <w:szCs w:val="18"/>
          <w:color w:val="auto"/>
        </w:rPr>
      </w:pPr>
    </w:p>
    <w:p>
      <w:pPr>
        <w:jc w:val="both"/>
        <w:ind w:firstLine="1292"/>
        <w:spacing w:after="0" w:line="232" w:lineRule="auto"/>
        <w:tabs>
          <w:tab w:leader="none" w:pos="1713"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No waiver, alteration, or modification of any of the provisions of this Agreement will be binding unless in writing and signed by duly authorized representatives of the parties hereto and which specifically mention this Agreement.</w:t>
      </w:r>
    </w:p>
    <w:p>
      <w:pPr>
        <w:spacing w:after="0" w:line="162" w:lineRule="exact"/>
        <w:rPr>
          <w:rFonts w:ascii="Arial" w:cs="Arial" w:eastAsia="Arial" w:hAnsi="Arial"/>
          <w:sz w:val="17"/>
          <w:szCs w:val="17"/>
          <w:color w:val="auto"/>
        </w:rPr>
      </w:pPr>
    </w:p>
    <w:p>
      <w:pPr>
        <w:jc w:val="both"/>
        <w:ind w:firstLine="1292"/>
        <w:spacing w:after="0" w:line="216" w:lineRule="auto"/>
        <w:tabs>
          <w:tab w:leader="none" w:pos="167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62" w:lineRule="exact"/>
        <w:rPr>
          <w:rFonts w:ascii="Arial" w:cs="Arial" w:eastAsia="Arial" w:hAnsi="Arial"/>
          <w:sz w:val="18"/>
          <w:szCs w:val="18"/>
          <w:color w:val="auto"/>
        </w:rPr>
      </w:pPr>
    </w:p>
    <w:p>
      <w:pPr>
        <w:jc w:val="both"/>
        <w:ind w:right="20" w:firstLine="1292"/>
        <w:spacing w:after="0" w:line="237" w:lineRule="auto"/>
        <w:tabs>
          <w:tab w:leader="none" w:pos="1696"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spacing w:after="0" w:line="163" w:lineRule="exact"/>
        <w:rPr>
          <w:rFonts w:ascii="Arial" w:cs="Arial" w:eastAsia="Arial" w:hAnsi="Arial"/>
          <w:sz w:val="17"/>
          <w:szCs w:val="17"/>
          <w:color w:val="auto"/>
        </w:rPr>
      </w:pPr>
    </w:p>
    <w:p>
      <w:pPr>
        <w:jc w:val="both"/>
        <w:ind w:firstLine="1292"/>
        <w:spacing w:after="0" w:line="184" w:lineRule="exact"/>
        <w:tabs>
          <w:tab w:leader="none" w:pos="1686"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16"/>
          <w:szCs w:val="16"/>
          <w:color w:val="auto"/>
        </w:rPr>
        <w:t>‑</w:t>
      </w:r>
      <w:r>
        <w:rPr>
          <w:rFonts w:ascii="Arial" w:cs="Arial" w:eastAsia="Arial" w:hAnsi="Arial"/>
          <w:sz w:val="16"/>
          <w:szCs w:val="16"/>
          <w:color w:val="auto"/>
        </w:rPr>
        <w:t>U.S. taxes or other required withholdings and payroll deductions (“</w:t>
      </w:r>
      <w:r>
        <w:rPr>
          <w:rFonts w:ascii="Arial" w:cs="Arial" w:eastAsia="Arial" w:hAnsi="Arial"/>
          <w:sz w:val="16"/>
          <w:szCs w:val="16"/>
          <w:i w:val="1"/>
          <w:iCs w:val="1"/>
          <w:u w:val="single" w:color="auto"/>
          <w:color w:val="auto"/>
        </w:rPr>
        <w:t>Withholdings</w:t>
      </w:r>
      <w:r>
        <w:rPr>
          <w:rFonts w:ascii="Arial" w:cs="Arial" w:eastAsia="Arial" w:hAnsi="Arial"/>
          <w:sz w:val="16"/>
          <w:szCs w:val="16"/>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61" w:lineRule="exact"/>
        <w:rPr>
          <w:rFonts w:ascii="Arial" w:cs="Arial" w:eastAsia="Arial" w:hAnsi="Arial"/>
          <w:sz w:val="16"/>
          <w:szCs w:val="16"/>
          <w:color w:val="auto"/>
        </w:rPr>
      </w:pPr>
    </w:p>
    <w:p>
      <w:pPr>
        <w:ind w:right="20" w:firstLine="1292"/>
        <w:spacing w:after="0" w:line="235" w:lineRule="auto"/>
        <w:tabs>
          <w:tab w:leader="none" w:pos="168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32650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328" w:right="979" w:bottom="1440" w:gutter="0" w:footer="0" w:header="0"/>
        </w:sectPr>
      </w:pPr>
    </w:p>
    <w:bookmarkStart w:id="65" w:name="page66"/>
    <w:bookmarkEnd w:id="65"/>
    <w:p>
      <w:pPr>
        <w:ind w:right="40" w:firstLine="648"/>
        <w:spacing w:after="0" w:line="235"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Effective Date set forth above.</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COMPANY</w:t>
            </w:r>
          </w:p>
        </w:tc>
        <w:tc>
          <w:tcPr>
            <w:tcW w:w="26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PACIFIC BIOSCIENCES OF CALIFORNIA,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2600" w:type="dxa"/>
            <w:vAlign w:val="bottom"/>
          </w:tcPr>
          <w:p>
            <w:pPr>
              <w:ind w:left="2020"/>
              <w:spacing w:after="0" w:line="176" w:lineRule="exact"/>
              <w:rPr>
                <w:sz w:val="20"/>
                <w:szCs w:val="20"/>
                <w:color w:val="auto"/>
              </w:rPr>
            </w:pPr>
            <w:r>
              <w:rPr>
                <w:rFonts w:ascii="Arial" w:cs="Arial" w:eastAsia="Arial" w:hAnsi="Arial"/>
                <w:sz w:val="18"/>
                <w:szCs w:val="18"/>
                <w:color w:val="auto"/>
              </w:rPr>
              <w:t>By:</w:t>
            </w:r>
          </w:p>
        </w:tc>
        <w:tc>
          <w:tcPr>
            <w:tcW w:w="4320" w:type="dxa"/>
            <w:vAlign w:val="bottom"/>
          </w:tcPr>
          <w:p>
            <w:pPr>
              <w:spacing w:after="0" w:line="176" w:lineRule="exact"/>
              <w:rPr>
                <w:sz w:val="20"/>
                <w:szCs w:val="20"/>
                <w:color w:val="auto"/>
              </w:rPr>
            </w:pPr>
            <w:r>
              <w:rPr>
                <w:rFonts w:ascii="Arial" w:cs="Arial" w:eastAsia="Arial" w:hAnsi="Arial"/>
                <w:sz w:val="18"/>
                <w:szCs w:val="18"/>
                <w:color w:val="auto"/>
              </w:rPr>
              <w:t>/s/ Christian O. Henry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600" w:type="dxa"/>
            <w:vAlign w:val="bottom"/>
            <w:vMerge w:val="restart"/>
          </w:tcPr>
          <w:p>
            <w:pPr>
              <w:ind w:left="2020"/>
              <w:spacing w:after="0" w:line="189" w:lineRule="exact"/>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4320" w:type="dxa"/>
            <w:vAlign w:val="bottom"/>
          </w:tcPr>
          <w:p>
            <w:pPr>
              <w:spacing w:after="0" w:line="142" w:lineRule="exact"/>
              <w:rPr>
                <w:sz w:val="20"/>
                <w:szCs w:val="20"/>
                <w:color w:val="auto"/>
              </w:rPr>
            </w:pPr>
            <w:r>
              <w:rPr>
                <w:rFonts w:ascii="Arial" w:cs="Arial" w:eastAsia="Arial" w:hAnsi="Arial"/>
                <w:sz w:val="16"/>
                <w:szCs w:val="16"/>
                <w:color w:val="auto"/>
              </w:rPr>
              <w:t>Christian O. Henry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600" w:type="dxa"/>
            <w:vAlign w:val="bottom"/>
            <w:vMerge w:val="restart"/>
          </w:tcPr>
          <w:p>
            <w:pPr>
              <w:ind w:left="2020"/>
              <w:spacing w:after="0"/>
              <w:rPr>
                <w:sz w:val="20"/>
                <w:szCs w:val="20"/>
                <w:color w:val="auto"/>
              </w:rPr>
            </w:pPr>
            <w:r>
              <w:rPr>
                <w:rFonts w:ascii="Arial" w:cs="Arial" w:eastAsia="Arial" w:hAnsi="Arial"/>
                <w:sz w:val="18"/>
                <w:szCs w:val="18"/>
                <w:color w:val="auto"/>
              </w:rPr>
              <w:t>Title:</w:t>
            </w:r>
          </w:p>
        </w:tc>
        <w:tc>
          <w:tcPr>
            <w:tcW w:w="4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432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3020" w:type="dxa"/>
            <w:vAlign w:val="bottom"/>
          </w:tcPr>
          <w:p>
            <w:pPr>
              <w:spacing w:after="0"/>
              <w:rPr>
                <w:sz w:val="20"/>
                <w:szCs w:val="20"/>
                <w:color w:val="auto"/>
              </w:rPr>
            </w:pPr>
            <w:r>
              <w:rPr>
                <w:rFonts w:ascii="Arial" w:cs="Arial" w:eastAsia="Arial" w:hAnsi="Arial"/>
                <w:sz w:val="18"/>
                <w:szCs w:val="18"/>
                <w:color w:val="auto"/>
              </w:rPr>
              <w:t>EXECUTIVE</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Susan G. Kim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600" w:type="dxa"/>
            <w:vAlign w:val="bottom"/>
            <w:vMerge w:val="restart"/>
          </w:tcPr>
          <w:p>
            <w:pPr>
              <w:ind w:left="202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432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color w:val="auto"/>
              </w:rPr>
              <w:t>Susan Kim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30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43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-25400</wp:posOffset>
            </wp:positionV>
            <wp:extent cx="8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ectPr>
          <w:pgSz w:w="11900" w:h="16838" w:orient="portrait"/>
          <w:cols w:equalWidth="0" w:num="1">
            <w:col w:w="9960"/>
          </w:cols>
          <w:pgMar w:left="980" w:top="328" w:right="959" w:bottom="1440" w:gutter="0" w:footer="0" w:header="0"/>
        </w:sectPr>
      </w:pPr>
    </w:p>
    <w:bookmarkStart w:id="66" w:name="page67"/>
    <w:bookmarkEnd w:id="66"/>
    <w:p>
      <w:pPr>
        <w:jc w:val="right"/>
        <w:ind w:right="199"/>
        <w:spacing w:after="0"/>
        <w:rPr>
          <w:sz w:val="20"/>
          <w:szCs w:val="20"/>
          <w:color w:val="auto"/>
        </w:rPr>
      </w:pPr>
      <w:r>
        <w:rPr>
          <w:rFonts w:ascii="Arial" w:cs="Arial" w:eastAsia="Arial" w:hAnsi="Arial"/>
          <w:sz w:val="22"/>
          <w:szCs w:val="22"/>
          <w:b w:val="1"/>
          <w:bCs w:val="1"/>
          <w:color w:val="auto"/>
        </w:rPr>
        <w:t>Exhibit 31.1</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Christian Henry, certify that:</w:t>
      </w:r>
    </w:p>
    <w:p>
      <w:pPr>
        <w:spacing w:after="0" w:line="50" w:lineRule="exact"/>
        <w:rPr>
          <w:sz w:val="20"/>
          <w:szCs w:val="20"/>
          <w:color w:val="auto"/>
        </w:rPr>
      </w:pPr>
    </w:p>
    <w:p>
      <w:pPr>
        <w:ind w:left="800" w:hanging="17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 w:lineRule="exact"/>
        <w:rPr>
          <w:sz w:val="20"/>
          <w:szCs w:val="20"/>
          <w:color w:val="auto"/>
        </w:rPr>
      </w:pPr>
    </w:p>
    <w:p>
      <w:pPr>
        <w:jc w:val="center"/>
        <w:ind w:left="4980"/>
        <w:spacing w:after="0"/>
        <w:rPr>
          <w:sz w:val="20"/>
          <w:szCs w:val="20"/>
          <w:color w:val="auto"/>
        </w:rPr>
      </w:pPr>
      <w:r>
        <w:rPr>
          <w:rFonts w:ascii="Arial" w:cs="Arial" w:eastAsia="Arial" w:hAnsi="Arial"/>
          <w:sz w:val="18"/>
          <w:szCs w:val="18"/>
          <w:color w:val="auto"/>
        </w:rPr>
        <w:t>Christian O. Henry</w:t>
      </w:r>
    </w:p>
    <w:p>
      <w:pPr>
        <w:jc w:val="center"/>
        <w:ind w:left="4980"/>
        <w:spacing w:after="0" w:line="203" w:lineRule="auto"/>
        <w:rPr>
          <w:sz w:val="20"/>
          <w:szCs w:val="20"/>
          <w:color w:val="auto"/>
        </w:rPr>
      </w:pPr>
      <w:r>
        <w:rPr>
          <w:rFonts w:ascii="Arial" w:cs="Arial" w:eastAsia="Arial" w:hAnsi="Arial"/>
          <w:sz w:val="18"/>
          <w:szCs w:val="18"/>
          <w:color w:val="auto"/>
        </w:rPr>
        <w:t>Chief Executive Officer and President</w:t>
      </w:r>
    </w:p>
    <w:p>
      <w:pPr>
        <w:jc w:val="cente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7" w:name="page68"/>
    <w:bookmarkEnd w:id="67"/>
    <w:p>
      <w:pPr>
        <w:jc w:val="right"/>
        <w:ind w:right="199"/>
        <w:spacing w:after="0"/>
        <w:rPr>
          <w:sz w:val="20"/>
          <w:szCs w:val="20"/>
          <w:color w:val="auto"/>
        </w:rPr>
      </w:pPr>
      <w:r>
        <w:rPr>
          <w:rFonts w:ascii="Arial" w:cs="Arial" w:eastAsia="Arial" w:hAnsi="Arial"/>
          <w:sz w:val="22"/>
          <w:szCs w:val="22"/>
          <w:b w:val="1"/>
          <w:bCs w:val="1"/>
          <w:color w:val="auto"/>
        </w:rPr>
        <w:t>Exhibit 31.2</w:t>
      </w:r>
    </w:p>
    <w:p>
      <w:pPr>
        <w:spacing w:after="0" w:line="135" w:lineRule="exact"/>
        <w:rPr>
          <w:sz w:val="20"/>
          <w:szCs w:val="20"/>
          <w:color w:val="auto"/>
        </w:rPr>
      </w:pPr>
    </w:p>
    <w:p>
      <w:pPr>
        <w:jc w:val="center"/>
        <w:ind w:left="180" w:right="199"/>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13a-15(e), AS ADOPTED PURSUANT TO SECTION 302 OF THE SARBANES-OXLEY ACT OF 2002</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Susan Kim, certify that:</w:t>
      </w:r>
    </w:p>
    <w:p>
      <w:pPr>
        <w:spacing w:after="0" w:line="50" w:lineRule="exact"/>
        <w:rPr>
          <w:sz w:val="20"/>
          <w:szCs w:val="20"/>
          <w:color w:val="auto"/>
        </w:rPr>
      </w:pPr>
    </w:p>
    <w:p>
      <w:pPr>
        <w:ind w:left="800" w:hanging="17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Pacific Biosciences of California, Inc.;</w:t>
      </w:r>
    </w:p>
    <w:p>
      <w:pPr>
        <w:spacing w:after="0" w:line="130" w:lineRule="exact"/>
        <w:rPr>
          <w:rFonts w:ascii="Arial" w:cs="Arial" w:eastAsia="Arial" w:hAnsi="Arial"/>
          <w:sz w:val="18"/>
          <w:szCs w:val="18"/>
          <w:color w:val="auto"/>
        </w:rPr>
      </w:pPr>
    </w:p>
    <w:p>
      <w:pPr>
        <w:ind w:left="180" w:right="319" w:firstLine="445"/>
        <w:spacing w:after="0" w:line="224" w:lineRule="auto"/>
        <w:tabs>
          <w:tab w:leader="none" w:pos="8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180" w:right="219" w:firstLine="445"/>
        <w:spacing w:after="0" w:line="224" w:lineRule="auto"/>
        <w:tabs>
          <w:tab w:leader="none" w:pos="8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180" w:right="219" w:firstLine="445"/>
        <w:spacing w:after="0" w:line="237" w:lineRule="auto"/>
        <w:tabs>
          <w:tab w:leader="none" w:pos="7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180" w:right="279" w:firstLine="445"/>
        <w:spacing w:after="0" w:line="219" w:lineRule="auto"/>
        <w:tabs>
          <w:tab w:leader="none" w:pos="8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80" w:right="219" w:firstLine="445"/>
        <w:spacing w:after="0" w:line="219" w:lineRule="auto"/>
        <w:tabs>
          <w:tab w:leader="none" w:pos="8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ind w:left="180" w:right="199" w:firstLine="445"/>
        <w:spacing w:after="0" w:line="224" w:lineRule="auto"/>
        <w:tabs>
          <w:tab w:leader="none" w:pos="8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180" w:right="439" w:firstLine="445"/>
        <w:spacing w:after="0" w:line="219" w:lineRule="auto"/>
        <w:tabs>
          <w:tab w:leader="none" w:pos="8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180" w:right="219" w:firstLine="445"/>
        <w:spacing w:after="0" w:line="224" w:lineRule="auto"/>
        <w:tabs>
          <w:tab w:leader="none" w:pos="7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299" w:firstLine="445"/>
        <w:spacing w:after="0" w:line="224" w:lineRule="auto"/>
        <w:tabs>
          <w:tab w:leader="none" w:pos="7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80" w:right="299" w:firstLine="445"/>
        <w:spacing w:after="0" w:line="235" w:lineRule="auto"/>
        <w:tabs>
          <w:tab w:leader="none" w:pos="8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55" w:lineRule="exact"/>
        <w:rPr>
          <w:sz w:val="20"/>
          <w:szCs w:val="20"/>
          <w:color w:val="auto"/>
        </w:rPr>
      </w:pPr>
    </w:p>
    <w:p>
      <w:pPr>
        <w:ind w:left="488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23056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Susan G. Kim</w:t>
      </w:r>
    </w:p>
    <w:p>
      <w:pPr>
        <w:ind w:left="6140"/>
        <w:spacing w:after="0" w:line="203" w:lineRule="auto"/>
        <w:rPr>
          <w:sz w:val="20"/>
          <w:szCs w:val="20"/>
          <w:color w:val="auto"/>
        </w:rPr>
      </w:pPr>
      <w:r>
        <w:rPr>
          <w:rFonts w:ascii="Arial" w:cs="Arial" w:eastAsia="Arial" w:hAnsi="Arial"/>
          <w:sz w:val="18"/>
          <w:szCs w:val="18"/>
          <w:color w:val="auto"/>
        </w:rPr>
        <w:t>Chief Financial Officer</w:t>
      </w: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-12065</wp:posOffset>
            </wp:positionV>
            <wp:extent cx="550354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8" w:name="page69"/>
    <w:bookmarkEnd w:id="68"/>
    <w:p>
      <w:pPr>
        <w:jc w:val="right"/>
        <w:ind w:right="199"/>
        <w:spacing w:after="0"/>
        <w:rPr>
          <w:sz w:val="20"/>
          <w:szCs w:val="20"/>
          <w:color w:val="auto"/>
        </w:rPr>
      </w:pPr>
      <w:r>
        <w:rPr>
          <w:rFonts w:ascii="Arial" w:cs="Arial" w:eastAsia="Arial" w:hAnsi="Arial"/>
          <w:sz w:val="22"/>
          <w:szCs w:val="22"/>
          <w:b w:val="1"/>
          <w:bCs w:val="1"/>
          <w:color w:val="auto"/>
        </w:rPr>
        <w:t>Exhibit 32.1</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CEO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1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September 30, 2020,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99" w:firstLine="445"/>
        <w:spacing w:after="0" w:line="289" w:lineRule="auto"/>
        <w:tabs>
          <w:tab w:leader="none" w:pos="8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2020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80" w:right="499" w:firstLine="445"/>
        <w:spacing w:after="0" w:line="235" w:lineRule="auto"/>
        <w:tabs>
          <w:tab w:leader="none" w:pos="88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180"/>
        <w:spacing w:after="0"/>
        <w:tabs>
          <w:tab w:leader="none" w:pos="588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00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0"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Christian O. Henry</w:t>
      </w:r>
    </w:p>
    <w:p>
      <w:pPr>
        <w:spacing w:after="0" w:line="7"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Chief Executive Officer and President</w:t>
      </w:r>
    </w:p>
    <w:p>
      <w:pPr>
        <w:jc w:val="cente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278765</wp:posOffset>
            </wp:positionV>
            <wp:extent cx="550354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69" w:name="page70"/>
    <w:bookmarkEnd w:id="69"/>
    <w:p>
      <w:pPr>
        <w:jc w:val="right"/>
        <w:ind w:right="199"/>
        <w:spacing w:after="0"/>
        <w:rPr>
          <w:sz w:val="20"/>
          <w:szCs w:val="20"/>
          <w:color w:val="auto"/>
        </w:rPr>
      </w:pPr>
      <w:r>
        <w:rPr>
          <w:rFonts w:ascii="Arial" w:cs="Arial" w:eastAsia="Arial" w:hAnsi="Arial"/>
          <w:sz w:val="22"/>
          <w:szCs w:val="22"/>
          <w:b w:val="1"/>
          <w:bCs w:val="1"/>
          <w:color w:val="auto"/>
        </w:rPr>
        <w:t>Exhibit 32.2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CFO Furnished Pursuant to 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5" w:lineRule="exact"/>
        <w:rPr>
          <w:sz w:val="20"/>
          <w:szCs w:val="20"/>
          <w:color w:val="auto"/>
        </w:rPr>
      </w:pPr>
    </w:p>
    <w:p>
      <w:pPr>
        <w:ind w:left="180" w:right="239"/>
        <w:spacing w:after="0" w:line="216" w:lineRule="auto"/>
        <w:rPr>
          <w:sz w:val="20"/>
          <w:szCs w:val="20"/>
          <w:color w:val="auto"/>
        </w:rPr>
      </w:pPr>
      <w:r>
        <w:rPr>
          <w:rFonts w:ascii="Arial" w:cs="Arial" w:eastAsia="Arial" w:hAnsi="Arial"/>
          <w:sz w:val="18"/>
          <w:szCs w:val="18"/>
          <w:color w:val="auto"/>
        </w:rPr>
        <w:t>In connection with the Quarterly Report of Pacific Biosciences of California, Inc. (the “Company”) on Form 10-Q for the period ended September 30, 2020,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108" w:lineRule="exact"/>
        <w:rPr>
          <w:sz w:val="20"/>
          <w:szCs w:val="20"/>
          <w:color w:val="auto"/>
        </w:rPr>
      </w:pPr>
    </w:p>
    <w:p>
      <w:pPr>
        <w:ind w:left="180" w:right="299" w:firstLine="445"/>
        <w:spacing w:after="0" w:line="289" w:lineRule="auto"/>
        <w:tabs>
          <w:tab w:leader="none" w:pos="8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2020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180" w:right="499" w:firstLine="445"/>
        <w:spacing w:after="0" w:line="235" w:lineRule="auto"/>
        <w:tabs>
          <w:tab w:leader="none" w:pos="8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7000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jc w:val="center"/>
        <w:ind w:left="4380"/>
        <w:spacing w:after="0"/>
        <w:rPr>
          <w:sz w:val="20"/>
          <w:szCs w:val="20"/>
          <w:color w:val="auto"/>
        </w:rPr>
      </w:pPr>
      <w:r>
        <w:rPr>
          <w:rFonts w:ascii="Arial" w:cs="Arial" w:eastAsia="Arial" w:hAnsi="Arial"/>
          <w:sz w:val="18"/>
          <w:szCs w:val="18"/>
          <w:color w:val="auto"/>
        </w:rPr>
        <w:t>Susan G. Kim</w:t>
      </w:r>
    </w:p>
    <w:p>
      <w:pPr>
        <w:jc w:val="center"/>
        <w:ind w:left="4380"/>
        <w:spacing w:after="0" w:line="203" w:lineRule="auto"/>
        <w:rPr>
          <w:sz w:val="20"/>
          <w:szCs w:val="20"/>
          <w:color w:val="auto"/>
        </w:rPr>
      </w:pPr>
      <w:r>
        <w:rPr>
          <w:rFonts w:ascii="Arial" w:cs="Arial" w:eastAsia="Arial" w:hAnsi="Arial"/>
          <w:sz w:val="18"/>
          <w:szCs w:val="18"/>
          <w:color w:val="auto"/>
        </w:rPr>
        <w:t>Chief Financial Officer</w:t>
      </w:r>
    </w:p>
    <w:p>
      <w:pPr>
        <w:jc w:val="cente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827405</wp:posOffset>
            </wp:positionV>
            <wp:extent cx="550354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upperLetter"/>
      <w:start w:val="35"/>
    </w:lvl>
  </w:abstractNum>
  <w:abstractNum w:abstractNumId="3">
    <w:nsid w:val="25E45D32"/>
    <w:multiLevelType w:val="hybridMultilevel"/>
    <w:lvl w:ilvl="0">
      <w:lvlJc w:val="left"/>
      <w:lvlText w:val="+"/>
      <w:numFmt w:val="bullet"/>
      <w:start w:val="1"/>
    </w:lvl>
    <w:lvl w:ilvl="1">
      <w:lvlJc w:val="left"/>
      <w:lvlText w:val="%2"/>
      <w:numFmt w:val="decimal"/>
      <w:start w:val="10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5"/>
    </w:lvl>
    <w:lvl w:ilvl="1">
      <w:lvlJc w:val="left"/>
      <w:lvlText w:val="(%2)"/>
      <w:numFmt w:val="lowerLetter"/>
      <w:start w:val="1"/>
    </w:lvl>
  </w:abstractNum>
  <w:abstractNum w:abstractNumId="7">
    <w:nsid w:val="7C83E458"/>
    <w:multiLevelType w:val="hybridMultilevel"/>
    <w:lvl w:ilvl="0">
      <w:lvlJc w:val="left"/>
      <w:lvlText w:val="(%1)"/>
      <w:numFmt w:val="decimal"/>
      <w:start w:val="12"/>
    </w:lvl>
  </w:abstractNum>
  <w:abstractNum w:abstractNumId="8">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62BBD9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
    <w:nsid w:val="436C6125"/>
    <w:multiLevelType w:val="hybridMultilevel"/>
    <w:lvl w:ilvl="0">
      <w:lvlJc w:val="left"/>
      <w:lvlText w:val="(%1)"/>
      <w:numFmt w:val="lowerLetter"/>
      <w:start w:val="2"/>
    </w:lvl>
    <w:lvl w:ilvl="1">
      <w:lvlJc w:val="left"/>
      <w:lvlText w:val="(%2)"/>
      <w:numFmt w:val="lowerRoman"/>
      <w:start w:val="1"/>
    </w:lvl>
  </w:abstractNum>
  <w:abstractNum w:abstractNumId="11">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
    <w:nsid w:val="333AB1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
    <w:nsid w:val="721DA317"/>
    <w:multiLevelType w:val="hybridMultilevel"/>
    <w:lvl w:ilvl="0">
      <w:lvlJc w:val="left"/>
      <w:lvlText w:val="%1."/>
      <w:numFmt w:val="decimal"/>
      <w:start w:val="10"/>
    </w:lvl>
    <w:lvl w:ilvl="1">
      <w:lvlJc w:val="left"/>
      <w:lvlText w:val="(%2)"/>
      <w:numFmt w:val="lowerLetter"/>
      <w:start w:val="1"/>
    </w:lvl>
  </w:abstractNum>
  <w:abstractNum w:abstractNumId="14">
    <w:nsid w:val="2443A858"/>
    <w:multiLevelType w:val="hybridMultilevel"/>
    <w:lvl w:ilvl="0">
      <w:lvlJc w:val="left"/>
      <w:lvlText w:val="%1"/>
      <w:numFmt w:val="decimal"/>
      <w:start w:val="1"/>
    </w:lvl>
    <w:lvl w:ilvl="1">
      <w:lvlJc w:val="left"/>
      <w:lvlText w:val="(%2)"/>
      <w:numFmt w:val="lowerRoman"/>
      <w:start w:val="1"/>
    </w:lvl>
  </w:abstractNum>
  <w:abstractNum w:abstractNumId="15">
    <w:nsid w:val="2D1D5AE9"/>
    <w:multiLevelType w:val="hybridMultilevel"/>
    <w:lvl w:ilvl="0">
      <w:lvlJc w:val="left"/>
      <w:lvlText w:val="(%1)"/>
      <w:numFmt w:val="decimal"/>
      <w:start w:val="4"/>
    </w:lvl>
    <w:lvl w:ilvl="1">
      <w:lvlJc w:val="left"/>
      <w:lvlText w:val="%2"/>
      <w:numFmt w:val="lowerRoman"/>
      <w:start w:val="1"/>
    </w:lvl>
  </w:abstractNum>
  <w:abstractNum w:abstractNumId="16">
    <w:nsid w:val="6763845E"/>
    <w:multiLevelType w:val="hybridMultilevel"/>
    <w:lvl w:ilvl="0">
      <w:lvlJc w:val="left"/>
      <w:lvlText w:val="(%1)"/>
      <w:numFmt w:val="lowerLetter"/>
      <w:start w:val="3"/>
    </w:lvl>
  </w:abstractNum>
  <w:abstractNum w:abstractNumId="17">
    <w:nsid w:val="75A2A8D4"/>
    <w:multiLevelType w:val="hybridMultilevel"/>
    <w:lvl w:ilvl="0">
      <w:lvlJc w:val="left"/>
      <w:lvlText w:val="%1"/>
      <w:numFmt w:val="decimal"/>
      <w:start w:val="1"/>
    </w:lvl>
    <w:lvl w:ilvl="1">
      <w:lvlJc w:val="left"/>
      <w:lvlText w:val="(%2)"/>
      <w:numFmt w:val="lowerLetter"/>
      <w:start w:val="6"/>
    </w:lvl>
  </w:abstractNum>
  <w:abstractNum w:abstractNumId="18">
    <w:nsid w:val="8EDBDAB"/>
    <w:multiLevelType w:val="hybridMultilevel"/>
    <w:lvl w:ilvl="0">
      <w:lvlJc w:val="left"/>
      <w:lvlText w:val="%1."/>
      <w:numFmt w:val="decimal"/>
      <w:start w:val="11"/>
    </w:lvl>
    <w:lvl w:ilvl="1">
      <w:lvlJc w:val="left"/>
      <w:lvlText w:val="(%2)"/>
      <w:numFmt w:val="lowerLetter"/>
      <w:start w:val="1"/>
    </w:lvl>
  </w:abstractNum>
  <w:abstractNum w:abstractNumId="19">
    <w:nsid w:val="79838CB2"/>
    <w:multiLevelType w:val="hybridMultilevel"/>
    <w:lvl w:ilvl="0">
      <w:lvlJc w:val="left"/>
      <w:lvlText w:val="%1."/>
      <w:numFmt w:val="decimal"/>
      <w:start w:val="13"/>
    </w:lvl>
    <w:lvl w:ilvl="1">
      <w:lvlJc w:val="left"/>
      <w:lvlText w:val="(%2)"/>
      <w:numFmt w:val="low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80" Type="http://schemas.openxmlformats.org/officeDocument/2006/relationships/hyperlink" Target="http://www.sec.gov/Archives/edgar/data/1299130/000129913020000116/pacb-20200805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2020-11-03T05:17:04Z</dcterms:created>
  <dcterms:modified xsi:type="dcterms:W3CDTF">2020-11-03T05:17:04Z</dcterms:modified>
</cp:coreProperties>
</file>