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200" w:after="283"/>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Pursuant to Section 13 or 15(d)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Securities Exchange Act of 1934</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July 8, 2026</w:t>
      </w:r>
    </w:p>
    <w:p>
      <w:pPr>
        <w:pStyle w:val="TextBody"/>
        <w:bidi w:val="0"/>
        <w:spacing w:lineRule="auto" w:line="288" w:before="200" w:after="283"/>
        <w:jc w:val="center"/>
        <w:rPr>
          <w:rFonts w:ascii="Times New Roman;serif" w:hAnsi="Times New Roman;serif"/>
          <w:b/>
          <w:color w:val="000000"/>
          <w:sz w:val="48"/>
        </w:rPr>
      </w:pPr>
      <w:r>
        <w:rPr>
          <w:rFonts w:ascii="Times New Roman;serif" w:hAnsi="Times New Roman;serif"/>
          <w:b/>
          <w:color w:val="000000"/>
          <w:sz w:val="48"/>
        </w:rPr>
        <w:t>Pacific Biosciences of California,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4617" w:type="dxa"/>
        <w:jc w:val="left"/>
        <w:tblInd w:w="0" w:type="dxa"/>
        <w:tblLayout w:type="fixed"/>
        <w:tblCellMar>
          <w:top w:w="28" w:type="dxa"/>
          <w:left w:w="28" w:type="dxa"/>
          <w:bottom w:w="28" w:type="dxa"/>
          <w:right w:w="28" w:type="dxa"/>
        </w:tblCellMar>
      </w:tblPr>
      <w:tblGrid>
        <w:gridCol w:w="748"/>
        <w:gridCol w:w="656"/>
        <w:gridCol w:w="665"/>
        <w:gridCol w:w="353"/>
        <w:gridCol w:w="353"/>
        <w:gridCol w:w="358"/>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001-34899</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16-1590339</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1305 O’Brien Drive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Menlo Park, California 94025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(650) 521-8000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w:t>
      </w:r>
    </w:p>
    <w:p>
      <w:pPr>
        <w:pStyle w:val="TextBody"/>
        <w:bidi w:val="0"/>
        <w:spacing w:lineRule="auto" w:line="288" w:before="200" w:after="283"/>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(see General Instruction A.2. below): </w:t>
      </w:r>
    </w:p>
    <w:tbl>
      <w:tblPr>
        <w:tblW w:w="9567" w:type="dxa"/>
        <w:jc w:val="left"/>
        <w:tblInd w:w="0" w:type="dxa"/>
        <w:tblLayout w:type="fixed"/>
        <w:tblCellMar>
          <w:top w:w="28" w:type="dxa"/>
          <w:left w:w="28" w:type="dxa"/>
          <w:bottom w:w="28" w:type="dxa"/>
          <w:right w:w="28" w:type="dxa"/>
        </w:tblCellMar>
      </w:tblPr>
      <w:tblGrid>
        <w:gridCol w:w="124"/>
        <w:gridCol w:w="109"/>
        <w:gridCol w:w="109"/>
        <w:gridCol w:w="2698"/>
        <w:gridCol w:w="2698"/>
        <w:gridCol w:w="3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2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Written communications pursuant to Rule 425 under the Securities Act (17 CFR 230.425)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2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2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Pre-commencement communications pursuant to Rule 14d-2(b) under the Exchange Act (17 CFR 240.14d-2(b))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2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Pre-commencement communications pursuant to Rule 13e-4(c) under the Exchange Act (17 CFR 240.13e-4(c)) </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187" w:type="dxa"/>
        <w:jc w:val="left"/>
        <w:tblInd w:w="0" w:type="dxa"/>
        <w:tblLayout w:type="fixed"/>
        <w:tblCellMar>
          <w:top w:w="28" w:type="dxa"/>
          <w:left w:w="28" w:type="dxa"/>
          <w:bottom w:w="28" w:type="dxa"/>
          <w:right w:w="28" w:type="dxa"/>
        </w:tblCellMar>
      </w:tblPr>
      <w:tblGrid>
        <w:gridCol w:w="1361"/>
        <w:gridCol w:w="1194"/>
        <w:gridCol w:w="1210"/>
        <w:gridCol w:w="109"/>
        <w:gridCol w:w="109"/>
        <w:gridCol w:w="109"/>
        <w:gridCol w:w="484"/>
        <w:gridCol w:w="484"/>
        <w:gridCol w:w="486"/>
        <w:gridCol w:w="109"/>
        <w:gridCol w:w="109"/>
        <w:gridCol w:w="109"/>
        <w:gridCol w:w="970"/>
        <w:gridCol w:w="970"/>
        <w:gridCol w:w="1374"/>
      </w:tblGrid>
      <w:tr>
        <w:trPr/>
        <w:tc>
          <w:tcPr>
            <w:tcW w:w="136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PACB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200" w:after="283"/>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0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440"/>
        <w:jc w:val="left"/>
        <w:rPr/>
      </w:pPr>
      <w:r>
        <w:rPr>
          <w:rFonts w:ascii="Times New Roman;serif" w:hAnsi="Times New Roman;serif"/>
          <w:b/>
          <w:color w:val="000000"/>
          <w:sz w:val="20"/>
        </w:rPr>
        <w:t>ITEM 5.02.    DEPARTURE OF DIRECTORS OR CERTAIN OFFICERS; ELECTION OF DIRECTORS; APPOINTMENT OF CERTAIN OFFICERS; COMPENSATORY ARRANGEMENTS OF CERTAIN OFFICERS.</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July 8, 2026, Christopher M. Smith, a member of the board of directors (the “Board”) of Pacific Biosciences of California, Inc. (the “Company”), notified the Company of his resignation from the Board, effective immediately. The Company is not aware of any disagreement between Mr. Smith and the Company on any matter relating to the Company’s operations, policies or practices that resulted in Mr. Smith’s resignation.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905" w:type="dxa"/>
        <w:jc w:val="left"/>
        <w:tblInd w:w="0" w:type="dxa"/>
        <w:tblLayout w:type="fixed"/>
        <w:tblCellMar>
          <w:top w:w="28" w:type="dxa"/>
          <w:left w:w="28" w:type="dxa"/>
          <w:bottom w:w="28" w:type="dxa"/>
          <w:right w:w="28" w:type="dxa"/>
        </w:tblCellMar>
      </w:tblPr>
      <w:tblGrid>
        <w:gridCol w:w="580"/>
        <w:gridCol w:w="511"/>
        <w:gridCol w:w="514"/>
        <w:gridCol w:w="513"/>
        <w:gridCol w:w="513"/>
        <w:gridCol w:w="513"/>
        <w:gridCol w:w="513"/>
        <w:gridCol w:w="513"/>
        <w:gridCol w:w="735"/>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Pacific Biosciences of California, Inc.</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Brett Atkins</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Brett Atkins</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General Counsel</w:t>
            </w:r>
          </w:p>
        </w:tc>
      </w:tr>
      <w:tr>
        <w:trPr/>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9, 2026</w:t>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442</Words>
  <Characters>2457</Characters>
  <CharactersWithSpaces>2860</CharactersWithSpaces>
  <Paragraphs>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