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1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168910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jc w:val="center"/>
        <w:ind w:right="20"/>
        <w:spacing w:after="0" w:line="231" w:lineRule="auto"/>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2279650</wp:posOffset>
            </wp:positionH>
            <wp:positionV relativeFrom="paragraph">
              <wp:posOffset>96520</wp:posOffset>
            </wp:positionV>
            <wp:extent cx="2583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2279650</wp:posOffset>
            </wp:positionH>
            <wp:positionV relativeFrom="paragraph">
              <wp:posOffset>102870</wp:posOffset>
            </wp:positionV>
            <wp:extent cx="25838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(Mark One)</w:t>
      </w:r>
    </w:p>
    <w:p>
      <w:pPr>
        <w:ind w:left="4160" w:right="1580" w:hanging="2427"/>
        <w:spacing w:after="0" w:line="431" w:lineRule="auto"/>
        <w:tabs>
          <w:tab w:leader="none" w:pos="1979"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REPORT PURSUANT TO SECTION 13 OR 15(d) OF THE SECURITIES EXCHANGE ACT OF 1934 For the quarterly period ended June 30, 2022</w:t>
      </w:r>
    </w:p>
    <w:p>
      <w:pPr>
        <w:spacing w:after="0" w:line="274" w:lineRule="exact"/>
        <w:rPr>
          <w:sz w:val="24"/>
          <w:szCs w:val="24"/>
          <w:color w:val="auto"/>
        </w:rPr>
      </w:pPr>
    </w:p>
    <w:p>
      <w:pPr>
        <w:ind w:left="1980" w:hanging="253"/>
        <w:spacing w:after="0"/>
        <w:tabs>
          <w:tab w:leader="none" w:pos="198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31" w:lineRule="exact"/>
        <w:rPr>
          <w:sz w:val="24"/>
          <w:szCs w:val="24"/>
          <w:color w:val="auto"/>
        </w:rPr>
      </w:pPr>
    </w:p>
    <w:p>
      <w:pPr>
        <w:ind w:left="4080"/>
        <w:spacing w:after="0"/>
        <w:tabs>
          <w:tab w:leader="none" w:pos="65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2279650</wp:posOffset>
            </wp:positionH>
            <wp:positionV relativeFrom="paragraph">
              <wp:posOffset>106680</wp:posOffset>
            </wp:positionV>
            <wp:extent cx="258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3815" cy="825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163195</wp:posOffset>
            </wp:positionV>
            <wp:extent cx="2070100" cy="449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0100" cy="449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20" w:type="dxa"/>
            <w:vAlign w:val="bottom"/>
            <w:gridSpan w:val="3"/>
          </w:tcPr>
          <w:p>
            <w:pPr>
              <w:jc w:val="center"/>
              <w:ind w:right="360"/>
              <w:spacing w:after="0"/>
              <w:rPr>
                <w:sz w:val="20"/>
                <w:szCs w:val="20"/>
                <w:color w:val="auto"/>
              </w:rPr>
            </w:pPr>
            <w:r>
              <w:rPr>
                <w:rFonts w:ascii="Arial" w:cs="Arial" w:eastAsia="Arial" w:hAnsi="Arial"/>
                <w:sz w:val="20"/>
                <w:szCs w:val="20"/>
                <w:b w:val="1"/>
                <w:bCs w:val="1"/>
                <w:color w:val="auto"/>
                <w:w w:val="90"/>
              </w:rPr>
              <w:t>Pacific Biosciences of California, Inc.</w:t>
            </w:r>
          </w:p>
        </w:tc>
        <w:tc>
          <w:tcPr>
            <w:tcW w:w="3600" w:type="dxa"/>
            <w:vAlign w:val="bottom"/>
          </w:tcPr>
          <w:p>
            <w:pPr>
              <w:spacing w:after="0"/>
              <w:rPr>
                <w:sz w:val="19"/>
                <w:szCs w:val="19"/>
                <w:color w:val="auto"/>
              </w:rPr>
            </w:pPr>
          </w:p>
        </w:tc>
      </w:tr>
      <w:tr>
        <w:trPr>
          <w:trHeight w:val="195"/>
        </w:trPr>
        <w:tc>
          <w:tcPr>
            <w:tcW w:w="3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20" w:type="dxa"/>
            <w:vAlign w:val="bottom"/>
            <w:gridSpan w:val="3"/>
          </w:tcPr>
          <w:p>
            <w:pPr>
              <w:jc w:val="center"/>
              <w:ind w:right="360"/>
              <w:spacing w:after="0"/>
              <w:rPr>
                <w:sz w:val="20"/>
                <w:szCs w:val="20"/>
                <w:color w:val="auto"/>
              </w:rPr>
            </w:pPr>
            <w:r>
              <w:rPr>
                <w:rFonts w:ascii="Arial" w:cs="Arial" w:eastAsia="Arial" w:hAnsi="Arial"/>
                <w:sz w:val="15"/>
                <w:szCs w:val="15"/>
                <w:b w:val="1"/>
                <w:bCs w:val="1"/>
                <w:color w:val="auto"/>
                <w:w w:val="90"/>
              </w:rPr>
              <w:t>(Exact name of registrant as specified in its charter)</w:t>
            </w:r>
          </w:p>
        </w:tc>
        <w:tc>
          <w:tcPr>
            <w:tcW w:w="3600" w:type="dxa"/>
            <w:vAlign w:val="bottom"/>
          </w:tcPr>
          <w:p>
            <w:pPr>
              <w:spacing w:after="0"/>
              <w:rPr>
                <w:sz w:val="16"/>
                <w:szCs w:val="16"/>
                <w:color w:val="auto"/>
              </w:rPr>
            </w:pPr>
          </w:p>
        </w:tc>
      </w:tr>
      <w:tr>
        <w:trPr>
          <w:trHeight w:val="146"/>
        </w:trPr>
        <w:tc>
          <w:tcPr>
            <w:tcW w:w="35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0" w:type="dxa"/>
            <w:vAlign w:val="bottom"/>
          </w:tcPr>
          <w:p>
            <w:pPr>
              <w:spacing w:after="0"/>
              <w:rPr>
                <w:sz w:val="12"/>
                <w:szCs w:val="12"/>
                <w:color w:val="auto"/>
              </w:rPr>
            </w:pPr>
          </w:p>
        </w:tc>
      </w:tr>
      <w:tr>
        <w:trPr>
          <w:trHeight w:val="288"/>
        </w:trPr>
        <w:tc>
          <w:tcPr>
            <w:tcW w:w="3940" w:type="dxa"/>
            <w:vAlign w:val="bottom"/>
            <w:gridSpan w:val="2"/>
          </w:tcPr>
          <w:p>
            <w:pPr>
              <w:jc w:val="center"/>
              <w:ind w:left="1613"/>
              <w:spacing w:after="0"/>
              <w:rPr>
                <w:sz w:val="20"/>
                <w:szCs w:val="20"/>
                <w:color w:val="auto"/>
              </w:rPr>
            </w:pPr>
            <w:r>
              <w:rPr>
                <w:rFonts w:ascii="Arial" w:cs="Arial" w:eastAsia="Arial" w:hAnsi="Arial"/>
                <w:sz w:val="13"/>
                <w:szCs w:val="13"/>
                <w:b w:val="1"/>
                <w:bCs w:val="1"/>
                <w:color w:val="auto"/>
                <w:w w:val="94"/>
              </w:rPr>
              <w:t>Delaware</w:t>
            </w: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jc w:val="right"/>
              <w:ind w:right="2433"/>
              <w:spacing w:after="0"/>
              <w:rPr>
                <w:sz w:val="20"/>
                <w:szCs w:val="20"/>
                <w:color w:val="auto"/>
              </w:rPr>
            </w:pPr>
            <w:r>
              <w:rPr>
                <w:rFonts w:ascii="Arial" w:cs="Arial" w:eastAsia="Arial" w:hAnsi="Arial"/>
                <w:sz w:val="13"/>
                <w:szCs w:val="13"/>
                <w:b w:val="1"/>
                <w:bCs w:val="1"/>
                <w:color w:val="auto"/>
              </w:rPr>
              <w:t>16-1590339</w:t>
            </w:r>
          </w:p>
        </w:tc>
      </w:tr>
      <w:tr>
        <w:trPr>
          <w:trHeight w:val="139"/>
        </w:trPr>
        <w:tc>
          <w:tcPr>
            <w:tcW w:w="3940" w:type="dxa"/>
            <w:vAlign w:val="bottom"/>
            <w:gridSpan w:val="2"/>
          </w:tcPr>
          <w:p>
            <w:pPr>
              <w:jc w:val="center"/>
              <w:ind w:left="1633"/>
              <w:spacing w:after="0" w:line="139" w:lineRule="exact"/>
              <w:rPr>
                <w:sz w:val="20"/>
                <w:szCs w:val="20"/>
                <w:color w:val="auto"/>
              </w:rPr>
            </w:pPr>
            <w:r>
              <w:rPr>
                <w:rFonts w:ascii="Arial" w:cs="Arial" w:eastAsia="Arial" w:hAnsi="Arial"/>
                <w:sz w:val="13"/>
                <w:szCs w:val="13"/>
                <w:b w:val="1"/>
                <w:bCs w:val="1"/>
                <w:color w:val="auto"/>
                <w:w w:val="94"/>
              </w:rPr>
              <w:t>(State or other jurisdiction of</w:t>
            </w:r>
          </w:p>
        </w:tc>
        <w:tc>
          <w:tcPr>
            <w:tcW w:w="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0" w:type="dxa"/>
            <w:vAlign w:val="bottom"/>
          </w:tcPr>
          <w:p>
            <w:pPr>
              <w:jc w:val="center"/>
              <w:ind w:right="1993"/>
              <w:spacing w:after="0" w:line="139"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940" w:type="dxa"/>
            <w:vAlign w:val="bottom"/>
            <w:gridSpan w:val="2"/>
          </w:tcPr>
          <w:p>
            <w:pPr>
              <w:jc w:val="center"/>
              <w:ind w:left="1633"/>
              <w:spacing w:after="0"/>
              <w:rPr>
                <w:sz w:val="20"/>
                <w:szCs w:val="20"/>
                <w:color w:val="auto"/>
              </w:rPr>
            </w:pPr>
            <w:r>
              <w:rPr>
                <w:rFonts w:ascii="Arial" w:cs="Arial" w:eastAsia="Arial" w:hAnsi="Arial"/>
                <w:sz w:val="13"/>
                <w:szCs w:val="13"/>
                <w:b w:val="1"/>
                <w:bCs w:val="1"/>
                <w:color w:val="auto"/>
                <w:w w:val="94"/>
              </w:rPr>
              <w:t>incorporation or organization)</w:t>
            </w:r>
          </w:p>
        </w:tc>
        <w:tc>
          <w:tcPr>
            <w:tcW w:w="3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0" w:type="dxa"/>
            <w:vAlign w:val="bottom"/>
          </w:tcPr>
          <w:p>
            <w:pPr>
              <w:jc w:val="center"/>
              <w:ind w:right="1993"/>
              <w:spacing w:after="0"/>
              <w:rPr>
                <w:sz w:val="20"/>
                <w:szCs w:val="20"/>
                <w:color w:val="auto"/>
              </w:rPr>
            </w:pPr>
            <w:r>
              <w:rPr>
                <w:rFonts w:ascii="Arial" w:cs="Arial" w:eastAsia="Arial" w:hAnsi="Arial"/>
                <w:sz w:val="13"/>
                <w:szCs w:val="13"/>
                <w:b w:val="1"/>
                <w:bCs w:val="1"/>
                <w:color w:val="auto"/>
                <w:w w:val="96"/>
              </w:rPr>
              <w:t>Identification No.)</w:t>
            </w:r>
          </w:p>
        </w:tc>
      </w:tr>
      <w:tr>
        <w:trPr>
          <w:trHeight w:val="256"/>
        </w:trPr>
        <w:tc>
          <w:tcPr>
            <w:tcW w:w="3940" w:type="dxa"/>
            <w:vAlign w:val="bottom"/>
            <w:gridSpan w:val="2"/>
          </w:tcPr>
          <w:p>
            <w:pPr>
              <w:jc w:val="center"/>
              <w:ind w:left="1613"/>
              <w:spacing w:after="0"/>
              <w:rPr>
                <w:sz w:val="20"/>
                <w:szCs w:val="20"/>
                <w:color w:val="auto"/>
              </w:rPr>
            </w:pPr>
            <w:r>
              <w:rPr>
                <w:rFonts w:ascii="Arial" w:cs="Arial" w:eastAsia="Arial" w:hAnsi="Arial"/>
                <w:sz w:val="13"/>
                <w:szCs w:val="13"/>
                <w:b w:val="1"/>
                <w:bCs w:val="1"/>
                <w:color w:val="auto"/>
                <w:w w:val="98"/>
              </w:rPr>
              <w:t>1305 O’Brien Drive</w:t>
            </w:r>
          </w:p>
        </w:tc>
        <w:tc>
          <w:tcPr>
            <w:tcW w:w="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152"/>
        </w:trPr>
        <w:tc>
          <w:tcPr>
            <w:tcW w:w="3940" w:type="dxa"/>
            <w:vAlign w:val="bottom"/>
            <w:gridSpan w:val="2"/>
          </w:tcPr>
          <w:p>
            <w:pPr>
              <w:jc w:val="center"/>
              <w:ind w:left="1613"/>
              <w:spacing w:after="0"/>
              <w:rPr>
                <w:sz w:val="20"/>
                <w:szCs w:val="20"/>
                <w:color w:val="auto"/>
              </w:rPr>
            </w:pPr>
            <w:r>
              <w:rPr>
                <w:rFonts w:ascii="Arial" w:cs="Arial" w:eastAsia="Arial" w:hAnsi="Arial"/>
                <w:sz w:val="13"/>
                <w:szCs w:val="13"/>
                <w:b w:val="1"/>
                <w:bCs w:val="1"/>
                <w:color w:val="auto"/>
                <w:w w:val="98"/>
              </w:rPr>
              <w:t>Menlo Park, CA</w:t>
            </w:r>
          </w:p>
        </w:tc>
        <w:tc>
          <w:tcPr>
            <w:tcW w:w="3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0" w:type="dxa"/>
            <w:vAlign w:val="bottom"/>
          </w:tcPr>
          <w:p>
            <w:pPr>
              <w:jc w:val="right"/>
              <w:ind w:right="2593"/>
              <w:spacing w:after="0"/>
              <w:rPr>
                <w:sz w:val="20"/>
                <w:szCs w:val="20"/>
                <w:color w:val="auto"/>
              </w:rPr>
            </w:pPr>
            <w:r>
              <w:rPr>
                <w:rFonts w:ascii="Arial" w:cs="Arial" w:eastAsia="Arial" w:hAnsi="Arial"/>
                <w:sz w:val="13"/>
                <w:szCs w:val="13"/>
                <w:b w:val="1"/>
                <w:bCs w:val="1"/>
                <w:color w:val="auto"/>
              </w:rPr>
              <w:t>94025</w:t>
            </w:r>
          </w:p>
        </w:tc>
      </w:tr>
      <w:tr>
        <w:trPr>
          <w:trHeight w:val="174"/>
        </w:trPr>
        <w:tc>
          <w:tcPr>
            <w:tcW w:w="3940" w:type="dxa"/>
            <w:vAlign w:val="bottom"/>
            <w:gridSpan w:val="2"/>
          </w:tcPr>
          <w:p>
            <w:pPr>
              <w:jc w:val="center"/>
              <w:ind w:left="1613"/>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0" w:type="dxa"/>
            <w:vAlign w:val="bottom"/>
          </w:tcPr>
          <w:p>
            <w:pPr>
              <w:jc w:val="center"/>
              <w:ind w:right="1993"/>
              <w:spacing w:after="0"/>
              <w:rPr>
                <w:sz w:val="20"/>
                <w:szCs w:val="20"/>
                <w:color w:val="auto"/>
              </w:rPr>
            </w:pPr>
            <w:r>
              <w:rPr>
                <w:rFonts w:ascii="Arial" w:cs="Arial" w:eastAsia="Arial" w:hAnsi="Arial"/>
                <w:sz w:val="13"/>
                <w:szCs w:val="13"/>
                <w:b w:val="1"/>
                <w:bCs w:val="1"/>
                <w:color w:val="auto"/>
                <w:w w:val="96"/>
              </w:rPr>
              <w:t>(Zip Code)</w:t>
            </w:r>
          </w:p>
        </w:tc>
      </w:tr>
      <w:tr>
        <w:trPr>
          <w:trHeight w:val="256"/>
        </w:trPr>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00" w:type="dxa"/>
            <w:vAlign w:val="bottom"/>
            <w:gridSpan w:val="2"/>
          </w:tcPr>
          <w:p>
            <w:pPr>
              <w:jc w:val="center"/>
              <w:ind w:left="184"/>
              <w:spacing w:after="0"/>
              <w:rPr>
                <w:sz w:val="20"/>
                <w:szCs w:val="20"/>
                <w:color w:val="auto"/>
              </w:rPr>
            </w:pPr>
            <w:r>
              <w:rPr>
                <w:rFonts w:ascii="Arial" w:cs="Arial" w:eastAsia="Arial" w:hAnsi="Arial"/>
                <w:sz w:val="13"/>
                <w:szCs w:val="13"/>
                <w:b w:val="1"/>
                <w:bCs w:val="1"/>
                <w:color w:val="auto"/>
                <w:w w:val="94"/>
              </w:rPr>
              <w:t>(650) 521-8000</w:t>
            </w:r>
          </w:p>
        </w:tc>
        <w:tc>
          <w:tcPr>
            <w:tcW w:w="62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174"/>
        </w:trPr>
        <w:tc>
          <w:tcPr>
            <w:tcW w:w="3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72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3600" w:type="dxa"/>
            <w:vAlign w:val="bottom"/>
          </w:tcPr>
          <w:p>
            <w:pPr>
              <w:spacing w:after="0"/>
              <w:rPr>
                <w:sz w:val="15"/>
                <w:szCs w:val="15"/>
                <w:color w:val="auto"/>
              </w:rPr>
            </w:pPr>
          </w:p>
        </w:tc>
      </w:tr>
      <w:tr>
        <w:trPr>
          <w:trHeight w:val="137"/>
        </w:trPr>
        <w:tc>
          <w:tcPr>
            <w:tcW w:w="35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r>
      <w:tr>
        <w:trPr>
          <w:trHeight w:val="247"/>
        </w:trPr>
        <w:tc>
          <w:tcPr>
            <w:tcW w:w="3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20" w:type="dxa"/>
            <w:vAlign w:val="bottom"/>
            <w:gridSpan w:val="3"/>
          </w:tcPr>
          <w:p>
            <w:pPr>
              <w:jc w:val="center"/>
              <w:ind w:right="340"/>
              <w:spacing w:after="0"/>
              <w:rPr>
                <w:sz w:val="20"/>
                <w:szCs w:val="20"/>
                <w:color w:val="auto"/>
              </w:rPr>
            </w:pPr>
            <w:r>
              <w:rPr>
                <w:rFonts w:ascii="Arial" w:cs="Arial" w:eastAsia="Arial" w:hAnsi="Arial"/>
                <w:sz w:val="13"/>
                <w:szCs w:val="13"/>
                <w:color w:val="auto"/>
                <w:w w:val="93"/>
              </w:rPr>
              <w:t>Securities registered pursuant to Section 12(b) of the Act:</w:t>
            </w:r>
          </w:p>
        </w:tc>
        <w:tc>
          <w:tcPr>
            <w:tcW w:w="3600" w:type="dxa"/>
            <w:vAlign w:val="bottom"/>
          </w:tcPr>
          <w:p>
            <w:pPr>
              <w:spacing w:after="0"/>
              <w:rPr>
                <w:sz w:val="21"/>
                <w:szCs w:val="21"/>
                <w:color w:val="auto"/>
              </w:rPr>
            </w:pPr>
          </w:p>
        </w:tc>
      </w:tr>
      <w:tr>
        <w:trPr>
          <w:trHeight w:val="99"/>
        </w:trPr>
        <w:tc>
          <w:tcPr>
            <w:tcW w:w="394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r>
      <w:tr>
        <w:trPr>
          <w:trHeight w:val="167"/>
        </w:trPr>
        <w:tc>
          <w:tcPr>
            <w:tcW w:w="3940" w:type="dxa"/>
            <w:vAlign w:val="bottom"/>
            <w:tcBorders>
              <w:left w:val="single" w:sz="8" w:color="auto"/>
              <w:bottom w:val="single" w:sz="8" w:color="auto"/>
            </w:tcBorders>
            <w:gridSpan w:val="2"/>
          </w:tcPr>
          <w:p>
            <w:pPr>
              <w:jc w:val="center"/>
              <w:ind w:left="233"/>
              <w:spacing w:after="0"/>
              <w:rPr>
                <w:sz w:val="20"/>
                <w:szCs w:val="20"/>
                <w:color w:val="auto"/>
              </w:rPr>
            </w:pPr>
            <w:r>
              <w:rPr>
                <w:rFonts w:ascii="Arial" w:cs="Arial" w:eastAsia="Arial" w:hAnsi="Arial"/>
                <w:sz w:val="13"/>
                <w:szCs w:val="13"/>
                <w:color w:val="auto"/>
                <w:w w:val="92"/>
              </w:rPr>
              <w:t>Title of each class</w:t>
            </w:r>
          </w:p>
        </w:tc>
        <w:tc>
          <w:tcPr>
            <w:tcW w:w="300" w:type="dxa"/>
            <w:vAlign w:val="bottom"/>
            <w:tcBorders>
              <w:bottom w:val="single" w:sz="8" w:color="auto"/>
              <w:righ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Trading Symbol(s)</w:t>
            </w:r>
          </w:p>
        </w:tc>
        <w:tc>
          <w:tcPr>
            <w:tcW w:w="620" w:type="dxa"/>
            <w:vAlign w:val="bottom"/>
            <w:tcBorders>
              <w:bottom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jc w:val="center"/>
              <w:ind w:right="553"/>
              <w:spacing w:after="0"/>
              <w:rPr>
                <w:sz w:val="20"/>
                <w:szCs w:val="20"/>
                <w:color w:val="auto"/>
              </w:rPr>
            </w:pPr>
            <w:r>
              <w:rPr>
                <w:rFonts w:ascii="Arial" w:cs="Arial" w:eastAsia="Arial" w:hAnsi="Arial"/>
                <w:sz w:val="13"/>
                <w:szCs w:val="13"/>
                <w:color w:val="auto"/>
                <w:w w:val="92"/>
              </w:rPr>
              <w:t>Name of each exchange on which registered</w:t>
            </w:r>
          </w:p>
        </w:tc>
      </w:tr>
      <w:tr>
        <w:trPr>
          <w:trHeight w:val="170"/>
        </w:trPr>
        <w:tc>
          <w:tcPr>
            <w:tcW w:w="3940" w:type="dxa"/>
            <w:vAlign w:val="bottom"/>
            <w:tcBorders>
              <w:left w:val="single" w:sz="8" w:color="auto"/>
              <w:bottom w:val="single" w:sz="8" w:color="auto"/>
            </w:tcBorders>
            <w:gridSpan w:val="2"/>
          </w:tcPr>
          <w:p>
            <w:pPr>
              <w:jc w:val="center"/>
              <w:ind w:left="233"/>
              <w:spacing w:after="0"/>
              <w:rPr>
                <w:sz w:val="20"/>
                <w:szCs w:val="20"/>
                <w:color w:val="auto"/>
              </w:rPr>
            </w:pPr>
            <w:r>
              <w:rPr>
                <w:rFonts w:ascii="Arial" w:cs="Arial" w:eastAsia="Arial" w:hAnsi="Arial"/>
                <w:sz w:val="13"/>
                <w:szCs w:val="13"/>
                <w:color w:val="auto"/>
                <w:w w:val="92"/>
              </w:rPr>
              <w:t>Common Stock, par value $0.001 per share</w:t>
            </w:r>
          </w:p>
        </w:tc>
        <w:tc>
          <w:tcPr>
            <w:tcW w:w="300" w:type="dxa"/>
            <w:vAlign w:val="bottom"/>
            <w:tcBorders>
              <w:bottom w:val="single" w:sz="8" w:color="auto"/>
              <w:right w:val="single" w:sz="8" w:color="auto"/>
            </w:tcBorders>
          </w:tcPr>
          <w:p>
            <w:pPr>
              <w:spacing w:after="0"/>
              <w:rPr>
                <w:sz w:val="14"/>
                <w:szCs w:val="14"/>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PACB</w:t>
            </w:r>
          </w:p>
        </w:tc>
        <w:tc>
          <w:tcPr>
            <w:tcW w:w="620" w:type="dxa"/>
            <w:vAlign w:val="bottom"/>
            <w:tcBorders>
              <w:bottom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jc w:val="center"/>
              <w:ind w:right="553"/>
              <w:spacing w:after="0"/>
              <w:rPr>
                <w:sz w:val="20"/>
                <w:szCs w:val="20"/>
                <w:color w:val="auto"/>
              </w:rPr>
            </w:pPr>
            <w:r>
              <w:rPr>
                <w:rFonts w:ascii="Arial" w:cs="Arial" w:eastAsia="Arial" w:hAnsi="Arial"/>
                <w:sz w:val="13"/>
                <w:szCs w:val="13"/>
                <w:color w:val="auto"/>
                <w:w w:val="98"/>
              </w:rPr>
              <w:t>The NASDAQ Stock Market LLC</w:t>
            </w:r>
          </w:p>
        </w:tc>
      </w:tr>
    </w:tbl>
    <w:p>
      <w:pPr>
        <w:spacing w:after="0" w:line="58" w:lineRule="exact"/>
        <w:rPr>
          <w:sz w:val="24"/>
          <w:szCs w:val="24"/>
          <w:color w:val="auto"/>
        </w:rPr>
      </w:pPr>
    </w:p>
    <w:p>
      <w:pPr>
        <w:ind w:right="260" w:firstLine="412"/>
        <w:spacing w:after="0" w:line="259"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107" w:lineRule="exact"/>
        <w:rPr>
          <w:sz w:val="24"/>
          <w:szCs w:val="24"/>
          <w:color w:val="auto"/>
        </w:rPr>
      </w:pPr>
    </w:p>
    <w:p>
      <w:pPr>
        <w:ind w:right="40" w:firstLine="412"/>
        <w:spacing w:after="0" w:line="259"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T No o</w:t>
      </w:r>
    </w:p>
    <w:p>
      <w:pPr>
        <w:spacing w:after="0" w:line="107" w:lineRule="exact"/>
        <w:rPr>
          <w:sz w:val="24"/>
          <w:szCs w:val="24"/>
          <w:color w:val="auto"/>
        </w:rPr>
      </w:pPr>
    </w:p>
    <w:p>
      <w:pPr>
        <w:ind w:left="42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w:t>
      </w:r>
    </w:p>
    <w:tbl>
      <w:tblPr>
        <w:tblLayout w:type="fixed"/>
        <w:tblInd w:w="0" w:type="dxa"/>
        <w:tblCellMar>
          <w:top w:w="0" w:type="dxa"/>
          <w:left w:w="0" w:type="dxa"/>
          <w:bottom w:w="0" w:type="dxa"/>
          <w:right w:w="0" w:type="dxa"/>
        </w:tblCellMar>
      </w:tblPr>
      <w:tr>
        <w:trPr>
          <w:trHeight w:val="140"/>
        </w:trPr>
        <w:tc>
          <w:tcPr>
            <w:tcW w:w="10140" w:type="dxa"/>
            <w:vAlign w:val="bottom"/>
            <w:gridSpan w:val="3"/>
          </w:tcPr>
          <w:p>
            <w:pPr>
              <w:spacing w:after="0" w:line="140" w:lineRule="exact"/>
              <w:rPr>
                <w:sz w:val="20"/>
                <w:szCs w:val="20"/>
                <w:color w:val="auto"/>
              </w:rPr>
            </w:pPr>
            <w:r>
              <w:rPr>
                <w:rFonts w:ascii="Arial" w:cs="Arial" w:eastAsia="Arial" w:hAnsi="Arial"/>
                <w:sz w:val="13"/>
                <w:szCs w:val="13"/>
                <w:color w:val="auto"/>
              </w:rPr>
              <w:t>of “large accelerated filer,” “accelerated filer,” “smaller reporting company” and “emerging growth company” in Rule 12b-2 of the Exchange Act.</w:t>
            </w:r>
          </w:p>
        </w:tc>
        <w:tc>
          <w:tcPr>
            <w:tcW w:w="900" w:type="dxa"/>
            <w:vAlign w:val="bottom"/>
          </w:tcPr>
          <w:p>
            <w:pPr>
              <w:spacing w:after="0"/>
              <w:rPr>
                <w:sz w:val="12"/>
                <w:szCs w:val="12"/>
                <w:color w:val="auto"/>
              </w:rPr>
            </w:pPr>
          </w:p>
        </w:tc>
      </w:tr>
      <w:tr>
        <w:trPr>
          <w:trHeight w:val="139"/>
        </w:trPr>
        <w:tc>
          <w:tcPr>
            <w:tcW w:w="2180" w:type="dxa"/>
            <w:vAlign w:val="bottom"/>
          </w:tcPr>
          <w:p>
            <w:pPr>
              <w:ind w:left="20"/>
              <w:spacing w:after="0" w:line="139" w:lineRule="exact"/>
              <w:rPr>
                <w:sz w:val="20"/>
                <w:szCs w:val="20"/>
                <w:color w:val="auto"/>
              </w:rPr>
            </w:pPr>
            <w:r>
              <w:rPr>
                <w:rFonts w:ascii="Arial" w:cs="Arial" w:eastAsia="Arial" w:hAnsi="Arial"/>
                <w:sz w:val="13"/>
                <w:szCs w:val="13"/>
                <w:color w:val="auto"/>
              </w:rPr>
              <w:t>Large accelerated filer</w:t>
            </w:r>
          </w:p>
        </w:tc>
        <w:tc>
          <w:tcPr>
            <w:tcW w:w="3220" w:type="dxa"/>
            <w:vAlign w:val="bottom"/>
          </w:tcPr>
          <w:p>
            <w:pPr>
              <w:ind w:left="720"/>
              <w:spacing w:after="0" w:line="139" w:lineRule="exact"/>
              <w:rPr>
                <w:sz w:val="20"/>
                <w:szCs w:val="20"/>
                <w:color w:val="auto"/>
              </w:rPr>
            </w:pPr>
            <w:r>
              <w:rPr>
                <w:rFonts w:ascii="Arial" w:cs="Arial" w:eastAsia="Arial" w:hAnsi="Arial"/>
                <w:sz w:val="13"/>
                <w:szCs w:val="13"/>
                <w:color w:val="auto"/>
              </w:rPr>
              <w:t>T</w:t>
            </w:r>
          </w:p>
        </w:tc>
        <w:tc>
          <w:tcPr>
            <w:tcW w:w="4740" w:type="dxa"/>
            <w:vAlign w:val="bottom"/>
          </w:tcPr>
          <w:p>
            <w:pPr>
              <w:ind w:left="2440"/>
              <w:spacing w:after="0" w:line="139" w:lineRule="exact"/>
              <w:rPr>
                <w:sz w:val="20"/>
                <w:szCs w:val="20"/>
                <w:color w:val="auto"/>
              </w:rPr>
            </w:pPr>
            <w:r>
              <w:rPr>
                <w:rFonts w:ascii="Arial" w:cs="Arial" w:eastAsia="Arial" w:hAnsi="Arial"/>
                <w:sz w:val="13"/>
                <w:szCs w:val="13"/>
                <w:color w:val="auto"/>
              </w:rPr>
              <w:t>Accelerated filer</w:t>
            </w:r>
          </w:p>
        </w:tc>
        <w:tc>
          <w:tcPr>
            <w:tcW w:w="900" w:type="dxa"/>
            <w:vAlign w:val="bottom"/>
          </w:tcPr>
          <w:p>
            <w:pPr>
              <w:ind w:left="840"/>
              <w:spacing w:after="0"/>
              <w:rPr>
                <w:sz w:val="20"/>
                <w:szCs w:val="20"/>
                <w:color w:val="auto"/>
              </w:rPr>
            </w:pPr>
            <w:r>
              <w:rPr>
                <w:rFonts w:ascii="Arial" w:cs="Arial" w:eastAsia="Arial" w:hAnsi="Arial"/>
                <w:sz w:val="10"/>
                <w:szCs w:val="10"/>
                <w:color w:val="auto"/>
                <w:w w:val="71"/>
              </w:rPr>
              <w:t>o</w:t>
            </w:r>
          </w:p>
        </w:tc>
      </w:tr>
      <w:tr>
        <w:trPr>
          <w:trHeight w:val="172"/>
        </w:trPr>
        <w:tc>
          <w:tcPr>
            <w:tcW w:w="2180" w:type="dxa"/>
            <w:vAlign w:val="bottom"/>
          </w:tcPr>
          <w:p>
            <w:pPr>
              <w:ind w:left="20"/>
              <w:spacing w:after="0"/>
              <w:rPr>
                <w:sz w:val="20"/>
                <w:szCs w:val="20"/>
                <w:color w:val="auto"/>
              </w:rPr>
            </w:pPr>
            <w:r>
              <w:rPr>
                <w:rFonts w:ascii="Arial" w:cs="Arial" w:eastAsia="Arial" w:hAnsi="Arial"/>
                <w:sz w:val="13"/>
                <w:szCs w:val="13"/>
                <w:color w:val="auto"/>
              </w:rPr>
              <w:t>Non-accelerated filer</w:t>
            </w:r>
          </w:p>
        </w:tc>
        <w:tc>
          <w:tcPr>
            <w:tcW w:w="3220" w:type="dxa"/>
            <w:vAlign w:val="bottom"/>
          </w:tcPr>
          <w:p>
            <w:pPr>
              <w:ind w:left="720"/>
              <w:spacing w:after="0"/>
              <w:rPr>
                <w:sz w:val="20"/>
                <w:szCs w:val="20"/>
                <w:color w:val="auto"/>
              </w:rPr>
            </w:pPr>
            <w:r>
              <w:rPr>
                <w:rFonts w:ascii="Arial" w:cs="Arial" w:eastAsia="Arial" w:hAnsi="Arial"/>
                <w:sz w:val="13"/>
                <w:szCs w:val="13"/>
                <w:color w:val="auto"/>
              </w:rPr>
              <w:t>o</w:t>
            </w:r>
          </w:p>
        </w:tc>
        <w:tc>
          <w:tcPr>
            <w:tcW w:w="4740" w:type="dxa"/>
            <w:vAlign w:val="bottom"/>
          </w:tcPr>
          <w:p>
            <w:pPr>
              <w:ind w:left="2440"/>
              <w:spacing w:after="0"/>
              <w:rPr>
                <w:sz w:val="20"/>
                <w:szCs w:val="20"/>
                <w:color w:val="auto"/>
              </w:rPr>
            </w:pPr>
            <w:r>
              <w:rPr>
                <w:rFonts w:ascii="Arial" w:cs="Arial" w:eastAsia="Arial" w:hAnsi="Arial"/>
                <w:sz w:val="13"/>
                <w:szCs w:val="13"/>
                <w:color w:val="auto"/>
              </w:rPr>
              <w:t>Smaller reporting company</w:t>
            </w:r>
          </w:p>
        </w:tc>
        <w:tc>
          <w:tcPr>
            <w:tcW w:w="900" w:type="dxa"/>
            <w:vAlign w:val="bottom"/>
          </w:tcPr>
          <w:p>
            <w:pPr>
              <w:ind w:left="840"/>
              <w:spacing w:after="0"/>
              <w:rPr>
                <w:sz w:val="20"/>
                <w:szCs w:val="20"/>
                <w:color w:val="auto"/>
              </w:rPr>
            </w:pPr>
            <w:r>
              <w:rPr>
                <w:rFonts w:ascii="Arial" w:cs="Arial" w:eastAsia="Arial" w:hAnsi="Arial"/>
                <w:sz w:val="10"/>
                <w:szCs w:val="10"/>
                <w:color w:val="auto"/>
                <w:w w:val="71"/>
              </w:rPr>
              <w:t>o</w:t>
            </w:r>
          </w:p>
        </w:tc>
      </w:tr>
      <w:tr>
        <w:trPr>
          <w:trHeight w:val="177"/>
        </w:trPr>
        <w:tc>
          <w:tcPr>
            <w:tcW w:w="2180" w:type="dxa"/>
            <w:vAlign w:val="bottom"/>
          </w:tcPr>
          <w:p>
            <w:pPr>
              <w:ind w:left="20"/>
              <w:spacing w:after="0"/>
              <w:rPr>
                <w:sz w:val="20"/>
                <w:szCs w:val="20"/>
                <w:color w:val="auto"/>
              </w:rPr>
            </w:pPr>
            <w:r>
              <w:rPr>
                <w:rFonts w:ascii="Arial" w:cs="Arial" w:eastAsia="Arial" w:hAnsi="Arial"/>
                <w:sz w:val="13"/>
                <w:szCs w:val="13"/>
                <w:color w:val="auto"/>
              </w:rPr>
              <w:t>Emerging growth company</w:t>
            </w:r>
          </w:p>
        </w:tc>
        <w:tc>
          <w:tcPr>
            <w:tcW w:w="3220" w:type="dxa"/>
            <w:vAlign w:val="bottom"/>
          </w:tcPr>
          <w:p>
            <w:pPr>
              <w:ind w:left="720"/>
              <w:spacing w:after="0"/>
              <w:rPr>
                <w:sz w:val="20"/>
                <w:szCs w:val="20"/>
                <w:color w:val="auto"/>
              </w:rPr>
            </w:pPr>
            <w:r>
              <w:rPr>
                <w:rFonts w:ascii="Arial" w:cs="Arial" w:eastAsia="Arial" w:hAnsi="Arial"/>
                <w:sz w:val="13"/>
                <w:szCs w:val="13"/>
                <w:color w:val="auto"/>
              </w:rPr>
              <w:t>o</w:t>
            </w:r>
          </w:p>
        </w:tc>
        <w:tc>
          <w:tcPr>
            <w:tcW w:w="474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19" w:lineRule="exact"/>
        <w:rPr>
          <w:sz w:val="24"/>
          <w:szCs w:val="24"/>
          <w:color w:val="auto"/>
        </w:rPr>
      </w:pPr>
    </w:p>
    <w:p>
      <w:pPr>
        <w:ind w:right="320" w:firstLine="412"/>
        <w:spacing w:after="0" w:line="259"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7" w:lineRule="exact"/>
        <w:rPr>
          <w:sz w:val="24"/>
          <w:szCs w:val="24"/>
          <w:color w:val="auto"/>
        </w:rPr>
      </w:pPr>
    </w:p>
    <w:p>
      <w:pPr>
        <w:ind w:left="420" w:right="3780"/>
        <w:spacing w:after="0" w:line="502" w:lineRule="auto"/>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 No T Number of shares outstanding of the issuer’s common stock as of July 31, 2022: 224,840,799.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307975</wp:posOffset>
            </wp:positionV>
            <wp:extent cx="716661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140" w:type="dxa"/>
            <w:vAlign w:val="bottom"/>
            <w:gridSpan w:val="8"/>
          </w:tcPr>
          <w:p>
            <w:pPr>
              <w:jc w:val="center"/>
              <w:ind w:right="2560"/>
              <w:spacing w:after="0"/>
              <w:rPr>
                <w:sz w:val="20"/>
                <w:szCs w:val="20"/>
                <w:color w:val="auto"/>
              </w:rPr>
            </w:pPr>
            <w:r>
              <w:rPr>
                <w:rFonts w:ascii="Arial" w:cs="Arial" w:eastAsia="Arial" w:hAnsi="Arial"/>
                <w:sz w:val="17"/>
                <w:szCs w:val="17"/>
                <w:b w:val="1"/>
                <w:bCs w:val="1"/>
                <w:color w:val="auto"/>
              </w:rPr>
              <w:t>PART I. FINANCIAL INFORMATION</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PAGE No.</w:t>
            </w:r>
          </w:p>
        </w:tc>
      </w:tr>
      <w:tr>
        <w:trPr>
          <w:trHeight w:val="334"/>
        </w:trPr>
        <w:tc>
          <w:tcPr>
            <w:tcW w:w="12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Item 1. Financial Statements (unaudited):</w:t>
              </w:r>
            </w:hyperlink>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15"/>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Balance Sheets as of June 30, 2022 and December 31, 2021</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3</w:t>
            </w:r>
          </w:p>
        </w:tc>
      </w:tr>
      <w:tr>
        <w:trPr>
          <w:trHeight w:val="20"/>
        </w:trPr>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15"/>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Condensed Consolidated Statements of Operations and Comprehensive Loss for the Three and Six Months Ended June 30, 2022 and 2021</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w:t>
            </w:r>
          </w:p>
        </w:tc>
      </w:tr>
      <w:tr>
        <w:trPr>
          <w:trHeight w:val="20"/>
        </w:trPr>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15"/>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Stockholders’ Equity for the Three and Six Months Ended June 30, 2022 and 2021</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r>
      <w:tr>
        <w:trPr>
          <w:trHeight w:val="20"/>
        </w:trPr>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15"/>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Cash Flows for the Six Months Ended June 30, 2022 and 2021</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6</w:t>
            </w:r>
          </w:p>
        </w:tc>
      </w:tr>
      <w:tr>
        <w:trPr>
          <w:trHeight w:val="20"/>
        </w:trPr>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15"/>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Notes to Condensed Consolidated Financial Statements</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7</w:t>
            </w:r>
          </w:p>
        </w:tc>
      </w:tr>
      <w:tr>
        <w:trPr>
          <w:trHeight w:val="20"/>
        </w:trPr>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7"/>
                <w:szCs w:val="17"/>
                <w:color w:val="0000FF"/>
              </w:rPr>
            </w:pPr>
            <w:hyperlink w:anchor="page25">
              <w:r>
                <w:rPr>
                  <w:rFonts w:ascii="Arial" w:cs="Arial" w:eastAsia="Arial" w:hAnsi="Arial"/>
                  <w:sz w:val="17"/>
                  <w:szCs w:val="17"/>
                  <w:color w:val="0000FF"/>
                </w:rPr>
                <w:t>Item 2. Management’s Discussion and Analysis of Financial Condition and Results of Operations</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27</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980" w:type="dxa"/>
            <w:vAlign w:val="bottom"/>
            <w:tcBorders>
              <w:left w:val="single" w:sz="8" w:color="0000FF"/>
            </w:tcBorders>
            <w:gridSpan w:val="2"/>
            <w:shd w:val="clear" w:color="auto" w:fill="0000FF"/>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Item 3. Quantitative and Qualitative Disclosures About Market Risk</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39</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5360" w:type="dxa"/>
            <w:vAlign w:val="bottom"/>
            <w:tcBorders>
              <w:left w:val="single" w:sz="8" w:color="0000FF"/>
            </w:tcBorders>
            <w:gridSpan w:val="6"/>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Item 4. Controls and Procedures</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39</w:t>
            </w:r>
          </w:p>
        </w:tc>
      </w:tr>
      <w:tr>
        <w:trPr>
          <w:trHeight w:val="371"/>
        </w:trPr>
        <w:tc>
          <w:tcPr>
            <w:tcW w:w="12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40" w:type="dxa"/>
            <w:vAlign w:val="bottom"/>
            <w:gridSpan w:val="8"/>
          </w:tcPr>
          <w:p>
            <w:pPr>
              <w:jc w:val="center"/>
              <w:ind w:right="2560"/>
              <w:spacing w:after="0"/>
              <w:rPr>
                <w:sz w:val="20"/>
                <w:szCs w:val="20"/>
                <w:color w:val="auto"/>
              </w:rPr>
            </w:pPr>
            <w:r>
              <w:rPr>
                <w:rFonts w:ascii="Arial" w:cs="Arial" w:eastAsia="Arial" w:hAnsi="Arial"/>
                <w:sz w:val="17"/>
                <w:szCs w:val="17"/>
                <w:b w:val="1"/>
                <w:bCs w:val="1"/>
                <w:color w:val="auto"/>
              </w:rPr>
              <w:t>PART II. OTHER INFORMATION</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Item 1. Legal Proceedings</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40</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Item 1A. Risk Factors</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40</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Item 2. Unregistered Sales of Equity Securities and Use of Proceeds</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79</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7"/>
                <w:szCs w:val="17"/>
                <w:color w:val="0000FF"/>
                <w:w w:val="88"/>
              </w:rPr>
            </w:pPr>
            <w:hyperlink w:anchor="page75">
              <w:r>
                <w:rPr>
                  <w:rFonts w:ascii="Arial" w:cs="Arial" w:eastAsia="Arial" w:hAnsi="Arial"/>
                  <w:sz w:val="17"/>
                  <w:szCs w:val="17"/>
                  <w:color w:val="0000FF"/>
                  <w:w w:val="88"/>
                </w:rPr>
                <w:t>Item 3.</w:t>
              </w:r>
            </w:hyperlink>
          </w:p>
        </w:tc>
        <w:tc>
          <w:tcPr>
            <w:tcW w:w="9440" w:type="dxa"/>
            <w:vAlign w:val="bottom"/>
            <w:gridSpan w:val="14"/>
          </w:tcPr>
          <w:p>
            <w:pPr>
              <w:ind w:left="20"/>
              <w:spacing w:after="0"/>
              <w:rPr>
                <w:rFonts w:ascii="Arial" w:cs="Arial" w:eastAsia="Arial" w:hAnsi="Arial"/>
                <w:sz w:val="17"/>
                <w:szCs w:val="17"/>
                <w:color w:val="0000FF"/>
              </w:rPr>
            </w:pPr>
            <w:hyperlink w:anchor="page75">
              <w:r>
                <w:rPr>
                  <w:rFonts w:ascii="Arial" w:cs="Arial" w:eastAsia="Arial" w:hAnsi="Arial"/>
                  <w:sz w:val="17"/>
                  <w:szCs w:val="17"/>
                  <w:color w:val="0000FF"/>
                </w:rPr>
                <w:t>Default Upon Senior Securities</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79</w:t>
            </w:r>
          </w:p>
        </w:tc>
      </w:tr>
      <w:tr>
        <w:trPr>
          <w:trHeight w:val="334"/>
        </w:trPr>
        <w:tc>
          <w:tcPr>
            <w:tcW w:w="12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rFonts w:ascii="Arial" w:cs="Arial" w:eastAsia="Arial" w:hAnsi="Arial"/>
                <w:sz w:val="17"/>
                <w:szCs w:val="17"/>
                <w:color w:val="0000FF"/>
                <w:w w:val="88"/>
              </w:rPr>
            </w:pPr>
            <w:hyperlink w:anchor="page75">
              <w:r>
                <w:rPr>
                  <w:rFonts w:ascii="Arial" w:cs="Arial" w:eastAsia="Arial" w:hAnsi="Arial"/>
                  <w:sz w:val="17"/>
                  <w:szCs w:val="17"/>
                  <w:color w:val="0000FF"/>
                  <w:w w:val="88"/>
                </w:rPr>
                <w:t>Item 4.</w:t>
              </w:r>
            </w:hyperlink>
          </w:p>
        </w:tc>
        <w:tc>
          <w:tcPr>
            <w:tcW w:w="2120" w:type="dxa"/>
            <w:vAlign w:val="bottom"/>
            <w:tcBorders>
              <w:top w:val="single" w:sz="8" w:color="0000FF"/>
            </w:tcBorders>
            <w:gridSpan w:val="5"/>
          </w:tcPr>
          <w:p>
            <w:pPr>
              <w:ind w:left="20"/>
              <w:spacing w:after="0"/>
              <w:rPr>
                <w:rFonts w:ascii="Arial" w:cs="Arial" w:eastAsia="Arial" w:hAnsi="Arial"/>
                <w:sz w:val="17"/>
                <w:szCs w:val="17"/>
                <w:color w:val="0000FF"/>
              </w:rPr>
            </w:pPr>
            <w:hyperlink w:anchor="page75">
              <w:r>
                <w:rPr>
                  <w:rFonts w:ascii="Arial" w:cs="Arial" w:eastAsia="Arial" w:hAnsi="Arial"/>
                  <w:sz w:val="17"/>
                  <w:szCs w:val="17"/>
                  <w:color w:val="0000FF"/>
                </w:rPr>
                <w:t>Mine Safety Disclosures</w:t>
              </w:r>
            </w:hyperlink>
          </w:p>
        </w:tc>
        <w:tc>
          <w:tcPr>
            <w:tcW w:w="7320" w:type="dxa"/>
            <w:vAlign w:val="bottom"/>
            <w:gridSpan w:val="9"/>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79</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760" w:type="dxa"/>
            <w:vAlign w:val="bottom"/>
            <w:gridSpan w:val="1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7"/>
                <w:szCs w:val="17"/>
                <w:color w:val="0000FF"/>
                <w:w w:val="88"/>
              </w:rPr>
            </w:pPr>
            <w:hyperlink w:anchor="page75">
              <w:r>
                <w:rPr>
                  <w:rFonts w:ascii="Arial" w:cs="Arial" w:eastAsia="Arial" w:hAnsi="Arial"/>
                  <w:sz w:val="17"/>
                  <w:szCs w:val="17"/>
                  <w:color w:val="0000FF"/>
                  <w:w w:val="88"/>
                </w:rPr>
                <w:t>Item 5.</w:t>
              </w:r>
            </w:hyperlink>
          </w:p>
        </w:tc>
        <w:tc>
          <w:tcPr>
            <w:tcW w:w="9440" w:type="dxa"/>
            <w:vAlign w:val="bottom"/>
            <w:gridSpan w:val="14"/>
          </w:tcPr>
          <w:p>
            <w:pPr>
              <w:ind w:left="20"/>
              <w:spacing w:after="0"/>
              <w:rPr>
                <w:rFonts w:ascii="Arial" w:cs="Arial" w:eastAsia="Arial" w:hAnsi="Arial"/>
                <w:sz w:val="17"/>
                <w:szCs w:val="17"/>
                <w:color w:val="0000FF"/>
              </w:rPr>
            </w:pPr>
            <w:hyperlink w:anchor="page75">
              <w:r>
                <w:rPr>
                  <w:rFonts w:ascii="Arial" w:cs="Arial" w:eastAsia="Arial" w:hAnsi="Arial"/>
                  <w:sz w:val="17"/>
                  <w:szCs w:val="17"/>
                  <w:color w:val="0000FF"/>
                </w:rPr>
                <w:t>Other Information</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79</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0" w:type="dxa"/>
            <w:vAlign w:val="bottom"/>
            <w:gridSpan w:val="11"/>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34"/>
        </w:trPr>
        <w:tc>
          <w:tcPr>
            <w:tcW w:w="12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7"/>
                <w:szCs w:val="17"/>
                <w:color w:val="0000FF"/>
                <w:w w:val="88"/>
              </w:rPr>
            </w:pPr>
            <w:hyperlink w:anchor="page76">
              <w:r>
                <w:rPr>
                  <w:rFonts w:ascii="Arial" w:cs="Arial" w:eastAsia="Arial" w:hAnsi="Arial"/>
                  <w:sz w:val="17"/>
                  <w:szCs w:val="17"/>
                  <w:color w:val="0000FF"/>
                  <w:w w:val="88"/>
                </w:rPr>
                <w:t>Item 6.</w:t>
              </w:r>
            </w:hyperlink>
          </w:p>
        </w:tc>
        <w:tc>
          <w:tcPr>
            <w:tcW w:w="9440" w:type="dxa"/>
            <w:vAlign w:val="bottom"/>
            <w:gridSpan w:val="14"/>
          </w:tcPr>
          <w:p>
            <w:pPr>
              <w:ind w:left="20"/>
              <w:spacing w:after="0"/>
              <w:rPr>
                <w:rFonts w:ascii="Arial" w:cs="Arial" w:eastAsia="Arial" w:hAnsi="Arial"/>
                <w:sz w:val="17"/>
                <w:szCs w:val="17"/>
                <w:color w:val="0000FF"/>
              </w:rPr>
            </w:pPr>
            <w:hyperlink w:anchor="page76">
              <w:r>
                <w:rPr>
                  <w:rFonts w:ascii="Arial" w:cs="Arial" w:eastAsia="Arial" w:hAnsi="Arial"/>
                  <w:sz w:val="17"/>
                  <w:szCs w:val="17"/>
                  <w:color w:val="0000FF"/>
                </w:rPr>
                <w:t>Exhibits</w:t>
              </w:r>
            </w:hyperlink>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80</w:t>
            </w:r>
          </w:p>
        </w:tc>
      </w:tr>
      <w:tr>
        <w:trPr>
          <w:trHeight w:val="940"/>
        </w:trPr>
        <w:tc>
          <w:tcPr>
            <w:tcW w:w="12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980" w:type="dxa"/>
            <w:vAlign w:val="bottom"/>
            <w:gridSpan w:val="8"/>
          </w:tcPr>
          <w:p>
            <w:pPr>
              <w:jc w:val="right"/>
              <w:ind w:right="500"/>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6"/>
        </w:trPr>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3520" w:type="dxa"/>
            <w:vAlign w:val="bottom"/>
            <w:gridSpan w:val="4"/>
          </w:tcPr>
          <w:p>
            <w:pPr>
              <w:ind w:left="20"/>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3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c>
          <w:tcPr>
            <w:tcW w:w="4000" w:type="dxa"/>
            <w:vAlign w:val="bottom"/>
            <w:gridSpan w:val="2"/>
          </w:tcPr>
          <w:p>
            <w:pPr>
              <w:jc w:val="center"/>
              <w:ind w:left="159"/>
              <w:spacing w:after="0"/>
              <w:rPr>
                <w:sz w:val="20"/>
                <w:szCs w:val="20"/>
                <w:color w:val="auto"/>
              </w:rPr>
            </w:pPr>
            <w:r>
              <w:rPr>
                <w:rFonts w:ascii="Arial" w:cs="Arial" w:eastAsia="Arial" w:hAnsi="Arial"/>
                <w:sz w:val="17"/>
                <w:szCs w:val="17"/>
                <w:b w:val="1"/>
                <w:bCs w:val="1"/>
                <w:color w:val="auto"/>
              </w:rPr>
              <w:t>PART I. FINANCIAL INFORMATION</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520" w:type="dxa"/>
            <w:vAlign w:val="bottom"/>
            <w:gridSpan w:val="2"/>
          </w:tcPr>
          <w:p>
            <w:pPr>
              <w:spacing w:after="0"/>
              <w:rPr>
                <w:sz w:val="20"/>
                <w:szCs w:val="20"/>
                <w:color w:val="auto"/>
              </w:rPr>
            </w:pPr>
            <w:r>
              <w:rPr>
                <w:rFonts w:ascii="Arial" w:cs="Arial" w:eastAsia="Arial" w:hAnsi="Arial"/>
                <w:sz w:val="17"/>
                <w:szCs w:val="17"/>
                <w:b w:val="1"/>
                <w:bCs w:val="1"/>
                <w:color w:val="auto"/>
                <w:w w:val="92"/>
              </w:rPr>
              <w:t>Item 1.</w:t>
            </w:r>
          </w:p>
        </w:tc>
        <w:tc>
          <w:tcPr>
            <w:tcW w:w="3000" w:type="dxa"/>
            <w:vAlign w:val="bottom"/>
            <w:gridSpan w:val="2"/>
          </w:tcPr>
          <w:p>
            <w:pPr>
              <w:ind w:left="420"/>
              <w:spacing w:after="0"/>
              <w:rPr>
                <w:sz w:val="20"/>
                <w:szCs w:val="20"/>
                <w:color w:val="auto"/>
              </w:rPr>
            </w:pPr>
            <w:r>
              <w:rPr>
                <w:rFonts w:ascii="Arial" w:cs="Arial" w:eastAsia="Arial" w:hAnsi="Arial"/>
                <w:sz w:val="17"/>
                <w:szCs w:val="17"/>
                <w:b w:val="1"/>
                <w:bCs w:val="1"/>
                <w:color w:val="auto"/>
              </w:rPr>
              <w:t>Financial Statements</w:t>
            </w:r>
          </w:p>
        </w:tc>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00" w:type="dxa"/>
            <w:vAlign w:val="bottom"/>
            <w:gridSpan w:val="2"/>
          </w:tcPr>
          <w:p>
            <w:pPr>
              <w:jc w:val="center"/>
              <w:ind w:left="159"/>
              <w:spacing w:after="0"/>
              <w:rPr>
                <w:sz w:val="20"/>
                <w:szCs w:val="20"/>
                <w:color w:val="auto"/>
              </w:rPr>
            </w:pPr>
            <w:r>
              <w:rPr>
                <w:rFonts w:ascii="Arial" w:cs="Arial" w:eastAsia="Arial" w:hAnsi="Arial"/>
                <w:sz w:val="17"/>
                <w:szCs w:val="17"/>
                <w:b w:val="1"/>
                <w:bCs w:val="1"/>
                <w:color w:val="auto"/>
              </w:rPr>
              <w:t>PACIFIC BIOSCIENCES OF CALIFORNIA, INC.</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00" w:type="dxa"/>
            <w:vAlign w:val="bottom"/>
            <w:gridSpan w:val="2"/>
          </w:tcPr>
          <w:p>
            <w:pPr>
              <w:jc w:val="center"/>
              <w:ind w:left="179"/>
              <w:spacing w:after="0"/>
              <w:rPr>
                <w:sz w:val="20"/>
                <w:szCs w:val="20"/>
                <w:color w:val="auto"/>
              </w:rPr>
            </w:pPr>
            <w:r>
              <w:rPr>
                <w:rFonts w:ascii="Arial" w:cs="Arial" w:eastAsia="Arial" w:hAnsi="Arial"/>
                <w:sz w:val="17"/>
                <w:szCs w:val="17"/>
                <w:b w:val="1"/>
                <w:bCs w:val="1"/>
                <w:color w:val="auto"/>
                <w:w w:val="86"/>
              </w:rPr>
              <w:t>Condensed Consolidated Balance Sheets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00" w:type="dxa"/>
            <w:vAlign w:val="bottom"/>
            <w:gridSpan w:val="2"/>
          </w:tcPr>
          <w:p>
            <w:pPr>
              <w:jc w:val="center"/>
              <w:ind w:left="159"/>
              <w:spacing w:after="0"/>
              <w:rPr>
                <w:sz w:val="20"/>
                <w:szCs w:val="20"/>
                <w:color w:val="auto"/>
              </w:rPr>
            </w:pPr>
            <w:r>
              <w:rPr>
                <w:rFonts w:ascii="Arial" w:cs="Arial" w:eastAsia="Arial" w:hAnsi="Arial"/>
                <w:sz w:val="17"/>
                <w:szCs w:val="17"/>
                <w:b w:val="1"/>
                <w:bCs w:val="1"/>
                <w:color w:val="auto"/>
                <w:w w:val="93"/>
              </w:rPr>
              <w:t>(Unaudited)</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520" w:type="dxa"/>
            <w:vAlign w:val="bottom"/>
            <w:gridSpan w:val="4"/>
            <w:vMerge w:val="restart"/>
          </w:tcPr>
          <w:p>
            <w:pPr>
              <w:ind w:left="20"/>
              <w:spacing w:after="0"/>
              <w:rPr>
                <w:sz w:val="20"/>
                <w:szCs w:val="20"/>
                <w:color w:val="auto"/>
              </w:rPr>
            </w:pPr>
            <w:r>
              <w:rPr>
                <w:rFonts w:ascii="Arial" w:cs="Arial" w:eastAsia="Arial" w:hAnsi="Arial"/>
                <w:sz w:val="15"/>
                <w:szCs w:val="15"/>
                <w:b w:val="1"/>
                <w:bCs w:val="1"/>
                <w:color w:val="auto"/>
              </w:rPr>
              <w:t>(in thousands, except per share amounts)</w:t>
            </w:r>
          </w:p>
        </w:tc>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5"/>
                <w:szCs w:val="15"/>
                <w:b w:val="1"/>
                <w:bCs w:val="1"/>
                <w:color w:val="auto"/>
              </w:rPr>
              <w:t>June 30,</w:t>
            </w:r>
          </w:p>
        </w:tc>
        <w:tc>
          <w:tcPr>
            <w:tcW w:w="360" w:type="dxa"/>
            <w:vAlign w:val="bottom"/>
          </w:tcPr>
          <w:p>
            <w:pPr>
              <w:spacing w:after="0"/>
              <w:rPr>
                <w:sz w:val="24"/>
                <w:szCs w:val="24"/>
                <w:color w:val="auto"/>
              </w:rPr>
            </w:pPr>
          </w:p>
        </w:tc>
        <w:tc>
          <w:tcPr>
            <w:tcW w:w="1800" w:type="dxa"/>
            <w:vAlign w:val="bottom"/>
          </w:tcPr>
          <w:p>
            <w:pPr>
              <w:jc w:val="right"/>
              <w:ind w:right="56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52"/>
        </w:trPr>
        <w:tc>
          <w:tcPr>
            <w:tcW w:w="3520" w:type="dxa"/>
            <w:vAlign w:val="bottom"/>
            <w:gridSpan w:val="4"/>
            <w:vMerge w:val="continue"/>
          </w:tcPr>
          <w:p>
            <w:pPr>
              <w:spacing w:after="0"/>
              <w:rPr>
                <w:sz w:val="13"/>
                <w:szCs w:val="13"/>
                <w:color w:val="auto"/>
              </w:rPr>
            </w:pP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864"/>
              <w:spacing w:after="0" w:line="151" w:lineRule="exact"/>
              <w:rPr>
                <w:sz w:val="20"/>
                <w:szCs w:val="20"/>
                <w:color w:val="auto"/>
              </w:rPr>
            </w:pPr>
            <w:r>
              <w:rPr>
                <w:rFonts w:ascii="Arial" w:cs="Arial" w:eastAsia="Arial" w:hAnsi="Arial"/>
                <w:sz w:val="15"/>
                <w:szCs w:val="15"/>
                <w:b w:val="1"/>
                <w:bCs w:val="1"/>
                <w:color w:val="auto"/>
              </w:rPr>
              <w:t>2022</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844"/>
              <w:spacing w:after="0" w:line="151" w:lineRule="exact"/>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5"/>
        </w:trPr>
        <w:tc>
          <w:tcPr>
            <w:tcW w:w="520" w:type="dxa"/>
            <w:vAlign w:val="bottom"/>
            <w:gridSpan w:val="2"/>
            <w:vMerge w:val="restart"/>
          </w:tcPr>
          <w:p>
            <w:pPr>
              <w:ind w:left="20"/>
              <w:spacing w:after="0" w:line="169" w:lineRule="exact"/>
              <w:rPr>
                <w:sz w:val="20"/>
                <w:szCs w:val="20"/>
                <w:color w:val="auto"/>
              </w:rPr>
            </w:pPr>
            <w:r>
              <w:rPr>
                <w:rFonts w:ascii="Arial" w:cs="Arial" w:eastAsia="Arial" w:hAnsi="Arial"/>
                <w:sz w:val="15"/>
                <w:szCs w:val="15"/>
                <w:b w:val="1"/>
                <w:bCs w:val="1"/>
                <w:color w:val="auto"/>
                <w:w w:val="97"/>
              </w:rPr>
              <w:t>Assets</w:t>
            </w: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520" w:type="dxa"/>
            <w:vAlign w:val="bottom"/>
            <w:gridSpan w:val="4"/>
          </w:tcPr>
          <w:p>
            <w:pPr>
              <w:ind w:left="20"/>
              <w:spacing w:after="0"/>
              <w:rPr>
                <w:sz w:val="20"/>
                <w:szCs w:val="20"/>
                <w:color w:val="auto"/>
              </w:rPr>
            </w:pPr>
            <w:r>
              <w:rPr>
                <w:rFonts w:ascii="Arial" w:cs="Arial" w:eastAsia="Arial" w:hAnsi="Arial"/>
                <w:sz w:val="15"/>
                <w:szCs w:val="15"/>
                <w:color w:val="auto"/>
              </w:rPr>
              <w:t>Current assets</w:t>
            </w:r>
          </w:p>
        </w:tc>
        <w:tc>
          <w:tcPr>
            <w:tcW w:w="3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5"/>
                <w:szCs w:val="15"/>
                <w:color w:val="auto"/>
              </w:rPr>
              <w:t>Cash and cash equivalents</w:t>
            </w:r>
          </w:p>
        </w:tc>
        <w:tc>
          <w:tcPr>
            <w:tcW w:w="4000" w:type="dxa"/>
            <w:vAlign w:val="bottom"/>
            <w:gridSpan w:val="2"/>
            <w:shd w:val="clear" w:color="auto" w:fill="CCEEFF"/>
          </w:tcPr>
          <w:p>
            <w:pPr>
              <w:jc w:val="right"/>
              <w:ind w:right="644"/>
              <w:spacing w:after="0" w:line="151" w:lineRule="exact"/>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310,445</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460,725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Investments</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24"/>
              <w:spacing w:after="0" w:line="151" w:lineRule="exact"/>
              <w:rPr>
                <w:sz w:val="20"/>
                <w:szCs w:val="20"/>
                <w:color w:val="auto"/>
              </w:rPr>
            </w:pPr>
            <w:r>
              <w:rPr>
                <w:rFonts w:ascii="Arial" w:cs="Arial" w:eastAsia="Arial" w:hAnsi="Arial"/>
                <w:sz w:val="15"/>
                <w:szCs w:val="15"/>
                <w:color w:val="auto"/>
              </w:rPr>
              <w:t>588,706</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583,675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5"/>
                <w:szCs w:val="15"/>
                <w:color w:val="auto"/>
              </w:rPr>
              <w:t>Accounts receivable, net</w:t>
            </w: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27,058</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24,241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Inventory, net</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24"/>
              <w:spacing w:after="0" w:line="151" w:lineRule="exact"/>
              <w:rPr>
                <w:sz w:val="20"/>
                <w:szCs w:val="20"/>
                <w:color w:val="auto"/>
              </w:rPr>
            </w:pPr>
            <w:r>
              <w:rPr>
                <w:rFonts w:ascii="Arial" w:cs="Arial" w:eastAsia="Arial" w:hAnsi="Arial"/>
                <w:sz w:val="15"/>
                <w:szCs w:val="15"/>
                <w:color w:val="auto"/>
              </w:rPr>
              <w:t>36,121</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24,599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5"/>
                <w:szCs w:val="15"/>
                <w:color w:val="auto"/>
              </w:rPr>
              <w:t>Prepaid expenses and other current assets</w:t>
            </w: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7,657</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7,394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gridSpan w:val="2"/>
          </w:tcPr>
          <w:p>
            <w:pPr>
              <w:ind w:left="20"/>
              <w:spacing w:after="0" w:line="151" w:lineRule="exact"/>
              <w:rPr>
                <w:sz w:val="20"/>
                <w:szCs w:val="20"/>
                <w:color w:val="auto"/>
              </w:rPr>
            </w:pPr>
            <w:r>
              <w:rPr>
                <w:rFonts w:ascii="Arial" w:cs="Arial" w:eastAsia="Arial" w:hAnsi="Arial"/>
                <w:sz w:val="15"/>
                <w:szCs w:val="15"/>
                <w:color w:val="auto"/>
              </w:rPr>
              <w:t>Short-term restricted cash</w:t>
            </w:r>
          </w:p>
        </w:tc>
        <w:tc>
          <w:tcPr>
            <w:tcW w:w="32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4"/>
              <w:spacing w:after="0" w:line="151" w:lineRule="exact"/>
              <w:rPr>
                <w:sz w:val="20"/>
                <w:szCs w:val="20"/>
                <w:color w:val="auto"/>
              </w:rPr>
            </w:pPr>
            <w:r>
              <w:rPr>
                <w:rFonts w:ascii="Arial" w:cs="Arial" w:eastAsia="Arial" w:hAnsi="Arial"/>
                <w:sz w:val="15"/>
                <w:szCs w:val="15"/>
                <w:color w:val="auto"/>
              </w:rPr>
              <w:t>300</w:t>
            </w:r>
          </w:p>
        </w:tc>
        <w:tc>
          <w:tcPr>
            <w:tcW w:w="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4"/>
              <w:spacing w:after="0" w:line="151" w:lineRule="exact"/>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320"/>
              <w:spacing w:after="0" w:line="144" w:lineRule="exact"/>
              <w:rPr>
                <w:sz w:val="20"/>
                <w:szCs w:val="20"/>
                <w:color w:val="auto"/>
              </w:rPr>
            </w:pPr>
            <w:r>
              <w:rPr>
                <w:rFonts w:ascii="Arial" w:cs="Arial" w:eastAsia="Arial" w:hAnsi="Arial"/>
                <w:sz w:val="15"/>
                <w:szCs w:val="15"/>
                <w:color w:val="auto"/>
              </w:rPr>
              <w:t>Total current assets</w:t>
            </w:r>
          </w:p>
        </w:tc>
        <w:tc>
          <w:tcPr>
            <w:tcW w:w="3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970,287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1,101,134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tcPr>
          <w:p>
            <w:pPr>
              <w:spacing w:after="0" w:line="151" w:lineRule="exact"/>
              <w:rPr>
                <w:sz w:val="20"/>
                <w:szCs w:val="20"/>
                <w:color w:val="auto"/>
              </w:rPr>
            </w:pPr>
            <w:r>
              <w:rPr>
                <w:rFonts w:ascii="Arial" w:cs="Arial" w:eastAsia="Arial" w:hAnsi="Arial"/>
                <w:sz w:val="15"/>
                <w:szCs w:val="15"/>
                <w:color w:val="auto"/>
              </w:rPr>
              <w:t>Property and equipment, net</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24"/>
              <w:spacing w:after="0" w:line="151" w:lineRule="exact"/>
              <w:rPr>
                <w:sz w:val="20"/>
                <w:szCs w:val="20"/>
                <w:color w:val="auto"/>
              </w:rPr>
            </w:pPr>
            <w:r>
              <w:rPr>
                <w:rFonts w:ascii="Arial" w:cs="Arial" w:eastAsia="Arial" w:hAnsi="Arial"/>
                <w:sz w:val="15"/>
                <w:szCs w:val="15"/>
                <w:color w:val="auto"/>
              </w:rPr>
              <w:t>37,957</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32,504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Operating lease right-of-use assets, net</w:t>
            </w: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43,274</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46,617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tcPr>
          <w:p>
            <w:pPr>
              <w:spacing w:after="0" w:line="151" w:lineRule="exact"/>
              <w:rPr>
                <w:sz w:val="20"/>
                <w:szCs w:val="20"/>
                <w:color w:val="auto"/>
              </w:rPr>
            </w:pPr>
            <w:r>
              <w:rPr>
                <w:rFonts w:ascii="Arial" w:cs="Arial" w:eastAsia="Arial" w:hAnsi="Arial"/>
                <w:sz w:val="15"/>
                <w:szCs w:val="15"/>
                <w:color w:val="auto"/>
              </w:rPr>
              <w:t>Long-term restricted cash</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24"/>
              <w:spacing w:after="0" w:line="151" w:lineRule="exact"/>
              <w:rPr>
                <w:sz w:val="20"/>
                <w:szCs w:val="20"/>
                <w:color w:val="auto"/>
              </w:rPr>
            </w:pPr>
            <w:r>
              <w:rPr>
                <w:rFonts w:ascii="Arial" w:cs="Arial" w:eastAsia="Arial" w:hAnsi="Arial"/>
                <w:sz w:val="15"/>
                <w:szCs w:val="15"/>
                <w:color w:val="auto"/>
              </w:rPr>
              <w:t>2,922</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4,592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Intangible assets, net</w:t>
            </w: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410,523</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410,979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tcPr>
          <w:p>
            <w:pPr>
              <w:spacing w:after="0" w:line="151" w:lineRule="exact"/>
              <w:rPr>
                <w:sz w:val="20"/>
                <w:szCs w:val="20"/>
                <w:color w:val="auto"/>
              </w:rPr>
            </w:pPr>
            <w:r>
              <w:rPr>
                <w:rFonts w:ascii="Arial" w:cs="Arial" w:eastAsia="Arial" w:hAnsi="Arial"/>
                <w:sz w:val="15"/>
                <w:szCs w:val="15"/>
                <w:color w:val="auto"/>
              </w:rPr>
              <w:t>Goodwill</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24"/>
              <w:spacing w:after="0" w:line="151" w:lineRule="exact"/>
              <w:rPr>
                <w:sz w:val="20"/>
                <w:szCs w:val="20"/>
                <w:color w:val="auto"/>
              </w:rPr>
            </w:pPr>
            <w:r>
              <w:rPr>
                <w:rFonts w:ascii="Arial" w:cs="Arial" w:eastAsia="Arial" w:hAnsi="Arial"/>
                <w:sz w:val="15"/>
                <w:szCs w:val="15"/>
                <w:color w:val="auto"/>
              </w:rPr>
              <w:t>409,974</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409,974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Other long-term assets</w:t>
            </w:r>
          </w:p>
        </w:tc>
        <w:tc>
          <w:tcPr>
            <w:tcW w:w="32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1,205</w:t>
            </w:r>
          </w:p>
        </w:tc>
        <w:tc>
          <w:tcPr>
            <w:tcW w:w="2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1,170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0" w:type="dxa"/>
            <w:vAlign w:val="bottom"/>
            <w:tcBorders>
              <w:bottom w:val="single" w:sz="8" w:color="CCEEFF"/>
            </w:tcBorders>
            <w:gridSpan w:val="2"/>
          </w:tcPr>
          <w:p>
            <w:pPr>
              <w:ind w:left="320"/>
              <w:spacing w:after="0" w:line="144" w:lineRule="exact"/>
              <w:rPr>
                <w:sz w:val="20"/>
                <w:szCs w:val="20"/>
                <w:color w:val="auto"/>
              </w:rPr>
            </w:pPr>
            <w:r>
              <w:rPr>
                <w:rFonts w:ascii="Arial" w:cs="Arial" w:eastAsia="Arial" w:hAnsi="Arial"/>
                <w:sz w:val="15"/>
                <w:szCs w:val="15"/>
                <w:color w:val="auto"/>
              </w:rPr>
              <w:t>Total assets</w:t>
            </w:r>
          </w:p>
        </w:tc>
        <w:tc>
          <w:tcPr>
            <w:tcW w:w="32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624"/>
              <w:spacing w:after="0" w:line="144" w:lineRule="exact"/>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24"/>
              <w:spacing w:after="0" w:line="144" w:lineRule="exact"/>
              <w:rPr>
                <w:sz w:val="20"/>
                <w:szCs w:val="20"/>
                <w:color w:val="auto"/>
              </w:rPr>
            </w:pPr>
            <w:r>
              <w:rPr>
                <w:rFonts w:ascii="Arial" w:cs="Arial" w:eastAsia="Arial" w:hAnsi="Arial"/>
                <w:sz w:val="15"/>
                <w:szCs w:val="15"/>
                <w:color w:val="auto"/>
              </w:rPr>
              <w:t>1,876,142</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line="144" w:lineRule="exact"/>
              <w:rPr>
                <w:sz w:val="20"/>
                <w:szCs w:val="20"/>
                <w:color w:val="auto"/>
              </w:rPr>
            </w:pPr>
            <w:r>
              <w:rPr>
                <w:rFonts w:ascii="Arial" w:cs="Arial" w:eastAsia="Arial" w:hAnsi="Arial"/>
                <w:sz w:val="15"/>
                <w:szCs w:val="15"/>
                <w:color w:val="auto"/>
              </w:rPr>
              <w:t>$</w:t>
            </w:r>
          </w:p>
        </w:tc>
        <w:tc>
          <w:tcPr>
            <w:tcW w:w="1800" w:type="dxa"/>
            <w:vAlign w:val="bottom"/>
            <w:tcBorders>
              <w:bottom w:val="single" w:sz="8" w:color="auto"/>
            </w:tcBorders>
          </w:tcPr>
          <w:p>
            <w:pPr>
              <w:jc w:val="right"/>
              <w:ind w:right="24"/>
              <w:spacing w:after="0" w:line="144" w:lineRule="exact"/>
              <w:rPr>
                <w:sz w:val="20"/>
                <w:szCs w:val="20"/>
                <w:color w:val="auto"/>
              </w:rPr>
            </w:pPr>
            <w:r>
              <w:rPr>
                <w:rFonts w:ascii="Arial" w:cs="Arial" w:eastAsia="Arial" w:hAnsi="Arial"/>
                <w:sz w:val="15"/>
                <w:szCs w:val="15"/>
                <w:color w:val="auto"/>
              </w:rPr>
              <w:t>2,006,970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3"/>
            <w:shd w:val="clear" w:color="auto" w:fill="CCEEFF"/>
          </w:tcPr>
          <w:p>
            <w:pPr>
              <w:spacing w:after="0" w:line="130" w:lineRule="exact"/>
              <w:rPr>
                <w:sz w:val="20"/>
                <w:szCs w:val="20"/>
                <w:color w:val="auto"/>
              </w:rPr>
            </w:pPr>
            <w:r>
              <w:rPr>
                <w:rFonts w:ascii="Arial" w:cs="Arial" w:eastAsia="Arial" w:hAnsi="Arial"/>
                <w:sz w:val="15"/>
                <w:szCs w:val="15"/>
                <w:b w:val="1"/>
                <w:bCs w:val="1"/>
                <w:color w:val="auto"/>
              </w:rPr>
              <w:t>Liabilities and Stockholders’ Equity</w:t>
            </w:r>
          </w:p>
        </w:tc>
        <w:tc>
          <w:tcPr>
            <w:tcW w:w="3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tcPr>
          <w:p>
            <w:pPr>
              <w:spacing w:after="0" w:line="151" w:lineRule="exact"/>
              <w:rPr>
                <w:sz w:val="20"/>
                <w:szCs w:val="20"/>
                <w:color w:val="auto"/>
              </w:rPr>
            </w:pPr>
            <w:r>
              <w:rPr>
                <w:rFonts w:ascii="Arial" w:cs="Arial" w:eastAsia="Arial" w:hAnsi="Arial"/>
                <w:sz w:val="15"/>
                <w:szCs w:val="15"/>
                <w:color w:val="auto"/>
              </w:rPr>
              <w:t>Current liabilities</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5"/>
                <w:szCs w:val="15"/>
                <w:color w:val="auto"/>
              </w:rPr>
              <w:t>Accounts payable</w:t>
            </w:r>
          </w:p>
        </w:tc>
        <w:tc>
          <w:tcPr>
            <w:tcW w:w="4000" w:type="dxa"/>
            <w:vAlign w:val="bottom"/>
            <w:gridSpan w:val="2"/>
            <w:shd w:val="clear" w:color="auto" w:fill="CCEEFF"/>
          </w:tcPr>
          <w:p>
            <w:pPr>
              <w:jc w:val="right"/>
              <w:ind w:right="644"/>
              <w:spacing w:after="0" w:line="151" w:lineRule="exact"/>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12,883</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11,002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Accrued expenses</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24"/>
              <w:spacing w:after="0" w:line="151" w:lineRule="exact"/>
              <w:rPr>
                <w:sz w:val="20"/>
                <w:szCs w:val="20"/>
                <w:color w:val="auto"/>
              </w:rPr>
            </w:pPr>
            <w:r>
              <w:rPr>
                <w:rFonts w:ascii="Arial" w:cs="Arial" w:eastAsia="Arial" w:hAnsi="Arial"/>
                <w:sz w:val="15"/>
                <w:szCs w:val="15"/>
                <w:color w:val="auto"/>
              </w:rPr>
              <w:t>25,174</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36,261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5"/>
                <w:szCs w:val="15"/>
                <w:color w:val="auto"/>
              </w:rPr>
              <w:t>Deferred revenue, current</w:t>
            </w: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32,084</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10,977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Operating lease liabilities, current</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24"/>
              <w:spacing w:after="0" w:line="151" w:lineRule="exact"/>
              <w:rPr>
                <w:sz w:val="20"/>
                <w:szCs w:val="20"/>
                <w:color w:val="auto"/>
              </w:rPr>
            </w:pPr>
            <w:r>
              <w:rPr>
                <w:rFonts w:ascii="Arial" w:cs="Arial" w:eastAsia="Arial" w:hAnsi="Arial"/>
                <w:sz w:val="15"/>
                <w:szCs w:val="15"/>
                <w:color w:val="auto"/>
              </w:rPr>
              <w:t>8,350</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7,710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5"/>
                <w:szCs w:val="15"/>
                <w:color w:val="auto"/>
              </w:rPr>
              <w:t>Other liabilities, current</w:t>
            </w:r>
          </w:p>
        </w:tc>
        <w:tc>
          <w:tcPr>
            <w:tcW w:w="32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5,905</w:t>
            </w:r>
          </w:p>
        </w:tc>
        <w:tc>
          <w:tcPr>
            <w:tcW w:w="2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5,759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0" w:type="dxa"/>
            <w:vAlign w:val="bottom"/>
            <w:gridSpan w:val="2"/>
          </w:tcPr>
          <w:p>
            <w:pPr>
              <w:ind w:left="320"/>
              <w:spacing w:after="0" w:line="144" w:lineRule="exact"/>
              <w:rPr>
                <w:sz w:val="20"/>
                <w:szCs w:val="20"/>
                <w:color w:val="auto"/>
              </w:rPr>
            </w:pPr>
            <w:r>
              <w:rPr>
                <w:rFonts w:ascii="Arial" w:cs="Arial" w:eastAsia="Arial" w:hAnsi="Arial"/>
                <w:sz w:val="15"/>
                <w:szCs w:val="15"/>
                <w:color w:val="auto"/>
              </w:rPr>
              <w:t>Total current liabilities</w:t>
            </w:r>
          </w:p>
        </w:tc>
        <w:tc>
          <w:tcPr>
            <w:tcW w:w="3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jc w:val="right"/>
              <w:ind w:right="24"/>
              <w:spacing w:after="0" w:line="144" w:lineRule="exact"/>
              <w:rPr>
                <w:sz w:val="20"/>
                <w:szCs w:val="20"/>
                <w:color w:val="auto"/>
              </w:rPr>
            </w:pPr>
            <w:r>
              <w:rPr>
                <w:rFonts w:ascii="Arial" w:cs="Arial" w:eastAsia="Arial" w:hAnsi="Arial"/>
                <w:sz w:val="15"/>
                <w:szCs w:val="15"/>
                <w:color w:val="auto"/>
              </w:rPr>
              <w:t>84,396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right"/>
              <w:ind w:right="24"/>
              <w:spacing w:after="0" w:line="144" w:lineRule="exact"/>
              <w:rPr>
                <w:sz w:val="20"/>
                <w:szCs w:val="20"/>
                <w:color w:val="auto"/>
              </w:rPr>
            </w:pPr>
            <w:r>
              <w:rPr>
                <w:rFonts w:ascii="Arial" w:cs="Arial" w:eastAsia="Arial" w:hAnsi="Arial"/>
                <w:sz w:val="15"/>
                <w:szCs w:val="15"/>
                <w:color w:val="auto"/>
              </w:rPr>
              <w:t>71,709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Deferred revenue, non-current</w:t>
            </w: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1,827</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25,049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tcPr>
          <w:p>
            <w:pPr>
              <w:spacing w:after="0" w:line="151" w:lineRule="exact"/>
              <w:rPr>
                <w:sz w:val="20"/>
                <w:szCs w:val="20"/>
                <w:color w:val="auto"/>
              </w:rPr>
            </w:pPr>
            <w:r>
              <w:rPr>
                <w:rFonts w:ascii="Arial" w:cs="Arial" w:eastAsia="Arial" w:hAnsi="Arial"/>
                <w:sz w:val="15"/>
                <w:szCs w:val="15"/>
                <w:color w:val="auto"/>
              </w:rPr>
              <w:t>Contingent consideration liability, non-current</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24"/>
              <w:spacing w:after="0" w:line="151" w:lineRule="exact"/>
              <w:rPr>
                <w:sz w:val="20"/>
                <w:szCs w:val="20"/>
                <w:color w:val="auto"/>
              </w:rPr>
            </w:pPr>
            <w:r>
              <w:rPr>
                <w:rFonts w:ascii="Arial" w:cs="Arial" w:eastAsia="Arial" w:hAnsi="Arial"/>
                <w:sz w:val="15"/>
                <w:szCs w:val="15"/>
                <w:color w:val="auto"/>
              </w:rPr>
              <w:t>163,216</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169,717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Operating lease liabilities, non-current</w:t>
            </w: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45,497</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49,970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tcPr>
          <w:p>
            <w:pPr>
              <w:spacing w:after="0" w:line="151" w:lineRule="exact"/>
              <w:rPr>
                <w:sz w:val="20"/>
                <w:szCs w:val="20"/>
                <w:color w:val="auto"/>
              </w:rPr>
            </w:pPr>
            <w:r>
              <w:rPr>
                <w:rFonts w:ascii="Arial" w:cs="Arial" w:eastAsia="Arial" w:hAnsi="Arial"/>
                <w:sz w:val="15"/>
                <w:szCs w:val="15"/>
                <w:color w:val="auto"/>
              </w:rPr>
              <w:t>Convertible senior notes, net, non-current</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24"/>
              <w:spacing w:after="0" w:line="151" w:lineRule="exact"/>
              <w:rPr>
                <w:sz w:val="20"/>
                <w:szCs w:val="20"/>
                <w:color w:val="auto"/>
              </w:rPr>
            </w:pPr>
            <w:r>
              <w:rPr>
                <w:rFonts w:ascii="Arial" w:cs="Arial" w:eastAsia="Arial" w:hAnsi="Arial"/>
                <w:sz w:val="15"/>
                <w:szCs w:val="15"/>
                <w:color w:val="auto"/>
              </w:rPr>
              <w:t>896,374</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896,067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Other liabilities, non-current</w:t>
            </w:r>
          </w:p>
        </w:tc>
        <w:tc>
          <w:tcPr>
            <w:tcW w:w="32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2,946</w:t>
            </w:r>
          </w:p>
        </w:tc>
        <w:tc>
          <w:tcPr>
            <w:tcW w:w="2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3,471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gridSpan w:val="2"/>
          </w:tcPr>
          <w:p>
            <w:pPr>
              <w:ind w:left="320"/>
              <w:spacing w:after="0" w:line="144" w:lineRule="exact"/>
              <w:rPr>
                <w:sz w:val="20"/>
                <w:szCs w:val="20"/>
                <w:color w:val="auto"/>
              </w:rPr>
            </w:pPr>
            <w:r>
              <w:rPr>
                <w:rFonts w:ascii="Arial" w:cs="Arial" w:eastAsia="Arial" w:hAnsi="Arial"/>
                <w:sz w:val="15"/>
                <w:szCs w:val="15"/>
                <w:color w:val="auto"/>
              </w:rPr>
              <w:t>Total liabilities</w:t>
            </w:r>
          </w:p>
        </w:tc>
        <w:tc>
          <w:tcPr>
            <w:tcW w:w="3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4"/>
              <w:spacing w:after="0" w:line="144" w:lineRule="exact"/>
              <w:rPr>
                <w:sz w:val="20"/>
                <w:szCs w:val="20"/>
                <w:color w:val="auto"/>
              </w:rPr>
            </w:pPr>
            <w:r>
              <w:rPr>
                <w:rFonts w:ascii="Arial" w:cs="Arial" w:eastAsia="Arial" w:hAnsi="Arial"/>
                <w:sz w:val="15"/>
                <w:szCs w:val="15"/>
                <w:color w:val="auto"/>
              </w:rPr>
              <w:t>1,194,256</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24"/>
              <w:spacing w:after="0" w:line="144" w:lineRule="exact"/>
              <w:rPr>
                <w:sz w:val="20"/>
                <w:szCs w:val="20"/>
                <w:color w:val="auto"/>
              </w:rPr>
            </w:pPr>
            <w:r>
              <w:rPr>
                <w:rFonts w:ascii="Arial" w:cs="Arial" w:eastAsia="Arial" w:hAnsi="Arial"/>
                <w:sz w:val="15"/>
                <w:szCs w:val="15"/>
                <w:color w:val="auto"/>
              </w:rPr>
              <w:t>1,215,983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500" w:type="dxa"/>
            <w:vAlign w:val="bottom"/>
            <w:gridSpan w:val="3"/>
          </w:tcPr>
          <w:p>
            <w:pPr>
              <w:spacing w:after="0"/>
              <w:rPr>
                <w:sz w:val="20"/>
                <w:szCs w:val="20"/>
                <w:color w:val="auto"/>
              </w:rPr>
            </w:pPr>
            <w:r>
              <w:rPr>
                <w:rFonts w:ascii="Arial" w:cs="Arial" w:eastAsia="Arial" w:hAnsi="Arial"/>
                <w:sz w:val="15"/>
                <w:szCs w:val="15"/>
                <w:color w:val="auto"/>
              </w:rPr>
              <w:t>Commitments and contingencies</w:t>
            </w:r>
          </w:p>
        </w:tc>
        <w:tc>
          <w:tcPr>
            <w:tcW w:w="3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1200" w:type="dxa"/>
            <w:vAlign w:val="bottom"/>
            <w:gridSpan w:val="2"/>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3500" w:type="dxa"/>
            <w:vAlign w:val="bottom"/>
            <w:gridSpan w:val="3"/>
          </w:tcPr>
          <w:p>
            <w:pPr>
              <w:spacing w:after="0" w:line="151" w:lineRule="exact"/>
              <w:rPr>
                <w:sz w:val="20"/>
                <w:szCs w:val="20"/>
                <w:color w:val="auto"/>
              </w:rPr>
            </w:pPr>
            <w:r>
              <w:rPr>
                <w:rFonts w:ascii="Arial" w:cs="Arial" w:eastAsia="Arial" w:hAnsi="Arial"/>
                <w:sz w:val="15"/>
                <w:szCs w:val="15"/>
                <w:color w:val="auto"/>
              </w:rPr>
              <w:t>Stockholders’ equity</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shd w:val="clear" w:color="auto" w:fill="CCEEFF"/>
          </w:tcPr>
          <w:p>
            <w:pPr>
              <w:ind w:left="400"/>
              <w:spacing w:after="0" w:line="151" w:lineRule="exact"/>
              <w:rPr>
                <w:sz w:val="20"/>
                <w:szCs w:val="20"/>
                <w:color w:val="auto"/>
              </w:rPr>
            </w:pPr>
            <w:r>
              <w:rPr>
                <w:rFonts w:ascii="Arial" w:cs="Arial" w:eastAsia="Arial" w:hAnsi="Arial"/>
                <w:sz w:val="15"/>
                <w:szCs w:val="15"/>
                <w:color w:val="auto"/>
              </w:rPr>
              <w:t>Preferred stock, $0.001 par value:</w:t>
            </w: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0" w:type="dxa"/>
            <w:vAlign w:val="bottom"/>
            <w:gridSpan w:val="4"/>
          </w:tcPr>
          <w:p>
            <w:pPr>
              <w:ind w:left="20"/>
              <w:spacing w:after="0" w:line="151" w:lineRule="exact"/>
              <w:rPr>
                <w:sz w:val="20"/>
                <w:szCs w:val="20"/>
                <w:color w:val="auto"/>
              </w:rPr>
            </w:pPr>
            <w:r>
              <w:rPr>
                <w:rFonts w:ascii="Arial" w:cs="Arial" w:eastAsia="Arial" w:hAnsi="Arial"/>
                <w:sz w:val="15"/>
                <w:szCs w:val="15"/>
                <w:color w:val="auto"/>
              </w:rPr>
              <w:t>Authorized 50,000 shares; No shares issued or outstanding</w:t>
            </w:r>
          </w:p>
        </w:tc>
        <w:tc>
          <w:tcPr>
            <w:tcW w:w="1580" w:type="dxa"/>
            <w:vAlign w:val="bottom"/>
            <w:gridSpan w:val="2"/>
          </w:tcPr>
          <w:p>
            <w:pPr>
              <w:jc w:val="right"/>
              <w:ind w:right="300"/>
              <w:spacing w:after="0" w:line="151"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shd w:val="clear" w:color="auto" w:fill="CCEEFF"/>
          </w:tcPr>
          <w:p>
            <w:pPr>
              <w:ind w:left="400"/>
              <w:spacing w:after="0" w:line="151" w:lineRule="exact"/>
              <w:rPr>
                <w:sz w:val="20"/>
                <w:szCs w:val="20"/>
                <w:color w:val="auto"/>
              </w:rPr>
            </w:pPr>
            <w:r>
              <w:rPr>
                <w:rFonts w:ascii="Arial" w:cs="Arial" w:eastAsia="Arial" w:hAnsi="Arial"/>
                <w:sz w:val="15"/>
                <w:szCs w:val="15"/>
                <w:color w:val="auto"/>
              </w:rPr>
              <w:t>Common stock, $0.001 par value:</w:t>
            </w: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0" w:type="dxa"/>
            <w:vAlign w:val="bottom"/>
            <w:gridSpan w:val="4"/>
          </w:tcPr>
          <w:p>
            <w:pPr>
              <w:ind w:left="20"/>
              <w:spacing w:after="0" w:line="131" w:lineRule="exact"/>
              <w:rPr>
                <w:sz w:val="20"/>
                <w:szCs w:val="20"/>
                <w:color w:val="auto"/>
              </w:rPr>
            </w:pPr>
            <w:r>
              <w:rPr>
                <w:rFonts w:ascii="Arial" w:cs="Arial" w:eastAsia="Arial" w:hAnsi="Arial"/>
                <w:sz w:val="15"/>
                <w:szCs w:val="15"/>
                <w:color w:val="auto"/>
              </w:rPr>
              <w:t>Authorized 1,000,000 shares; issued and outstanding 224,756 and 220,978 shares at June 30, 2022</w:t>
            </w:r>
          </w:p>
        </w:tc>
        <w:tc>
          <w:tcPr>
            <w:tcW w:w="1380" w:type="dxa"/>
            <w:vAlign w:val="bottom"/>
            <w:vMerge w:val="restart"/>
          </w:tcPr>
          <w:p>
            <w:pPr>
              <w:jc w:val="right"/>
              <w:ind w:right="24"/>
              <w:spacing w:after="0"/>
              <w:rPr>
                <w:sz w:val="20"/>
                <w:szCs w:val="20"/>
                <w:color w:val="auto"/>
              </w:rPr>
            </w:pPr>
            <w:r>
              <w:rPr>
                <w:rFonts w:ascii="Arial" w:cs="Arial" w:eastAsia="Arial" w:hAnsi="Arial"/>
                <w:sz w:val="15"/>
                <w:szCs w:val="15"/>
                <w:color w:val="auto"/>
              </w:rPr>
              <w:t>225</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vMerge w:val="restart"/>
          </w:tcPr>
          <w:p>
            <w:pPr>
              <w:jc w:val="right"/>
              <w:ind w:right="4"/>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0" w:type="dxa"/>
            <w:vAlign w:val="bottom"/>
            <w:gridSpan w:val="2"/>
            <w:vMerge w:val="restart"/>
          </w:tcPr>
          <w:p>
            <w:pPr>
              <w:ind w:left="20"/>
              <w:spacing w:after="0"/>
              <w:rPr>
                <w:sz w:val="20"/>
                <w:szCs w:val="20"/>
                <w:color w:val="auto"/>
              </w:rPr>
            </w:pPr>
            <w:r>
              <w:rPr>
                <w:rFonts w:ascii="Arial" w:cs="Arial" w:eastAsia="Arial" w:hAnsi="Arial"/>
                <w:sz w:val="15"/>
                <w:szCs w:val="15"/>
                <w:color w:val="auto"/>
              </w:rPr>
              <w:t>and December 31, 2021, respectively</w:t>
            </w:r>
          </w:p>
        </w:tc>
        <w:tc>
          <w:tcPr>
            <w:tcW w:w="3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0" w:type="dxa"/>
            <w:vAlign w:val="bottom"/>
            <w:gridSpan w:val="2"/>
            <w:vMerge w:val="continue"/>
          </w:tcPr>
          <w:p>
            <w:pPr>
              <w:spacing w:after="0"/>
              <w:rPr>
                <w:sz w:val="4"/>
                <w:szCs w:val="4"/>
                <w:color w:val="auto"/>
              </w:rPr>
            </w:pPr>
          </w:p>
        </w:tc>
        <w:tc>
          <w:tcPr>
            <w:tcW w:w="3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shd w:val="clear" w:color="auto" w:fill="CCEEFF"/>
          </w:tcPr>
          <w:p>
            <w:pPr>
              <w:ind w:left="400"/>
              <w:spacing w:after="0" w:line="151" w:lineRule="exact"/>
              <w:rPr>
                <w:sz w:val="20"/>
                <w:szCs w:val="20"/>
                <w:color w:val="auto"/>
              </w:rPr>
            </w:pPr>
            <w:r>
              <w:rPr>
                <w:rFonts w:ascii="Arial" w:cs="Arial" w:eastAsia="Arial" w:hAnsi="Arial"/>
                <w:sz w:val="15"/>
                <w:szCs w:val="15"/>
                <w:color w:val="auto"/>
              </w:rPr>
              <w:t>Additional paid-in capital</w:t>
            </w:r>
          </w:p>
        </w:tc>
        <w:tc>
          <w:tcPr>
            <w:tcW w:w="3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2,058,103</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2,009,945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tcPr>
          <w:p>
            <w:pPr>
              <w:ind w:left="400"/>
              <w:spacing w:after="0" w:line="151" w:lineRule="exact"/>
              <w:rPr>
                <w:sz w:val="20"/>
                <w:szCs w:val="20"/>
                <w:color w:val="auto"/>
              </w:rPr>
            </w:pPr>
            <w:r>
              <w:rPr>
                <w:rFonts w:ascii="Arial" w:cs="Arial" w:eastAsia="Arial" w:hAnsi="Arial"/>
                <w:sz w:val="15"/>
                <w:szCs w:val="15"/>
                <w:color w:val="auto"/>
              </w:rPr>
              <w:t>Accumulated other comprehensive loss</w:t>
            </w:r>
          </w:p>
        </w:tc>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jc w:val="right"/>
              <w:ind w:right="24"/>
              <w:spacing w:after="0" w:line="151" w:lineRule="exact"/>
              <w:rPr>
                <w:sz w:val="20"/>
                <w:szCs w:val="20"/>
                <w:color w:val="auto"/>
              </w:rPr>
            </w:pPr>
            <w:r>
              <w:rPr>
                <w:rFonts w:ascii="Arial" w:cs="Arial" w:eastAsia="Arial" w:hAnsi="Arial"/>
                <w:sz w:val="15"/>
                <w:szCs w:val="15"/>
                <w:color w:val="auto"/>
              </w:rPr>
              <w:t>(5,457)</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4"/>
              <w:spacing w:after="0" w:line="151" w:lineRule="exact"/>
              <w:rPr>
                <w:sz w:val="20"/>
                <w:szCs w:val="20"/>
                <w:color w:val="auto"/>
              </w:rPr>
            </w:pPr>
            <w:r>
              <w:rPr>
                <w:rFonts w:ascii="Arial" w:cs="Arial" w:eastAsia="Arial" w:hAnsi="Arial"/>
                <w:sz w:val="15"/>
                <w:szCs w:val="15"/>
                <w:color w:val="auto"/>
              </w:rPr>
              <w:t>(1,087)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00" w:type="dxa"/>
            <w:vAlign w:val="bottom"/>
            <w:gridSpan w:val="3"/>
            <w:shd w:val="clear" w:color="auto" w:fill="CCEEFF"/>
          </w:tcPr>
          <w:p>
            <w:pPr>
              <w:ind w:left="400"/>
              <w:spacing w:after="0" w:line="151" w:lineRule="exact"/>
              <w:rPr>
                <w:sz w:val="20"/>
                <w:szCs w:val="20"/>
                <w:color w:val="auto"/>
              </w:rPr>
            </w:pPr>
            <w:r>
              <w:rPr>
                <w:rFonts w:ascii="Arial" w:cs="Arial" w:eastAsia="Arial" w:hAnsi="Arial"/>
                <w:sz w:val="15"/>
                <w:szCs w:val="15"/>
                <w:color w:val="auto"/>
              </w:rPr>
              <w:t>Accumulated deficit</w:t>
            </w:r>
          </w:p>
        </w:tc>
        <w:tc>
          <w:tcPr>
            <w:tcW w:w="32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(1,370,985)</w:t>
            </w:r>
          </w:p>
        </w:tc>
        <w:tc>
          <w:tcPr>
            <w:tcW w:w="2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(1,218,092)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gridSpan w:val="2"/>
          </w:tcPr>
          <w:p>
            <w:pPr>
              <w:ind w:left="320"/>
              <w:spacing w:after="0" w:line="144" w:lineRule="exact"/>
              <w:rPr>
                <w:sz w:val="20"/>
                <w:szCs w:val="20"/>
                <w:color w:val="auto"/>
              </w:rPr>
            </w:pPr>
            <w:r>
              <w:rPr>
                <w:rFonts w:ascii="Arial" w:cs="Arial" w:eastAsia="Arial" w:hAnsi="Arial"/>
                <w:sz w:val="15"/>
                <w:szCs w:val="15"/>
                <w:color w:val="auto"/>
              </w:rPr>
              <w:t>Total stockholders’ equity</w:t>
            </w:r>
          </w:p>
        </w:tc>
        <w:tc>
          <w:tcPr>
            <w:tcW w:w="3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4"/>
              <w:spacing w:after="0" w:line="144" w:lineRule="exact"/>
              <w:rPr>
                <w:sz w:val="20"/>
                <w:szCs w:val="20"/>
                <w:color w:val="auto"/>
              </w:rPr>
            </w:pPr>
            <w:r>
              <w:rPr>
                <w:rFonts w:ascii="Arial" w:cs="Arial" w:eastAsia="Arial" w:hAnsi="Arial"/>
                <w:sz w:val="15"/>
                <w:szCs w:val="15"/>
                <w:color w:val="auto"/>
              </w:rPr>
              <w:t>681,886</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24"/>
              <w:spacing w:after="0" w:line="144" w:lineRule="exact"/>
              <w:rPr>
                <w:sz w:val="20"/>
                <w:szCs w:val="20"/>
                <w:color w:val="auto"/>
              </w:rPr>
            </w:pPr>
            <w:r>
              <w:rPr>
                <w:rFonts w:ascii="Arial" w:cs="Arial" w:eastAsia="Arial" w:hAnsi="Arial"/>
                <w:sz w:val="15"/>
                <w:szCs w:val="15"/>
                <w:color w:val="auto"/>
              </w:rPr>
              <w:t>790,987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3000" w:type="dxa"/>
            <w:vAlign w:val="bottom"/>
            <w:tcBorders>
              <w:bottom w:val="single" w:sz="8" w:color="CCEEFF"/>
            </w:tcBorders>
            <w:gridSpan w:val="2"/>
            <w:shd w:val="clear" w:color="auto" w:fill="CCEEFF"/>
          </w:tcPr>
          <w:p>
            <w:pPr>
              <w:ind w:left="320"/>
              <w:spacing w:after="0" w:line="144" w:lineRule="exact"/>
              <w:rPr>
                <w:sz w:val="20"/>
                <w:szCs w:val="20"/>
                <w:color w:val="auto"/>
              </w:rPr>
            </w:pPr>
            <w:r>
              <w:rPr>
                <w:rFonts w:ascii="Arial" w:cs="Arial" w:eastAsia="Arial" w:hAnsi="Arial"/>
                <w:sz w:val="15"/>
                <w:szCs w:val="15"/>
                <w:color w:val="auto"/>
              </w:rPr>
              <w:t>Total liabilities and stockholders’ equity</w:t>
            </w:r>
          </w:p>
        </w:tc>
        <w:tc>
          <w:tcPr>
            <w:tcW w:w="3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24"/>
              <w:spacing w:after="0" w:line="144" w:lineRule="exact"/>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1,876,142</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5"/>
                <w:szCs w:val="15"/>
                <w:color w:val="auto"/>
              </w:rPr>
              <w:t>$</w:t>
            </w:r>
          </w:p>
        </w:tc>
        <w:tc>
          <w:tcPr>
            <w:tcW w:w="1800" w:type="dxa"/>
            <w:vAlign w:val="bottom"/>
            <w:tcBorders>
              <w:bottom w:val="single" w:sz="8" w:color="auto"/>
            </w:tcBorders>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2,006,970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184150</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60"/>
          </w:cols>
          <w:pgMar w:left="300" w:top="96"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32"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w w:val="90"/>
              </w:rPr>
              <w:t>(in thousands, except per</w:t>
            </w:r>
          </w:p>
        </w:tc>
        <w:tc>
          <w:tcPr>
            <w:tcW w:w="42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3"/>
                <w:szCs w:val="13"/>
                <w:b w:val="1"/>
                <w:bCs w:val="1"/>
                <w:color w:val="auto"/>
              </w:rPr>
              <w:t>Three Months Ended June 30,</w:t>
            </w:r>
          </w:p>
        </w:tc>
        <w:tc>
          <w:tcPr>
            <w:tcW w:w="12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3"/>
                <w:szCs w:val="13"/>
                <w:b w:val="1"/>
                <w:bCs w:val="1"/>
                <w:color w:val="auto"/>
              </w:rPr>
              <w:t>Six Months Ended June 30,</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360" w:type="dxa"/>
            <w:vAlign w:val="bottom"/>
            <w:vMerge w:val="restart"/>
          </w:tcPr>
          <w:p>
            <w:pPr>
              <w:jc w:val="right"/>
              <w:ind w:right="693"/>
              <w:spacing w:after="0"/>
              <w:rPr>
                <w:sz w:val="20"/>
                <w:szCs w:val="20"/>
                <w:color w:val="auto"/>
              </w:rPr>
            </w:pPr>
            <w:r>
              <w:rPr>
                <w:rFonts w:ascii="Arial" w:cs="Arial" w:eastAsia="Arial" w:hAnsi="Arial"/>
                <w:sz w:val="13"/>
                <w:szCs w:val="13"/>
                <w:b w:val="1"/>
                <w:bCs w:val="1"/>
                <w:color w:val="auto"/>
              </w:rPr>
              <w:t>2022</w:t>
            </w: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vMerge w:val="restart"/>
          </w:tcPr>
          <w:p>
            <w:pPr>
              <w:jc w:val="right"/>
              <w:ind w:right="673"/>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vMerge w:val="restart"/>
          </w:tcPr>
          <w:p>
            <w:pPr>
              <w:jc w:val="right"/>
              <w:ind w:right="713"/>
              <w:spacing w:after="0"/>
              <w:rPr>
                <w:sz w:val="20"/>
                <w:szCs w:val="20"/>
                <w:color w:val="auto"/>
              </w:rPr>
            </w:pPr>
            <w:r>
              <w:rPr>
                <w:rFonts w:ascii="Arial" w:cs="Arial" w:eastAsia="Arial" w:hAnsi="Arial"/>
                <w:sz w:val="13"/>
                <w:szCs w:val="13"/>
                <w:b w:val="1"/>
                <w:bCs w:val="1"/>
                <w:color w:val="auto"/>
              </w:rPr>
              <w:t>2022</w:t>
            </w: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restart"/>
          </w:tcPr>
          <w:p>
            <w:pPr>
              <w:jc w:val="right"/>
              <w:ind w:right="71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11"/>
        </w:trPr>
        <w:tc>
          <w:tcPr>
            <w:tcW w:w="1440" w:type="dxa"/>
            <w:vAlign w:val="bottom"/>
            <w:vMerge w:val="restart"/>
          </w:tcPr>
          <w:p>
            <w:pPr>
              <w:spacing w:after="0" w:line="141" w:lineRule="exact"/>
              <w:rPr>
                <w:sz w:val="20"/>
                <w:szCs w:val="20"/>
                <w:color w:val="auto"/>
              </w:rPr>
            </w:pPr>
            <w:r>
              <w:rPr>
                <w:rFonts w:ascii="Arial" w:cs="Arial" w:eastAsia="Arial" w:hAnsi="Arial"/>
                <w:sz w:val="13"/>
                <w:szCs w:val="13"/>
                <w:b w:val="1"/>
                <w:bCs w:val="1"/>
                <w:color w:val="auto"/>
              </w:rPr>
              <w:t>share amounts)</w:t>
            </w:r>
          </w:p>
        </w:tc>
        <w:tc>
          <w:tcPr>
            <w:tcW w:w="4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440" w:type="dxa"/>
            <w:vAlign w:val="bottom"/>
            <w:vMerge w:val="continue"/>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440" w:type="dxa"/>
            <w:vAlign w:val="bottom"/>
          </w:tcPr>
          <w:p>
            <w:pPr>
              <w:spacing w:after="0" w:line="139" w:lineRule="exact"/>
              <w:rPr>
                <w:sz w:val="20"/>
                <w:szCs w:val="20"/>
                <w:color w:val="auto"/>
              </w:rPr>
            </w:pPr>
            <w:r>
              <w:rPr>
                <w:rFonts w:ascii="Arial" w:cs="Arial" w:eastAsia="Arial" w:hAnsi="Arial"/>
                <w:sz w:val="13"/>
                <w:szCs w:val="13"/>
                <w:color w:val="auto"/>
              </w:rPr>
              <w:t>Revenue:</w:t>
            </w: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ind w:left="400"/>
              <w:spacing w:after="0" w:line="139" w:lineRule="exact"/>
              <w:rPr>
                <w:sz w:val="20"/>
                <w:szCs w:val="20"/>
                <w:color w:val="auto"/>
              </w:rPr>
            </w:pPr>
            <w:r>
              <w:rPr>
                <w:rFonts w:ascii="Arial" w:cs="Arial" w:eastAsia="Arial" w:hAnsi="Arial"/>
                <w:sz w:val="13"/>
                <w:szCs w:val="13"/>
                <w:color w:val="auto"/>
              </w:rPr>
              <w:t>Product revenue</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53"/>
              <w:spacing w:after="0" w:line="139" w:lineRule="exact"/>
              <w:rPr>
                <w:sz w:val="20"/>
                <w:szCs w:val="20"/>
                <w:color w:val="auto"/>
              </w:rPr>
            </w:pPr>
            <w:r>
              <w:rPr>
                <w:rFonts w:ascii="Arial" w:cs="Arial" w:eastAsia="Arial" w:hAnsi="Arial"/>
                <w:sz w:val="13"/>
                <w:szCs w:val="13"/>
                <w:color w:val="auto"/>
              </w:rPr>
              <w:t>30,175</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93"/>
              <w:spacing w:after="0" w:line="139" w:lineRule="exact"/>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53"/>
              <w:spacing w:after="0" w:line="139" w:lineRule="exact"/>
              <w:rPr>
                <w:sz w:val="20"/>
                <w:szCs w:val="20"/>
                <w:color w:val="auto"/>
              </w:rPr>
            </w:pPr>
            <w:r>
              <w:rPr>
                <w:rFonts w:ascii="Arial" w:cs="Arial" w:eastAsia="Arial" w:hAnsi="Arial"/>
                <w:sz w:val="13"/>
                <w:szCs w:val="13"/>
                <w:color w:val="auto"/>
              </w:rPr>
              <w:t>26,533</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73"/>
              <w:spacing w:after="0" w:line="139" w:lineRule="exact"/>
              <w:rPr>
                <w:sz w:val="20"/>
                <w:szCs w:val="20"/>
                <w:color w:val="auto"/>
              </w:rPr>
            </w:pPr>
            <w:r>
              <w:rPr>
                <w:rFonts w:ascii="Arial" w:cs="Arial" w:eastAsia="Arial" w:hAnsi="Arial"/>
                <w:sz w:val="13"/>
                <w:szCs w:val="13"/>
                <w:color w:val="auto"/>
              </w:rPr>
              <w:t>58,419</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53"/>
              <w:spacing w:after="0" w:line="139" w:lineRule="exact"/>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53"/>
              <w:spacing w:after="0" w:line="139" w:lineRule="exact"/>
              <w:rPr>
                <w:sz w:val="20"/>
                <w:szCs w:val="20"/>
                <w:color w:val="auto"/>
              </w:rPr>
            </w:pPr>
            <w:r>
              <w:rPr>
                <w:rFonts w:ascii="Arial" w:cs="Arial" w:eastAsia="Arial" w:hAnsi="Arial"/>
                <w:sz w:val="13"/>
                <w:szCs w:val="13"/>
                <w:color w:val="auto"/>
              </w:rPr>
              <w:t>51,836</w:t>
            </w:r>
          </w:p>
        </w:tc>
        <w:tc>
          <w:tcPr>
            <w:tcW w:w="0" w:type="dxa"/>
            <w:vAlign w:val="bottom"/>
          </w:tcPr>
          <w:p>
            <w:pPr>
              <w:spacing w:after="0"/>
              <w:rPr>
                <w:sz w:val="1"/>
                <w:szCs w:val="1"/>
                <w:color w:val="auto"/>
              </w:rPr>
            </w:pPr>
          </w:p>
        </w:tc>
      </w:tr>
      <w:tr>
        <w:trPr>
          <w:trHeight w:val="121"/>
        </w:trPr>
        <w:tc>
          <w:tcPr>
            <w:tcW w:w="1440" w:type="dxa"/>
            <w:vAlign w:val="bottom"/>
          </w:tcPr>
          <w:p>
            <w:pPr>
              <w:ind w:left="400"/>
              <w:spacing w:after="0" w:line="121" w:lineRule="exact"/>
              <w:rPr>
                <w:sz w:val="20"/>
                <w:szCs w:val="20"/>
                <w:color w:val="auto"/>
              </w:rPr>
            </w:pPr>
            <w:r>
              <w:rPr>
                <w:rFonts w:ascii="Arial" w:cs="Arial" w:eastAsia="Arial" w:hAnsi="Arial"/>
                <w:sz w:val="13"/>
                <w:szCs w:val="13"/>
                <w:color w:val="auto"/>
              </w:rPr>
              <w:t>Service and other</w:t>
            </w:r>
          </w:p>
        </w:tc>
        <w:tc>
          <w:tcPr>
            <w:tcW w:w="420" w:type="dxa"/>
            <w:vAlign w:val="bottom"/>
          </w:tcPr>
          <w:p>
            <w:pPr>
              <w:spacing w:after="0"/>
              <w:rPr>
                <w:sz w:val="10"/>
                <w:szCs w:val="10"/>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3"/>
                <w:szCs w:val="13"/>
                <w:color w:val="auto"/>
              </w:rPr>
              <w:t>5,292</w:t>
            </w: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3"/>
                <w:szCs w:val="13"/>
                <w:color w:val="auto"/>
              </w:rPr>
              <w:t>4,077</w:t>
            </w: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vMerge w:val="restart"/>
          </w:tcPr>
          <w:p>
            <w:pPr>
              <w:jc w:val="right"/>
              <w:ind w:right="73"/>
              <w:spacing w:after="0"/>
              <w:rPr>
                <w:sz w:val="20"/>
                <w:szCs w:val="20"/>
                <w:color w:val="auto"/>
              </w:rPr>
            </w:pPr>
            <w:r>
              <w:rPr>
                <w:rFonts w:ascii="Arial" w:cs="Arial" w:eastAsia="Arial" w:hAnsi="Arial"/>
                <w:sz w:val="13"/>
                <w:szCs w:val="13"/>
                <w:color w:val="auto"/>
              </w:rPr>
              <w:t>10,221</w:t>
            </w: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restart"/>
          </w:tcPr>
          <w:p>
            <w:pPr>
              <w:jc w:val="right"/>
              <w:ind w:right="53"/>
              <w:spacing w:after="0"/>
              <w:rPr>
                <w:sz w:val="20"/>
                <w:szCs w:val="20"/>
                <w:color w:val="auto"/>
              </w:rPr>
            </w:pPr>
            <w:r>
              <w:rPr>
                <w:rFonts w:ascii="Arial" w:cs="Arial" w:eastAsia="Arial" w:hAnsi="Arial"/>
                <w:sz w:val="13"/>
                <w:szCs w:val="13"/>
                <w:color w:val="auto"/>
              </w:rPr>
              <w:t>7,771</w:t>
            </w:r>
          </w:p>
        </w:tc>
        <w:tc>
          <w:tcPr>
            <w:tcW w:w="0" w:type="dxa"/>
            <w:vAlign w:val="bottom"/>
          </w:tcPr>
          <w:p>
            <w:pPr>
              <w:spacing w:after="0"/>
              <w:rPr>
                <w:sz w:val="1"/>
                <w:szCs w:val="1"/>
                <w:color w:val="auto"/>
              </w:rPr>
            </w:pPr>
          </w:p>
        </w:tc>
      </w:tr>
      <w:tr>
        <w:trPr>
          <w:trHeight w:val="96"/>
        </w:trPr>
        <w:tc>
          <w:tcPr>
            <w:tcW w:w="1440" w:type="dxa"/>
            <w:vAlign w:val="bottom"/>
            <w:vMerge w:val="restart"/>
          </w:tcPr>
          <w:p>
            <w:pPr>
              <w:ind w:left="400"/>
              <w:spacing w:after="0"/>
              <w:rPr>
                <w:sz w:val="20"/>
                <w:szCs w:val="20"/>
                <w:color w:val="auto"/>
              </w:rPr>
            </w:pPr>
            <w:r>
              <w:rPr>
                <w:rFonts w:ascii="Arial" w:cs="Arial" w:eastAsia="Arial" w:hAnsi="Arial"/>
                <w:sz w:val="13"/>
                <w:szCs w:val="13"/>
                <w:color w:val="auto"/>
              </w:rPr>
              <w:t>revenue</w:t>
            </w:r>
          </w:p>
        </w:tc>
        <w:tc>
          <w:tcPr>
            <w:tcW w:w="4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40" w:type="dxa"/>
            <w:vAlign w:val="bottom"/>
            <w:tcBorders>
              <w:bottom w:val="single" w:sz="8" w:color="CCEEFF"/>
            </w:tcBorders>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440" w:type="dxa"/>
            <w:vAlign w:val="bottom"/>
            <w:shd w:val="clear" w:color="auto" w:fill="CCEEFF"/>
          </w:tcPr>
          <w:p>
            <w:pPr>
              <w:ind w:left="700"/>
              <w:spacing w:after="0" w:line="132" w:lineRule="exact"/>
              <w:rPr>
                <w:sz w:val="20"/>
                <w:szCs w:val="20"/>
                <w:color w:val="auto"/>
              </w:rPr>
            </w:pPr>
            <w:r>
              <w:rPr>
                <w:rFonts w:ascii="Arial" w:cs="Arial" w:eastAsia="Arial" w:hAnsi="Arial"/>
                <w:sz w:val="13"/>
                <w:szCs w:val="13"/>
                <w:color w:val="auto"/>
                <w:w w:val="90"/>
              </w:rPr>
              <w:t>Total revenue</w:t>
            </w:r>
          </w:p>
        </w:tc>
        <w:tc>
          <w:tcPr>
            <w:tcW w:w="42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53"/>
              <w:spacing w:after="0" w:line="132" w:lineRule="exact"/>
              <w:rPr>
                <w:sz w:val="20"/>
                <w:szCs w:val="20"/>
                <w:color w:val="auto"/>
              </w:rPr>
            </w:pPr>
            <w:r>
              <w:rPr>
                <w:rFonts w:ascii="Arial" w:cs="Arial" w:eastAsia="Arial" w:hAnsi="Arial"/>
                <w:sz w:val="13"/>
                <w:szCs w:val="13"/>
                <w:color w:val="auto"/>
              </w:rPr>
              <w:t>35,467</w:t>
            </w:r>
          </w:p>
        </w:tc>
        <w:tc>
          <w:tcPr>
            <w:tcW w:w="1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53"/>
              <w:spacing w:after="0" w:line="132" w:lineRule="exact"/>
              <w:rPr>
                <w:sz w:val="20"/>
                <w:szCs w:val="20"/>
                <w:color w:val="auto"/>
              </w:rPr>
            </w:pPr>
            <w:r>
              <w:rPr>
                <w:rFonts w:ascii="Arial" w:cs="Arial" w:eastAsia="Arial" w:hAnsi="Arial"/>
                <w:sz w:val="13"/>
                <w:szCs w:val="13"/>
                <w:color w:val="auto"/>
              </w:rPr>
              <w:t>30,610</w:t>
            </w: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20" w:type="dxa"/>
            <w:vAlign w:val="bottom"/>
            <w:shd w:val="clear" w:color="auto" w:fill="CCEEFF"/>
          </w:tcPr>
          <w:p>
            <w:pPr>
              <w:jc w:val="right"/>
              <w:ind w:right="73"/>
              <w:spacing w:after="0" w:line="132" w:lineRule="exact"/>
              <w:rPr>
                <w:sz w:val="20"/>
                <w:szCs w:val="20"/>
                <w:color w:val="auto"/>
              </w:rPr>
            </w:pPr>
            <w:r>
              <w:rPr>
                <w:rFonts w:ascii="Arial" w:cs="Arial" w:eastAsia="Arial" w:hAnsi="Arial"/>
                <w:sz w:val="13"/>
                <w:szCs w:val="13"/>
                <w:color w:val="auto"/>
              </w:rPr>
              <w:t>68,640</w:t>
            </w:r>
          </w:p>
        </w:tc>
        <w:tc>
          <w:tcPr>
            <w:tcW w:w="1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340" w:type="dxa"/>
            <w:vAlign w:val="bottom"/>
            <w:shd w:val="clear" w:color="auto" w:fill="CCEEFF"/>
          </w:tcPr>
          <w:p>
            <w:pPr>
              <w:jc w:val="right"/>
              <w:ind w:right="53"/>
              <w:spacing w:after="0" w:line="132" w:lineRule="exact"/>
              <w:rPr>
                <w:sz w:val="20"/>
                <w:szCs w:val="20"/>
                <w:color w:val="auto"/>
              </w:rPr>
            </w:pPr>
            <w:r>
              <w:rPr>
                <w:rFonts w:ascii="Arial" w:cs="Arial" w:eastAsia="Arial" w:hAnsi="Arial"/>
                <w:sz w:val="13"/>
                <w:szCs w:val="13"/>
                <w:color w:val="auto"/>
              </w:rPr>
              <w:t>59,607</w:t>
            </w:r>
          </w:p>
        </w:tc>
        <w:tc>
          <w:tcPr>
            <w:tcW w:w="0" w:type="dxa"/>
            <w:vAlign w:val="bottom"/>
          </w:tcPr>
          <w:p>
            <w:pPr>
              <w:spacing w:after="0"/>
              <w:rPr>
                <w:sz w:val="1"/>
                <w:szCs w:val="1"/>
                <w:color w:val="auto"/>
              </w:rPr>
            </w:pPr>
          </w:p>
        </w:tc>
      </w:tr>
      <w:tr>
        <w:trPr>
          <w:trHeight w:val="139"/>
        </w:trPr>
        <w:tc>
          <w:tcPr>
            <w:tcW w:w="1440" w:type="dxa"/>
            <w:vAlign w:val="bottom"/>
          </w:tcPr>
          <w:p>
            <w:pPr>
              <w:spacing w:after="0" w:line="139" w:lineRule="exact"/>
              <w:rPr>
                <w:sz w:val="20"/>
                <w:szCs w:val="20"/>
                <w:color w:val="auto"/>
              </w:rPr>
            </w:pPr>
            <w:r>
              <w:rPr>
                <w:rFonts w:ascii="Arial" w:cs="Arial" w:eastAsia="Arial" w:hAnsi="Arial"/>
                <w:sz w:val="13"/>
                <w:szCs w:val="13"/>
                <w:color w:val="auto"/>
              </w:rPr>
              <w:t>Cost of revenue:</w:t>
            </w: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Cost of product</w:t>
            </w:r>
          </w:p>
        </w:tc>
        <w:tc>
          <w:tcPr>
            <w:tcW w:w="42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15,499</w:t>
            </w: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13,222</w:t>
            </w: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30,319</w:t>
            </w:r>
          </w:p>
        </w:tc>
        <w:tc>
          <w:tcPr>
            <w:tcW w:w="1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25,919</w:t>
            </w:r>
          </w:p>
        </w:tc>
        <w:tc>
          <w:tcPr>
            <w:tcW w:w="0" w:type="dxa"/>
            <w:vAlign w:val="bottom"/>
          </w:tcPr>
          <w:p>
            <w:pPr>
              <w:spacing w:after="0"/>
              <w:rPr>
                <w:sz w:val="1"/>
                <w:szCs w:val="1"/>
                <w:color w:val="auto"/>
              </w:rPr>
            </w:pPr>
          </w:p>
        </w:tc>
      </w:tr>
      <w:tr>
        <w:trPr>
          <w:trHeight w:val="96"/>
        </w:trPr>
        <w:tc>
          <w:tcPr>
            <w:tcW w:w="144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revenue</w:t>
            </w:r>
          </w:p>
        </w:tc>
        <w:tc>
          <w:tcPr>
            <w:tcW w:w="42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40" w:type="dxa"/>
            <w:vAlign w:val="bottom"/>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440" w:type="dxa"/>
            <w:vAlign w:val="bottom"/>
          </w:tcPr>
          <w:p>
            <w:pPr>
              <w:ind w:left="400"/>
              <w:spacing w:after="0" w:line="121" w:lineRule="exact"/>
              <w:rPr>
                <w:sz w:val="20"/>
                <w:szCs w:val="20"/>
                <w:color w:val="auto"/>
              </w:rPr>
            </w:pPr>
            <w:r>
              <w:rPr>
                <w:rFonts w:ascii="Arial" w:cs="Arial" w:eastAsia="Arial" w:hAnsi="Arial"/>
                <w:sz w:val="13"/>
                <w:szCs w:val="13"/>
                <w:color w:val="auto"/>
                <w:w w:val="91"/>
              </w:rPr>
              <w:t>Cost of service and</w:t>
            </w:r>
          </w:p>
        </w:tc>
        <w:tc>
          <w:tcPr>
            <w:tcW w:w="420" w:type="dxa"/>
            <w:vAlign w:val="bottom"/>
          </w:tcPr>
          <w:p>
            <w:pPr>
              <w:spacing w:after="0"/>
              <w:rPr>
                <w:sz w:val="10"/>
                <w:szCs w:val="10"/>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3"/>
                <w:szCs w:val="13"/>
                <w:color w:val="auto"/>
              </w:rPr>
              <w:t>3,592</w:t>
            </w: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3"/>
                <w:szCs w:val="13"/>
                <w:color w:val="auto"/>
              </w:rPr>
              <w:t>3,635</w:t>
            </w: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vMerge w:val="restart"/>
          </w:tcPr>
          <w:p>
            <w:pPr>
              <w:jc w:val="right"/>
              <w:ind w:right="73"/>
              <w:spacing w:after="0"/>
              <w:rPr>
                <w:sz w:val="20"/>
                <w:szCs w:val="20"/>
                <w:color w:val="auto"/>
              </w:rPr>
            </w:pPr>
            <w:r>
              <w:rPr>
                <w:rFonts w:ascii="Arial" w:cs="Arial" w:eastAsia="Arial" w:hAnsi="Arial"/>
                <w:sz w:val="13"/>
                <w:szCs w:val="13"/>
                <w:color w:val="auto"/>
              </w:rPr>
              <w:t>7,607</w:t>
            </w: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restart"/>
          </w:tcPr>
          <w:p>
            <w:pPr>
              <w:jc w:val="right"/>
              <w:ind w:right="53"/>
              <w:spacing w:after="0"/>
              <w:rPr>
                <w:sz w:val="20"/>
                <w:szCs w:val="20"/>
                <w:color w:val="auto"/>
              </w:rPr>
            </w:pPr>
            <w:r>
              <w:rPr>
                <w:rFonts w:ascii="Arial" w:cs="Arial" w:eastAsia="Arial" w:hAnsi="Arial"/>
                <w:sz w:val="13"/>
                <w:szCs w:val="13"/>
                <w:color w:val="auto"/>
              </w:rPr>
              <w:t>6,958</w:t>
            </w:r>
          </w:p>
        </w:tc>
        <w:tc>
          <w:tcPr>
            <w:tcW w:w="0" w:type="dxa"/>
            <w:vAlign w:val="bottom"/>
          </w:tcPr>
          <w:p>
            <w:pPr>
              <w:spacing w:after="0"/>
              <w:rPr>
                <w:sz w:val="1"/>
                <w:szCs w:val="1"/>
                <w:color w:val="auto"/>
              </w:rPr>
            </w:pPr>
          </w:p>
        </w:tc>
      </w:tr>
      <w:tr>
        <w:trPr>
          <w:trHeight w:val="96"/>
        </w:trPr>
        <w:tc>
          <w:tcPr>
            <w:tcW w:w="1440" w:type="dxa"/>
            <w:vAlign w:val="bottom"/>
            <w:vMerge w:val="restart"/>
          </w:tcPr>
          <w:p>
            <w:pPr>
              <w:ind w:left="400"/>
              <w:spacing w:after="0"/>
              <w:rPr>
                <w:sz w:val="20"/>
                <w:szCs w:val="20"/>
                <w:color w:val="auto"/>
              </w:rPr>
            </w:pPr>
            <w:r>
              <w:rPr>
                <w:rFonts w:ascii="Arial" w:cs="Arial" w:eastAsia="Arial" w:hAnsi="Arial"/>
                <w:sz w:val="13"/>
                <w:szCs w:val="13"/>
                <w:color w:val="auto"/>
              </w:rPr>
              <w:t>other revenue</w:t>
            </w:r>
          </w:p>
        </w:tc>
        <w:tc>
          <w:tcPr>
            <w:tcW w:w="4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Amortization of</w:t>
            </w:r>
          </w:p>
        </w:tc>
        <w:tc>
          <w:tcPr>
            <w:tcW w:w="42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183</w:t>
            </w: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6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366</w:t>
            </w:r>
          </w:p>
        </w:tc>
        <w:tc>
          <w:tcPr>
            <w:tcW w:w="1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6"/>
        </w:trPr>
        <w:tc>
          <w:tcPr>
            <w:tcW w:w="144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intangible assets</w:t>
            </w:r>
          </w:p>
        </w:tc>
        <w:tc>
          <w:tcPr>
            <w:tcW w:w="42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60" w:type="dxa"/>
            <w:vAlign w:val="bottom"/>
            <w:gridSpan w:val="2"/>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40" w:type="dxa"/>
            <w:vAlign w:val="bottom"/>
            <w:vMerge w:val="continue"/>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440" w:type="dxa"/>
            <w:vAlign w:val="bottom"/>
          </w:tcPr>
          <w:p>
            <w:pPr>
              <w:ind w:left="700"/>
              <w:spacing w:after="0" w:line="101" w:lineRule="exact"/>
              <w:rPr>
                <w:sz w:val="20"/>
                <w:szCs w:val="20"/>
                <w:color w:val="auto"/>
              </w:rPr>
            </w:pPr>
            <w:r>
              <w:rPr>
                <w:rFonts w:ascii="Arial" w:cs="Arial" w:eastAsia="Arial" w:hAnsi="Arial"/>
                <w:sz w:val="11"/>
                <w:szCs w:val="11"/>
                <w:color w:val="auto"/>
              </w:rPr>
              <w:t>Total cost of</w:t>
            </w:r>
          </w:p>
        </w:tc>
        <w:tc>
          <w:tcPr>
            <w:tcW w:w="420" w:type="dxa"/>
            <w:vAlign w:val="bottom"/>
          </w:tcPr>
          <w:p>
            <w:pPr>
              <w:spacing w:after="0"/>
              <w:rPr>
                <w:sz w:val="8"/>
                <w:szCs w:val="8"/>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3"/>
                <w:szCs w:val="13"/>
                <w:color w:val="auto"/>
              </w:rPr>
              <w:t>19,274</w:t>
            </w: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3"/>
                <w:szCs w:val="13"/>
                <w:color w:val="auto"/>
              </w:rPr>
              <w:t>16,857</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vMerge w:val="restart"/>
          </w:tcPr>
          <w:p>
            <w:pPr>
              <w:jc w:val="right"/>
              <w:ind w:right="73"/>
              <w:spacing w:after="0"/>
              <w:rPr>
                <w:sz w:val="20"/>
                <w:szCs w:val="20"/>
                <w:color w:val="auto"/>
              </w:rPr>
            </w:pPr>
            <w:r>
              <w:rPr>
                <w:rFonts w:ascii="Arial" w:cs="Arial" w:eastAsia="Arial" w:hAnsi="Arial"/>
                <w:sz w:val="13"/>
                <w:szCs w:val="13"/>
                <w:color w:val="auto"/>
              </w:rPr>
              <w:t>38,292</w:t>
            </w: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restart"/>
          </w:tcPr>
          <w:p>
            <w:pPr>
              <w:jc w:val="right"/>
              <w:ind w:right="53"/>
              <w:spacing w:after="0"/>
              <w:rPr>
                <w:sz w:val="20"/>
                <w:szCs w:val="20"/>
                <w:color w:val="auto"/>
              </w:rPr>
            </w:pPr>
            <w:r>
              <w:rPr>
                <w:rFonts w:ascii="Arial" w:cs="Arial" w:eastAsia="Arial" w:hAnsi="Arial"/>
                <w:sz w:val="13"/>
                <w:szCs w:val="13"/>
                <w:color w:val="auto"/>
              </w:rPr>
              <w:t>32,877</w:t>
            </w:r>
          </w:p>
        </w:tc>
        <w:tc>
          <w:tcPr>
            <w:tcW w:w="0" w:type="dxa"/>
            <w:vAlign w:val="bottom"/>
          </w:tcPr>
          <w:p>
            <w:pPr>
              <w:spacing w:after="0"/>
              <w:rPr>
                <w:sz w:val="1"/>
                <w:szCs w:val="1"/>
                <w:color w:val="auto"/>
              </w:rPr>
            </w:pPr>
          </w:p>
        </w:tc>
      </w:tr>
      <w:tr>
        <w:trPr>
          <w:trHeight w:val="109"/>
        </w:trPr>
        <w:tc>
          <w:tcPr>
            <w:tcW w:w="1440" w:type="dxa"/>
            <w:vAlign w:val="bottom"/>
            <w:vMerge w:val="restart"/>
          </w:tcPr>
          <w:p>
            <w:pPr>
              <w:ind w:left="700"/>
              <w:spacing w:after="0"/>
              <w:rPr>
                <w:sz w:val="20"/>
                <w:szCs w:val="20"/>
                <w:color w:val="auto"/>
              </w:rPr>
            </w:pPr>
            <w:r>
              <w:rPr>
                <w:rFonts w:ascii="Arial" w:cs="Arial" w:eastAsia="Arial" w:hAnsi="Arial"/>
                <w:sz w:val="13"/>
                <w:szCs w:val="13"/>
                <w:color w:val="auto"/>
              </w:rPr>
              <w:t>revenue</w:t>
            </w:r>
          </w:p>
        </w:tc>
        <w:tc>
          <w:tcPr>
            <w:tcW w:w="4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440" w:type="dxa"/>
            <w:vAlign w:val="bottom"/>
            <w:tcBorders>
              <w:bottom w:val="single" w:sz="8" w:color="CCEEFF"/>
            </w:tcBorders>
            <w:vMerge w:val="continue"/>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440" w:type="dxa"/>
            <w:vAlign w:val="bottom"/>
            <w:shd w:val="clear" w:color="auto" w:fill="CCEEFF"/>
          </w:tcPr>
          <w:p>
            <w:pPr>
              <w:ind w:left="1120"/>
              <w:spacing w:after="0" w:line="101" w:lineRule="exact"/>
              <w:rPr>
                <w:sz w:val="20"/>
                <w:szCs w:val="20"/>
                <w:color w:val="auto"/>
              </w:rPr>
            </w:pPr>
            <w:r>
              <w:rPr>
                <w:rFonts w:ascii="Arial" w:cs="Arial" w:eastAsia="Arial" w:hAnsi="Arial"/>
                <w:sz w:val="11"/>
                <w:szCs w:val="11"/>
                <w:color w:val="auto"/>
              </w:rPr>
              <w:t>Gross</w:t>
            </w:r>
          </w:p>
        </w:tc>
        <w:tc>
          <w:tcPr>
            <w:tcW w:w="420" w:type="dxa"/>
            <w:vAlign w:val="bottom"/>
            <w:shd w:val="clear" w:color="auto" w:fill="CCEEFF"/>
          </w:tcPr>
          <w:p>
            <w:pPr>
              <w:spacing w:after="0"/>
              <w:rPr>
                <w:sz w:val="8"/>
                <w:szCs w:val="8"/>
                <w:color w:val="auto"/>
              </w:rPr>
            </w:pPr>
          </w:p>
        </w:tc>
        <w:tc>
          <w:tcPr>
            <w:tcW w:w="13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16,193</w:t>
            </w:r>
          </w:p>
        </w:tc>
        <w:tc>
          <w:tcPr>
            <w:tcW w:w="1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13,753</w:t>
            </w: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30,348</w:t>
            </w:r>
          </w:p>
        </w:tc>
        <w:tc>
          <w:tcPr>
            <w:tcW w:w="1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3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26,730</w:t>
            </w:r>
          </w:p>
        </w:tc>
        <w:tc>
          <w:tcPr>
            <w:tcW w:w="0" w:type="dxa"/>
            <w:vAlign w:val="bottom"/>
          </w:tcPr>
          <w:p>
            <w:pPr>
              <w:spacing w:after="0"/>
              <w:rPr>
                <w:sz w:val="1"/>
                <w:szCs w:val="1"/>
                <w:color w:val="auto"/>
              </w:rPr>
            </w:pPr>
          </w:p>
        </w:tc>
      </w:tr>
      <w:tr>
        <w:trPr>
          <w:trHeight w:val="137"/>
        </w:trPr>
        <w:tc>
          <w:tcPr>
            <w:tcW w:w="1440" w:type="dxa"/>
            <w:vAlign w:val="bottom"/>
            <w:tcBorders>
              <w:bottom w:val="single" w:sz="8" w:color="CCEEFF"/>
            </w:tcBorders>
            <w:shd w:val="clear" w:color="auto" w:fill="CCEEFF"/>
          </w:tcPr>
          <w:p>
            <w:pPr>
              <w:ind w:left="1120"/>
              <w:spacing w:after="0" w:line="138" w:lineRule="exact"/>
              <w:rPr>
                <w:sz w:val="20"/>
                <w:szCs w:val="20"/>
                <w:color w:val="auto"/>
              </w:rPr>
            </w:pPr>
            <w:r>
              <w:rPr>
                <w:rFonts w:ascii="Arial" w:cs="Arial" w:eastAsia="Arial" w:hAnsi="Arial"/>
                <w:sz w:val="13"/>
                <w:szCs w:val="13"/>
                <w:color w:val="auto"/>
              </w:rPr>
              <w:t>profit</w:t>
            </w:r>
          </w:p>
        </w:tc>
        <w:tc>
          <w:tcPr>
            <w:tcW w:w="42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vMerge w:val="continue"/>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vMerge w:val="continue"/>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vMerge w:val="continue"/>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40" w:type="dxa"/>
            <w:vAlign w:val="bottom"/>
          </w:tcPr>
          <w:p>
            <w:pPr>
              <w:spacing w:after="0" w:line="139" w:lineRule="exact"/>
              <w:rPr>
                <w:sz w:val="20"/>
                <w:szCs w:val="20"/>
                <w:color w:val="auto"/>
              </w:rPr>
            </w:pPr>
            <w:r>
              <w:rPr>
                <w:rFonts w:ascii="Arial" w:cs="Arial" w:eastAsia="Arial" w:hAnsi="Arial"/>
                <w:sz w:val="13"/>
                <w:szCs w:val="13"/>
                <w:color w:val="auto"/>
              </w:rPr>
              <w:t>Operating expense:</w:t>
            </w: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Research and</w:t>
            </w:r>
          </w:p>
        </w:tc>
        <w:tc>
          <w:tcPr>
            <w:tcW w:w="42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50,348</w:t>
            </w: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22,266</w:t>
            </w: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103,285</w:t>
            </w:r>
          </w:p>
        </w:tc>
        <w:tc>
          <w:tcPr>
            <w:tcW w:w="1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42,815</w:t>
            </w:r>
          </w:p>
        </w:tc>
        <w:tc>
          <w:tcPr>
            <w:tcW w:w="0" w:type="dxa"/>
            <w:vAlign w:val="bottom"/>
          </w:tcPr>
          <w:p>
            <w:pPr>
              <w:spacing w:after="0"/>
              <w:rPr>
                <w:sz w:val="1"/>
                <w:szCs w:val="1"/>
                <w:color w:val="auto"/>
              </w:rPr>
            </w:pPr>
          </w:p>
        </w:tc>
      </w:tr>
      <w:tr>
        <w:trPr>
          <w:trHeight w:val="96"/>
        </w:trPr>
        <w:tc>
          <w:tcPr>
            <w:tcW w:w="144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development</w:t>
            </w:r>
          </w:p>
        </w:tc>
        <w:tc>
          <w:tcPr>
            <w:tcW w:w="42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40" w:type="dxa"/>
            <w:vAlign w:val="bottom"/>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440" w:type="dxa"/>
            <w:vAlign w:val="bottom"/>
          </w:tcPr>
          <w:p>
            <w:pPr>
              <w:ind w:left="400"/>
              <w:spacing w:after="0" w:line="121" w:lineRule="exact"/>
              <w:rPr>
                <w:sz w:val="20"/>
                <w:szCs w:val="20"/>
                <w:color w:val="auto"/>
              </w:rPr>
            </w:pPr>
            <w:r>
              <w:rPr>
                <w:rFonts w:ascii="Arial" w:cs="Arial" w:eastAsia="Arial" w:hAnsi="Arial"/>
                <w:sz w:val="13"/>
                <w:szCs w:val="13"/>
                <w:color w:val="auto"/>
                <w:w w:val="94"/>
              </w:rPr>
              <w:t>Sales, general and</w:t>
            </w:r>
          </w:p>
        </w:tc>
        <w:tc>
          <w:tcPr>
            <w:tcW w:w="420" w:type="dxa"/>
            <w:vAlign w:val="bottom"/>
          </w:tcPr>
          <w:p>
            <w:pPr>
              <w:spacing w:after="0"/>
              <w:rPr>
                <w:sz w:val="10"/>
                <w:szCs w:val="10"/>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3"/>
                <w:szCs w:val="13"/>
                <w:color w:val="auto"/>
              </w:rPr>
              <w:t>39,252</w:t>
            </w: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3"/>
                <w:szCs w:val="13"/>
                <w:color w:val="auto"/>
              </w:rPr>
              <w:t>29,060</w:t>
            </w: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vMerge w:val="restart"/>
          </w:tcPr>
          <w:p>
            <w:pPr>
              <w:jc w:val="right"/>
              <w:ind w:right="73"/>
              <w:spacing w:after="0"/>
              <w:rPr>
                <w:sz w:val="20"/>
                <w:szCs w:val="20"/>
                <w:color w:val="auto"/>
              </w:rPr>
            </w:pPr>
            <w:r>
              <w:rPr>
                <w:rFonts w:ascii="Arial" w:cs="Arial" w:eastAsia="Arial" w:hAnsi="Arial"/>
                <w:sz w:val="13"/>
                <w:szCs w:val="13"/>
                <w:color w:val="auto"/>
              </w:rPr>
              <w:t>79,056</w:t>
            </w: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restart"/>
          </w:tcPr>
          <w:p>
            <w:pPr>
              <w:jc w:val="right"/>
              <w:ind w:right="53"/>
              <w:spacing w:after="0"/>
              <w:rPr>
                <w:sz w:val="20"/>
                <w:szCs w:val="20"/>
                <w:color w:val="auto"/>
              </w:rPr>
            </w:pPr>
            <w:r>
              <w:rPr>
                <w:rFonts w:ascii="Arial" w:cs="Arial" w:eastAsia="Arial" w:hAnsi="Arial"/>
                <w:sz w:val="13"/>
                <w:szCs w:val="13"/>
                <w:color w:val="auto"/>
              </w:rPr>
              <w:t>55,198</w:t>
            </w:r>
          </w:p>
        </w:tc>
        <w:tc>
          <w:tcPr>
            <w:tcW w:w="0" w:type="dxa"/>
            <w:vAlign w:val="bottom"/>
          </w:tcPr>
          <w:p>
            <w:pPr>
              <w:spacing w:after="0"/>
              <w:rPr>
                <w:sz w:val="1"/>
                <w:szCs w:val="1"/>
                <w:color w:val="auto"/>
              </w:rPr>
            </w:pPr>
          </w:p>
        </w:tc>
      </w:tr>
      <w:tr>
        <w:trPr>
          <w:trHeight w:val="96"/>
        </w:trPr>
        <w:tc>
          <w:tcPr>
            <w:tcW w:w="1440" w:type="dxa"/>
            <w:vAlign w:val="bottom"/>
            <w:vMerge w:val="restart"/>
          </w:tcPr>
          <w:p>
            <w:pPr>
              <w:ind w:left="400"/>
              <w:spacing w:after="0"/>
              <w:rPr>
                <w:sz w:val="20"/>
                <w:szCs w:val="20"/>
                <w:color w:val="auto"/>
              </w:rPr>
            </w:pPr>
            <w:r>
              <w:rPr>
                <w:rFonts w:ascii="Arial" w:cs="Arial" w:eastAsia="Arial" w:hAnsi="Arial"/>
                <w:sz w:val="13"/>
                <w:szCs w:val="13"/>
                <w:color w:val="auto"/>
              </w:rPr>
              <w:t>administrative</w:t>
            </w:r>
          </w:p>
        </w:tc>
        <w:tc>
          <w:tcPr>
            <w:tcW w:w="4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Change in fair</w:t>
            </w: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ind w:left="400"/>
              <w:spacing w:after="0" w:line="139" w:lineRule="exact"/>
              <w:rPr>
                <w:sz w:val="20"/>
                <w:szCs w:val="20"/>
                <w:color w:val="auto"/>
              </w:rPr>
            </w:pPr>
            <w:r>
              <w:rPr>
                <w:rFonts w:ascii="Arial" w:cs="Arial" w:eastAsia="Arial" w:hAnsi="Arial"/>
                <w:sz w:val="13"/>
                <w:szCs w:val="13"/>
                <w:color w:val="auto"/>
                <w:w w:val="93"/>
              </w:rPr>
              <w:t>value of contingent</w:t>
            </w: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3"/>
              <w:spacing w:after="0" w:line="139" w:lineRule="exact"/>
              <w:rPr>
                <w:sz w:val="20"/>
                <w:szCs w:val="20"/>
                <w:color w:val="auto"/>
              </w:rPr>
            </w:pPr>
            <w:r>
              <w:rPr>
                <w:rFonts w:ascii="Arial" w:cs="Arial" w:eastAsia="Arial" w:hAnsi="Arial"/>
                <w:sz w:val="13"/>
                <w:szCs w:val="13"/>
                <w:color w:val="auto"/>
              </w:rPr>
              <w:t>(5,438)</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500"/>
              <w:spacing w:after="0" w:line="139"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33"/>
              <w:spacing w:after="0" w:line="139" w:lineRule="exact"/>
              <w:rPr>
                <w:sz w:val="20"/>
                <w:szCs w:val="20"/>
                <w:color w:val="auto"/>
              </w:rPr>
            </w:pPr>
            <w:r>
              <w:rPr>
                <w:rFonts w:ascii="Arial" w:cs="Arial" w:eastAsia="Arial" w:hAnsi="Arial"/>
                <w:sz w:val="13"/>
                <w:szCs w:val="13"/>
                <w:color w:val="auto"/>
              </w:rPr>
              <w:t>(6,501)</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3"/>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consideration</w:t>
            </w:r>
          </w:p>
        </w:tc>
        <w:tc>
          <w:tcPr>
            <w:tcW w:w="4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440" w:type="dxa"/>
            <w:vAlign w:val="bottom"/>
          </w:tcPr>
          <w:p>
            <w:pPr>
              <w:ind w:left="700"/>
              <w:spacing w:after="0" w:line="101" w:lineRule="exact"/>
              <w:rPr>
                <w:sz w:val="20"/>
                <w:szCs w:val="20"/>
                <w:color w:val="auto"/>
              </w:rPr>
            </w:pPr>
            <w:r>
              <w:rPr>
                <w:rFonts w:ascii="Arial" w:cs="Arial" w:eastAsia="Arial" w:hAnsi="Arial"/>
                <w:sz w:val="11"/>
                <w:szCs w:val="11"/>
                <w:color w:val="auto"/>
              </w:rPr>
              <w:t>Total</w:t>
            </w:r>
          </w:p>
        </w:tc>
        <w:tc>
          <w:tcPr>
            <w:tcW w:w="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700"/>
              <w:spacing w:after="0" w:line="139" w:lineRule="exact"/>
              <w:rPr>
                <w:sz w:val="20"/>
                <w:szCs w:val="20"/>
                <w:color w:val="auto"/>
              </w:rPr>
            </w:pPr>
            <w:r>
              <w:rPr>
                <w:rFonts w:ascii="Arial" w:cs="Arial" w:eastAsia="Arial" w:hAnsi="Arial"/>
                <w:sz w:val="13"/>
                <w:szCs w:val="13"/>
                <w:color w:val="auto"/>
              </w:rPr>
              <w:t>operating</w:t>
            </w:r>
          </w:p>
        </w:tc>
        <w:tc>
          <w:tcPr>
            <w:tcW w:w="420" w:type="dxa"/>
            <w:vAlign w:val="bottom"/>
          </w:tcPr>
          <w:p>
            <w:pPr>
              <w:spacing w:after="0"/>
              <w:rPr>
                <w:sz w:val="12"/>
                <w:szCs w:val="12"/>
                <w:color w:val="auto"/>
              </w:rPr>
            </w:pPr>
          </w:p>
        </w:tc>
        <w:tc>
          <w:tcPr>
            <w:tcW w:w="1360" w:type="dxa"/>
            <w:vAlign w:val="bottom"/>
          </w:tcPr>
          <w:p>
            <w:pPr>
              <w:jc w:val="right"/>
              <w:ind w:right="53"/>
              <w:spacing w:after="0" w:line="139" w:lineRule="exact"/>
              <w:rPr>
                <w:sz w:val="20"/>
                <w:szCs w:val="20"/>
                <w:color w:val="auto"/>
              </w:rPr>
            </w:pPr>
            <w:r>
              <w:rPr>
                <w:rFonts w:ascii="Arial" w:cs="Arial" w:eastAsia="Arial" w:hAnsi="Arial"/>
                <w:sz w:val="13"/>
                <w:szCs w:val="13"/>
                <w:color w:val="auto"/>
              </w:rPr>
              <w:t>84,162</w:t>
            </w: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jc w:val="right"/>
              <w:ind w:right="53"/>
              <w:spacing w:after="0" w:line="139" w:lineRule="exact"/>
              <w:rPr>
                <w:sz w:val="20"/>
                <w:szCs w:val="20"/>
                <w:color w:val="auto"/>
              </w:rPr>
            </w:pPr>
            <w:r>
              <w:rPr>
                <w:rFonts w:ascii="Arial" w:cs="Arial" w:eastAsia="Arial" w:hAnsi="Arial"/>
                <w:sz w:val="13"/>
                <w:szCs w:val="13"/>
                <w:color w:val="auto"/>
              </w:rPr>
              <w:t>51,326</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ind w:right="73"/>
              <w:spacing w:after="0" w:line="139" w:lineRule="exact"/>
              <w:rPr>
                <w:sz w:val="20"/>
                <w:szCs w:val="20"/>
                <w:color w:val="auto"/>
              </w:rPr>
            </w:pPr>
            <w:r>
              <w:rPr>
                <w:rFonts w:ascii="Arial" w:cs="Arial" w:eastAsia="Arial" w:hAnsi="Arial"/>
                <w:sz w:val="13"/>
                <w:szCs w:val="13"/>
                <w:color w:val="auto"/>
              </w:rPr>
              <w:t>175,840</w:t>
            </w: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jc w:val="right"/>
              <w:ind w:right="53"/>
              <w:spacing w:after="0" w:line="139" w:lineRule="exact"/>
              <w:rPr>
                <w:sz w:val="20"/>
                <w:szCs w:val="20"/>
                <w:color w:val="auto"/>
              </w:rPr>
            </w:pPr>
            <w:r>
              <w:rPr>
                <w:rFonts w:ascii="Arial" w:cs="Arial" w:eastAsia="Arial" w:hAnsi="Arial"/>
                <w:sz w:val="13"/>
                <w:szCs w:val="13"/>
                <w:color w:val="auto"/>
              </w:rPr>
              <w:t>98,013</w:t>
            </w:r>
          </w:p>
        </w:tc>
        <w:tc>
          <w:tcPr>
            <w:tcW w:w="0" w:type="dxa"/>
            <w:vAlign w:val="bottom"/>
          </w:tcPr>
          <w:p>
            <w:pPr>
              <w:spacing w:after="0"/>
              <w:rPr>
                <w:sz w:val="1"/>
                <w:szCs w:val="1"/>
                <w:color w:val="auto"/>
              </w:rPr>
            </w:pPr>
          </w:p>
        </w:tc>
      </w:tr>
      <w:tr>
        <w:trPr>
          <w:trHeight w:val="157"/>
        </w:trPr>
        <w:tc>
          <w:tcPr>
            <w:tcW w:w="1440" w:type="dxa"/>
            <w:vAlign w:val="bottom"/>
          </w:tcPr>
          <w:p>
            <w:pPr>
              <w:ind w:left="700"/>
              <w:spacing w:after="0"/>
              <w:rPr>
                <w:sz w:val="20"/>
                <w:szCs w:val="20"/>
                <w:color w:val="auto"/>
              </w:rPr>
            </w:pPr>
            <w:r>
              <w:rPr>
                <w:rFonts w:ascii="Arial" w:cs="Arial" w:eastAsia="Arial" w:hAnsi="Arial"/>
                <w:sz w:val="13"/>
                <w:szCs w:val="13"/>
                <w:color w:val="auto"/>
              </w:rPr>
              <w:t>expense</w:t>
            </w: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20"/>
                <w:szCs w:val="20"/>
                <w:color w:val="auto"/>
              </w:rPr>
            </w:pPr>
            <w:r>
              <w:rPr>
                <w:rFonts w:ascii="Arial" w:cs="Arial" w:eastAsia="Arial" w:hAnsi="Arial"/>
                <w:sz w:val="13"/>
                <w:szCs w:val="13"/>
                <w:color w:val="auto"/>
              </w:rPr>
              <w:t>Operating loss</w:t>
            </w:r>
          </w:p>
        </w:tc>
        <w:tc>
          <w:tcPr>
            <w:tcW w:w="4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(67,969)</w:t>
            </w: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(37,573)</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(145,492)</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(71,283)</w:t>
            </w:r>
          </w:p>
        </w:tc>
        <w:tc>
          <w:tcPr>
            <w:tcW w:w="0" w:type="dxa"/>
            <w:vAlign w:val="bottom"/>
          </w:tcPr>
          <w:p>
            <w:pPr>
              <w:spacing w:after="0"/>
              <w:rPr>
                <w:sz w:val="1"/>
                <w:szCs w:val="1"/>
                <w:color w:val="auto"/>
              </w:rPr>
            </w:pPr>
          </w:p>
        </w:tc>
      </w:tr>
      <w:tr>
        <w:trPr>
          <w:trHeight w:val="61"/>
        </w:trPr>
        <w:tc>
          <w:tcPr>
            <w:tcW w:w="1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440" w:type="dxa"/>
            <w:vAlign w:val="bottom"/>
          </w:tcPr>
          <w:p>
            <w:pPr>
              <w:ind w:left="400"/>
              <w:spacing w:after="0" w:line="121" w:lineRule="exact"/>
              <w:rPr>
                <w:sz w:val="20"/>
                <w:szCs w:val="20"/>
                <w:color w:val="auto"/>
              </w:rPr>
            </w:pPr>
            <w:r>
              <w:rPr>
                <w:rFonts w:ascii="Arial" w:cs="Arial" w:eastAsia="Arial" w:hAnsi="Arial"/>
                <w:sz w:val="13"/>
                <w:szCs w:val="13"/>
                <w:color w:val="auto"/>
              </w:rPr>
              <w:t>Loss from</w:t>
            </w: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400"/>
              <w:spacing w:after="0" w:line="139" w:lineRule="exact"/>
              <w:rPr>
                <w:sz w:val="20"/>
                <w:szCs w:val="20"/>
                <w:color w:val="auto"/>
              </w:rPr>
            </w:pPr>
            <w:r>
              <w:rPr>
                <w:rFonts w:ascii="Arial" w:cs="Arial" w:eastAsia="Arial" w:hAnsi="Arial"/>
                <w:sz w:val="13"/>
                <w:szCs w:val="13"/>
                <w:color w:val="auto"/>
              </w:rPr>
              <w:t>Continuation</w:t>
            </w:r>
          </w:p>
        </w:tc>
        <w:tc>
          <w:tcPr>
            <w:tcW w:w="420" w:type="dxa"/>
            <w:vAlign w:val="bottom"/>
          </w:tcPr>
          <w:p>
            <w:pPr>
              <w:spacing w:after="0"/>
              <w:rPr>
                <w:sz w:val="12"/>
                <w:szCs w:val="12"/>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gridSpan w:val="2"/>
            <w:vMerge w:val="restart"/>
          </w:tcPr>
          <w:p>
            <w:pPr>
              <w:jc w:val="right"/>
              <w:ind w:right="50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142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vMerge w:val="restart"/>
          </w:tcPr>
          <w:p>
            <w:pPr>
              <w:jc w:val="right"/>
              <w:ind w:right="13"/>
              <w:spacing w:after="0"/>
              <w:rPr>
                <w:sz w:val="20"/>
                <w:szCs w:val="20"/>
                <w:color w:val="auto"/>
              </w:rPr>
            </w:pPr>
            <w:r>
              <w:rPr>
                <w:rFonts w:ascii="Arial" w:cs="Arial" w:eastAsia="Arial" w:hAnsi="Arial"/>
                <w:sz w:val="13"/>
                <w:szCs w:val="13"/>
                <w:color w:val="auto"/>
              </w:rPr>
              <w:t>(52,000)</w:t>
            </w:r>
          </w:p>
        </w:tc>
        <w:tc>
          <w:tcPr>
            <w:tcW w:w="0" w:type="dxa"/>
            <w:vAlign w:val="bottom"/>
          </w:tcPr>
          <w:p>
            <w:pPr>
              <w:spacing w:after="0"/>
              <w:rPr>
                <w:sz w:val="1"/>
                <w:szCs w:val="1"/>
                <w:color w:val="auto"/>
              </w:rPr>
            </w:pPr>
          </w:p>
        </w:tc>
      </w:tr>
      <w:tr>
        <w:trPr>
          <w:trHeight w:val="96"/>
        </w:trPr>
        <w:tc>
          <w:tcPr>
            <w:tcW w:w="1440" w:type="dxa"/>
            <w:vAlign w:val="bottom"/>
            <w:vMerge w:val="restart"/>
          </w:tcPr>
          <w:p>
            <w:pPr>
              <w:ind w:left="400"/>
              <w:spacing w:after="0" w:line="139" w:lineRule="exact"/>
              <w:rPr>
                <w:sz w:val="20"/>
                <w:szCs w:val="20"/>
                <w:color w:val="auto"/>
              </w:rPr>
            </w:pPr>
            <w:r>
              <w:rPr>
                <w:rFonts w:ascii="Arial" w:cs="Arial" w:eastAsia="Arial" w:hAnsi="Arial"/>
                <w:sz w:val="13"/>
                <w:szCs w:val="13"/>
                <w:color w:val="auto"/>
              </w:rPr>
              <w:t>Advances from</w:t>
            </w:r>
          </w:p>
        </w:tc>
        <w:tc>
          <w:tcPr>
            <w:tcW w:w="4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440" w:type="dxa"/>
            <w:vAlign w:val="bottom"/>
          </w:tcPr>
          <w:p>
            <w:pPr>
              <w:ind w:left="400"/>
              <w:spacing w:after="0"/>
              <w:rPr>
                <w:sz w:val="20"/>
                <w:szCs w:val="20"/>
                <w:color w:val="auto"/>
              </w:rPr>
            </w:pPr>
            <w:r>
              <w:rPr>
                <w:rFonts w:ascii="Arial" w:cs="Arial" w:eastAsia="Arial" w:hAnsi="Arial"/>
                <w:sz w:val="13"/>
                <w:szCs w:val="13"/>
                <w:color w:val="auto"/>
              </w:rPr>
              <w:t>Illumina</w:t>
            </w: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ind w:left="400"/>
              <w:spacing w:after="0" w:line="139" w:lineRule="exact"/>
              <w:rPr>
                <w:sz w:val="20"/>
                <w:szCs w:val="20"/>
                <w:color w:val="auto"/>
              </w:rPr>
            </w:pPr>
            <w:r>
              <w:rPr>
                <w:rFonts w:ascii="Arial" w:cs="Arial" w:eastAsia="Arial" w:hAnsi="Arial"/>
                <w:sz w:val="13"/>
                <w:szCs w:val="13"/>
                <w:color w:val="auto"/>
              </w:rPr>
              <w:t>Interest expense</w:t>
            </w: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33"/>
              <w:spacing w:after="0" w:line="139" w:lineRule="exact"/>
              <w:rPr>
                <w:sz w:val="20"/>
                <w:szCs w:val="20"/>
                <w:color w:val="auto"/>
              </w:rPr>
            </w:pPr>
            <w:r>
              <w:rPr>
                <w:rFonts w:ascii="Arial" w:cs="Arial" w:eastAsia="Arial" w:hAnsi="Arial"/>
                <w:sz w:val="13"/>
                <w:szCs w:val="13"/>
                <w:color w:val="auto"/>
              </w:rPr>
              <w:t>(3,681)</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3"/>
              <w:spacing w:after="0" w:line="139" w:lineRule="exact"/>
              <w:rPr>
                <w:sz w:val="20"/>
                <w:szCs w:val="20"/>
                <w:color w:val="auto"/>
              </w:rPr>
            </w:pPr>
            <w:r>
              <w:rPr>
                <w:rFonts w:ascii="Arial" w:cs="Arial" w:eastAsia="Arial" w:hAnsi="Arial"/>
                <w:sz w:val="13"/>
                <w:szCs w:val="13"/>
                <w:color w:val="auto"/>
              </w:rPr>
              <w:t>(3,589)</w:t>
            </w: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33"/>
              <w:spacing w:after="0" w:line="139" w:lineRule="exact"/>
              <w:rPr>
                <w:sz w:val="20"/>
                <w:szCs w:val="20"/>
                <w:color w:val="auto"/>
              </w:rPr>
            </w:pPr>
            <w:r>
              <w:rPr>
                <w:rFonts w:ascii="Arial" w:cs="Arial" w:eastAsia="Arial" w:hAnsi="Arial"/>
                <w:sz w:val="13"/>
                <w:szCs w:val="13"/>
                <w:color w:val="auto"/>
              </w:rPr>
              <w:t>(7,378)</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3"/>
              <w:spacing w:after="0" w:line="139" w:lineRule="exact"/>
              <w:rPr>
                <w:sz w:val="20"/>
                <w:szCs w:val="20"/>
                <w:color w:val="auto"/>
              </w:rPr>
            </w:pPr>
            <w:r>
              <w:rPr>
                <w:rFonts w:ascii="Arial" w:cs="Arial" w:eastAsia="Arial" w:hAnsi="Arial"/>
                <w:sz w:val="13"/>
                <w:szCs w:val="13"/>
                <w:color w:val="auto"/>
              </w:rPr>
              <w:t>(5,378)</w:t>
            </w:r>
          </w:p>
        </w:tc>
        <w:tc>
          <w:tcPr>
            <w:tcW w:w="0" w:type="dxa"/>
            <w:vAlign w:val="bottom"/>
          </w:tcPr>
          <w:p>
            <w:pPr>
              <w:spacing w:after="0"/>
              <w:rPr>
                <w:sz w:val="1"/>
                <w:szCs w:val="1"/>
                <w:color w:val="auto"/>
              </w:rPr>
            </w:pPr>
          </w:p>
        </w:tc>
      </w:tr>
      <w:tr>
        <w:trPr>
          <w:trHeight w:val="121"/>
        </w:trPr>
        <w:tc>
          <w:tcPr>
            <w:tcW w:w="1440" w:type="dxa"/>
            <w:vAlign w:val="bottom"/>
          </w:tcPr>
          <w:p>
            <w:pPr>
              <w:ind w:left="400"/>
              <w:spacing w:after="0" w:line="121" w:lineRule="exact"/>
              <w:rPr>
                <w:sz w:val="20"/>
                <w:szCs w:val="20"/>
                <w:color w:val="auto"/>
              </w:rPr>
            </w:pPr>
            <w:r>
              <w:rPr>
                <w:rFonts w:ascii="Arial" w:cs="Arial" w:eastAsia="Arial" w:hAnsi="Arial"/>
                <w:sz w:val="13"/>
                <w:szCs w:val="13"/>
                <w:color w:val="auto"/>
              </w:rPr>
              <w:t>Other income</w:t>
            </w:r>
          </w:p>
        </w:tc>
        <w:tc>
          <w:tcPr>
            <w:tcW w:w="420" w:type="dxa"/>
            <w:vAlign w:val="bottom"/>
          </w:tcPr>
          <w:p>
            <w:pPr>
              <w:spacing w:after="0"/>
              <w:rPr>
                <w:sz w:val="10"/>
                <w:szCs w:val="10"/>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3"/>
                <w:szCs w:val="13"/>
                <w:color w:val="auto"/>
              </w:rPr>
              <w:t>256</w:t>
            </w: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3"/>
                <w:szCs w:val="13"/>
                <w:color w:val="auto"/>
              </w:rPr>
              <w:t>161</w:t>
            </w: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vMerge w:val="restart"/>
          </w:tcPr>
          <w:p>
            <w:pPr>
              <w:jc w:val="right"/>
              <w:ind w:right="33"/>
              <w:spacing w:after="0"/>
              <w:rPr>
                <w:sz w:val="20"/>
                <w:szCs w:val="20"/>
                <w:color w:val="auto"/>
              </w:rPr>
            </w:pPr>
            <w:r>
              <w:rPr>
                <w:rFonts w:ascii="Arial" w:cs="Arial" w:eastAsia="Arial" w:hAnsi="Arial"/>
                <w:sz w:val="13"/>
                <w:szCs w:val="13"/>
                <w:color w:val="auto"/>
              </w:rPr>
              <w:t>(23)</w:t>
            </w: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restart"/>
          </w:tcPr>
          <w:p>
            <w:pPr>
              <w:jc w:val="right"/>
              <w:ind w:right="53"/>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96"/>
        </w:trPr>
        <w:tc>
          <w:tcPr>
            <w:tcW w:w="1440" w:type="dxa"/>
            <w:vAlign w:val="bottom"/>
            <w:vMerge w:val="restart"/>
          </w:tcPr>
          <w:p>
            <w:pPr>
              <w:ind w:left="400"/>
              <w:spacing w:after="0"/>
              <w:rPr>
                <w:sz w:val="20"/>
                <w:szCs w:val="20"/>
                <w:color w:val="auto"/>
              </w:rPr>
            </w:pPr>
            <w:r>
              <w:rPr>
                <w:rFonts w:ascii="Arial" w:cs="Arial" w:eastAsia="Arial" w:hAnsi="Arial"/>
                <w:sz w:val="13"/>
                <w:szCs w:val="13"/>
                <w:color w:val="auto"/>
              </w:rPr>
              <w:t>(expense), net</w:t>
            </w:r>
          </w:p>
        </w:tc>
        <w:tc>
          <w:tcPr>
            <w:tcW w:w="4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40" w:type="dxa"/>
            <w:vAlign w:val="bottom"/>
            <w:tcBorders>
              <w:bottom w:val="single" w:sz="8" w:color="CCEEFF"/>
            </w:tcBorders>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4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(71,394)</w:t>
            </w: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(41,001)</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(152,893)</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(128,436)</w:t>
            </w:r>
          </w:p>
        </w:tc>
        <w:tc>
          <w:tcPr>
            <w:tcW w:w="0" w:type="dxa"/>
            <w:vAlign w:val="bottom"/>
          </w:tcPr>
          <w:p>
            <w:pPr>
              <w:spacing w:after="0"/>
              <w:rPr>
                <w:sz w:val="1"/>
                <w:szCs w:val="1"/>
                <w:color w:val="auto"/>
              </w:rPr>
            </w:pPr>
          </w:p>
        </w:tc>
      </w:tr>
      <w:tr>
        <w:trPr>
          <w:trHeight w:val="61"/>
        </w:trPr>
        <w:tc>
          <w:tcPr>
            <w:tcW w:w="1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440" w:type="dxa"/>
            <w:vAlign w:val="bottom"/>
          </w:tcPr>
          <w:p>
            <w:pPr>
              <w:spacing w:after="0" w:line="139" w:lineRule="exact"/>
              <w:rPr>
                <w:sz w:val="20"/>
                <w:szCs w:val="20"/>
                <w:color w:val="auto"/>
              </w:rPr>
            </w:pPr>
            <w:r>
              <w:rPr>
                <w:rFonts w:ascii="Arial" w:cs="Arial" w:eastAsia="Arial" w:hAnsi="Arial"/>
                <w:sz w:val="13"/>
                <w:szCs w:val="13"/>
                <w:color w:val="auto"/>
                <w:w w:val="91"/>
              </w:rPr>
              <w:t>Other comprehensive loss:</w:t>
            </w: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w w:val="95"/>
              </w:rPr>
              <w:t>Unrealized loss on</w:t>
            </w:r>
          </w:p>
        </w:tc>
        <w:tc>
          <w:tcPr>
            <w:tcW w:w="42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(1,372)</w:t>
            </w: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(80)</w:t>
            </w: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(4,370)</w:t>
            </w:r>
          </w:p>
        </w:tc>
        <w:tc>
          <w:tcPr>
            <w:tcW w:w="1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96"/>
        </w:trPr>
        <w:tc>
          <w:tcPr>
            <w:tcW w:w="144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investments</w:t>
            </w:r>
          </w:p>
        </w:tc>
        <w:tc>
          <w:tcPr>
            <w:tcW w:w="420" w:type="dxa"/>
            <w:vAlign w:val="bottom"/>
            <w:shd w:val="clear" w:color="auto" w:fill="CCEEFF"/>
          </w:tcPr>
          <w:p>
            <w:pPr>
              <w:spacing w:after="0"/>
              <w:rPr>
                <w:sz w:val="8"/>
                <w:szCs w:val="8"/>
                <w:color w:val="auto"/>
              </w:rPr>
            </w:pPr>
          </w:p>
        </w:tc>
        <w:tc>
          <w:tcPr>
            <w:tcW w:w="136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20" w:type="dxa"/>
            <w:vAlign w:val="bottom"/>
            <w:vMerge w:val="continue"/>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440" w:type="dxa"/>
            <w:vAlign w:val="bottom"/>
            <w:vMerge w:val="continue"/>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3"/>
                <w:szCs w:val="13"/>
                <w:color w:val="auto"/>
              </w:rPr>
              <w:t>Comprehensive loss</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1360" w:type="dxa"/>
            <w:vAlign w:val="bottom"/>
            <w:vMerge w:val="restart"/>
          </w:tcPr>
          <w:p>
            <w:pPr>
              <w:jc w:val="right"/>
              <w:ind w:right="33"/>
              <w:spacing w:after="0"/>
              <w:rPr>
                <w:sz w:val="20"/>
                <w:szCs w:val="20"/>
                <w:color w:val="auto"/>
              </w:rPr>
            </w:pPr>
            <w:r>
              <w:rPr>
                <w:rFonts w:ascii="Arial" w:cs="Arial" w:eastAsia="Arial" w:hAnsi="Arial"/>
                <w:sz w:val="13"/>
                <w:szCs w:val="13"/>
                <w:color w:val="auto"/>
              </w:rPr>
              <w:t>(72,766)</w:t>
            </w:r>
          </w:p>
        </w:tc>
        <w:tc>
          <w:tcPr>
            <w:tcW w:w="1120" w:type="dxa"/>
            <w:vAlign w:val="bottom"/>
          </w:tcPr>
          <w:p>
            <w:pPr>
              <w:spacing w:after="0"/>
              <w:rPr>
                <w:sz w:val="18"/>
                <w:szCs w:val="18"/>
                <w:color w:val="auto"/>
              </w:rPr>
            </w:pPr>
          </w:p>
        </w:tc>
        <w:tc>
          <w:tcPr>
            <w:tcW w:w="540" w:type="dxa"/>
            <w:vAlign w:val="bottom"/>
          </w:tcPr>
          <w:p>
            <w:pPr>
              <w:jc w:val="right"/>
              <w:ind w:right="393"/>
              <w:spacing w:after="0"/>
              <w:rPr>
                <w:sz w:val="20"/>
                <w:szCs w:val="20"/>
                <w:color w:val="auto"/>
              </w:rPr>
            </w:pPr>
            <w:r>
              <w:rPr>
                <w:rFonts w:ascii="Arial" w:cs="Arial" w:eastAsia="Arial" w:hAnsi="Arial"/>
                <w:sz w:val="13"/>
                <w:szCs w:val="13"/>
                <w:color w:val="auto"/>
                <w:w w:val="82"/>
              </w:rPr>
              <w:t>$</w:t>
            </w:r>
          </w:p>
        </w:tc>
        <w:tc>
          <w:tcPr>
            <w:tcW w:w="1240" w:type="dxa"/>
            <w:vAlign w:val="bottom"/>
            <w:vMerge w:val="restart"/>
          </w:tcPr>
          <w:p>
            <w:pPr>
              <w:jc w:val="right"/>
              <w:ind w:right="13"/>
              <w:spacing w:after="0"/>
              <w:rPr>
                <w:sz w:val="20"/>
                <w:szCs w:val="20"/>
                <w:color w:val="auto"/>
              </w:rPr>
            </w:pPr>
            <w:r>
              <w:rPr>
                <w:rFonts w:ascii="Arial" w:cs="Arial" w:eastAsia="Arial" w:hAnsi="Arial"/>
                <w:sz w:val="13"/>
                <w:szCs w:val="13"/>
                <w:color w:val="auto"/>
              </w:rPr>
              <w:t>(41,081)</w:t>
            </w:r>
          </w:p>
        </w:tc>
        <w:tc>
          <w:tcPr>
            <w:tcW w:w="420" w:type="dxa"/>
            <w:vAlign w:val="bottom"/>
          </w:tcPr>
          <w:p>
            <w:pPr>
              <w:spacing w:after="0"/>
              <w:rPr>
                <w:sz w:val="18"/>
                <w:szCs w:val="18"/>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1420" w:type="dxa"/>
            <w:vAlign w:val="bottom"/>
            <w:vMerge w:val="restart"/>
          </w:tcPr>
          <w:p>
            <w:pPr>
              <w:jc w:val="right"/>
              <w:ind w:right="33"/>
              <w:spacing w:after="0"/>
              <w:rPr>
                <w:sz w:val="20"/>
                <w:szCs w:val="20"/>
                <w:color w:val="auto"/>
              </w:rPr>
            </w:pPr>
            <w:r>
              <w:rPr>
                <w:rFonts w:ascii="Arial" w:cs="Arial" w:eastAsia="Arial" w:hAnsi="Arial"/>
                <w:sz w:val="13"/>
                <w:szCs w:val="13"/>
                <w:color w:val="auto"/>
              </w:rPr>
              <w:t>(157,263)</w:t>
            </w:r>
          </w:p>
        </w:tc>
        <w:tc>
          <w:tcPr>
            <w:tcW w:w="1120" w:type="dxa"/>
            <w:vAlign w:val="bottom"/>
          </w:tcPr>
          <w:p>
            <w:pPr>
              <w:spacing w:after="0"/>
              <w:rPr>
                <w:sz w:val="18"/>
                <w:szCs w:val="18"/>
                <w:color w:val="auto"/>
              </w:rPr>
            </w:pPr>
          </w:p>
        </w:tc>
        <w:tc>
          <w:tcPr>
            <w:tcW w:w="500" w:type="dxa"/>
            <w:vAlign w:val="bottom"/>
          </w:tcPr>
          <w:p>
            <w:pPr>
              <w:jc w:val="right"/>
              <w:ind w:right="353"/>
              <w:spacing w:after="0"/>
              <w:rPr>
                <w:sz w:val="20"/>
                <w:szCs w:val="20"/>
                <w:color w:val="auto"/>
              </w:rPr>
            </w:pPr>
            <w:r>
              <w:rPr>
                <w:rFonts w:ascii="Arial" w:cs="Arial" w:eastAsia="Arial" w:hAnsi="Arial"/>
                <w:sz w:val="13"/>
                <w:szCs w:val="13"/>
                <w:color w:val="auto"/>
                <w:w w:val="82"/>
              </w:rPr>
              <w:t>$</w:t>
            </w:r>
          </w:p>
        </w:tc>
        <w:tc>
          <w:tcPr>
            <w:tcW w:w="1340" w:type="dxa"/>
            <w:vAlign w:val="bottom"/>
            <w:vMerge w:val="restart"/>
          </w:tcPr>
          <w:p>
            <w:pPr>
              <w:jc w:val="right"/>
              <w:ind w:right="13"/>
              <w:spacing w:after="0"/>
              <w:rPr>
                <w:sz w:val="20"/>
                <w:szCs w:val="20"/>
                <w:color w:val="auto"/>
              </w:rPr>
            </w:pPr>
            <w:r>
              <w:rPr>
                <w:rFonts w:ascii="Arial" w:cs="Arial" w:eastAsia="Arial" w:hAnsi="Arial"/>
                <w:sz w:val="13"/>
                <w:szCs w:val="13"/>
                <w:color w:val="auto"/>
              </w:rPr>
              <w:t>(128,527)</w:t>
            </w:r>
          </w:p>
        </w:tc>
        <w:tc>
          <w:tcPr>
            <w:tcW w:w="0" w:type="dxa"/>
            <w:vAlign w:val="bottom"/>
          </w:tcPr>
          <w:p>
            <w:pPr>
              <w:spacing w:after="0"/>
              <w:rPr>
                <w:sz w:val="1"/>
                <w:szCs w:val="1"/>
                <w:color w:val="auto"/>
              </w:rPr>
            </w:pPr>
          </w:p>
        </w:tc>
      </w:tr>
      <w:tr>
        <w:trPr>
          <w:trHeight w:val="101"/>
        </w:trPr>
        <w:tc>
          <w:tcPr>
            <w:tcW w:w="144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42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40" w:type="dxa"/>
            <w:vAlign w:val="bottom"/>
            <w:shd w:val="clear" w:color="auto" w:fill="CCEEFF"/>
          </w:tcPr>
          <w:p>
            <w:pPr>
              <w:ind w:left="100"/>
              <w:spacing w:after="0" w:line="117" w:lineRule="exact"/>
              <w:rPr>
                <w:sz w:val="20"/>
                <w:szCs w:val="20"/>
                <w:color w:val="auto"/>
              </w:rPr>
            </w:pPr>
            <w:r>
              <w:rPr>
                <w:rFonts w:ascii="Arial" w:cs="Arial" w:eastAsia="Arial" w:hAnsi="Arial"/>
                <w:sz w:val="13"/>
                <w:szCs w:val="13"/>
                <w:color w:val="auto"/>
              </w:rPr>
              <w:t>Net loss per share:</w:t>
            </w: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440" w:type="dxa"/>
            <w:vAlign w:val="bottom"/>
          </w:tcPr>
          <w:p>
            <w:pPr>
              <w:ind w:left="400"/>
              <w:spacing w:after="0" w:line="139" w:lineRule="exact"/>
              <w:rPr>
                <w:sz w:val="20"/>
                <w:szCs w:val="20"/>
                <w:color w:val="auto"/>
              </w:rPr>
            </w:pPr>
            <w:r>
              <w:rPr>
                <w:rFonts w:ascii="Arial" w:cs="Arial" w:eastAsia="Arial" w:hAnsi="Arial"/>
                <w:sz w:val="13"/>
                <w:szCs w:val="13"/>
                <w:color w:val="auto"/>
              </w:rPr>
              <w:t>Basic</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line="139" w:lineRule="exact"/>
              <w:rPr>
                <w:sz w:val="20"/>
                <w:szCs w:val="20"/>
                <w:color w:val="auto"/>
              </w:rPr>
            </w:pPr>
            <w:r>
              <w:rPr>
                <w:rFonts w:ascii="Arial" w:cs="Arial" w:eastAsia="Arial" w:hAnsi="Arial"/>
                <w:sz w:val="13"/>
                <w:szCs w:val="13"/>
                <w:color w:val="auto"/>
              </w:rPr>
              <w:t>(0.32)</w:t>
            </w:r>
          </w:p>
        </w:tc>
        <w:tc>
          <w:tcPr>
            <w:tcW w:w="1120" w:type="dxa"/>
            <w:vAlign w:val="bottom"/>
          </w:tcPr>
          <w:p>
            <w:pPr>
              <w:spacing w:after="0"/>
              <w:rPr>
                <w:sz w:val="15"/>
                <w:szCs w:val="15"/>
                <w:color w:val="auto"/>
              </w:rPr>
            </w:pPr>
          </w:p>
        </w:tc>
        <w:tc>
          <w:tcPr>
            <w:tcW w:w="540" w:type="dxa"/>
            <w:vAlign w:val="bottom"/>
          </w:tcPr>
          <w:p>
            <w:pPr>
              <w:jc w:val="right"/>
              <w:ind w:right="393"/>
              <w:spacing w:after="0" w:line="139" w:lineRule="exact"/>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line="139" w:lineRule="exact"/>
              <w:rPr>
                <w:sz w:val="20"/>
                <w:szCs w:val="20"/>
                <w:color w:val="auto"/>
              </w:rPr>
            </w:pPr>
            <w:r>
              <w:rPr>
                <w:rFonts w:ascii="Arial" w:cs="Arial" w:eastAsia="Arial" w:hAnsi="Arial"/>
                <w:sz w:val="13"/>
                <w:szCs w:val="13"/>
                <w:color w:val="auto"/>
              </w:rPr>
              <w:t>(0.21)</w:t>
            </w:r>
          </w:p>
        </w:tc>
        <w:tc>
          <w:tcPr>
            <w:tcW w:w="420" w:type="dxa"/>
            <w:vAlign w:val="bottom"/>
          </w:tcPr>
          <w:p>
            <w:pPr>
              <w:spacing w:after="0"/>
              <w:rPr>
                <w:sz w:val="15"/>
                <w:szCs w:val="15"/>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2540" w:type="dxa"/>
            <w:vAlign w:val="bottom"/>
            <w:gridSpan w:val="2"/>
          </w:tcPr>
          <w:p>
            <w:pPr>
              <w:jc w:val="right"/>
              <w:ind w:right="1120"/>
              <w:spacing w:after="0" w:line="139" w:lineRule="exact"/>
              <w:rPr>
                <w:sz w:val="20"/>
                <w:szCs w:val="20"/>
                <w:color w:val="auto"/>
              </w:rPr>
            </w:pPr>
            <w:r>
              <w:rPr>
                <w:rFonts w:ascii="Arial" w:cs="Arial" w:eastAsia="Arial" w:hAnsi="Arial"/>
                <w:sz w:val="13"/>
                <w:szCs w:val="13"/>
                <w:color w:val="auto"/>
              </w:rPr>
              <w:t>(0.68)</w:t>
            </w:r>
          </w:p>
        </w:tc>
        <w:tc>
          <w:tcPr>
            <w:tcW w:w="500" w:type="dxa"/>
            <w:vAlign w:val="bottom"/>
          </w:tcPr>
          <w:p>
            <w:pPr>
              <w:jc w:val="right"/>
              <w:ind w:right="353"/>
              <w:spacing w:after="0" w:line="139" w:lineRule="exact"/>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line="139" w:lineRule="exact"/>
              <w:rPr>
                <w:sz w:val="20"/>
                <w:szCs w:val="20"/>
                <w:color w:val="auto"/>
              </w:rPr>
            </w:pPr>
            <w:r>
              <w:rPr>
                <w:rFonts w:ascii="Arial" w:cs="Arial" w:eastAsia="Arial" w:hAnsi="Arial"/>
                <w:sz w:val="13"/>
                <w:szCs w:val="13"/>
                <w:color w:val="auto"/>
              </w:rPr>
              <w:t>(0.65)</w:t>
            </w:r>
          </w:p>
        </w:tc>
        <w:tc>
          <w:tcPr>
            <w:tcW w:w="0" w:type="dxa"/>
            <w:vAlign w:val="bottom"/>
          </w:tcPr>
          <w:p>
            <w:pPr>
              <w:spacing w:after="0"/>
              <w:rPr>
                <w:sz w:val="1"/>
                <w:szCs w:val="1"/>
                <w:color w:val="auto"/>
              </w:rPr>
            </w:pPr>
          </w:p>
        </w:tc>
      </w:tr>
      <w:tr>
        <w:trPr>
          <w:trHeight w:val="117"/>
        </w:trPr>
        <w:tc>
          <w:tcPr>
            <w:tcW w:w="1440" w:type="dxa"/>
            <w:vAlign w:val="bottom"/>
            <w:tcBorders>
              <w:top w:val="single" w:sz="8" w:color="CCEEFF"/>
              <w:bottom w:val="single" w:sz="8" w:color="CCEEFF"/>
            </w:tcBorders>
            <w:shd w:val="clear" w:color="auto" w:fill="CCEEFF"/>
          </w:tcPr>
          <w:p>
            <w:pPr>
              <w:ind w:left="400"/>
              <w:spacing w:after="0" w:line="117" w:lineRule="exact"/>
              <w:rPr>
                <w:sz w:val="20"/>
                <w:szCs w:val="20"/>
                <w:color w:val="auto"/>
              </w:rPr>
            </w:pPr>
            <w:r>
              <w:rPr>
                <w:rFonts w:ascii="Arial" w:cs="Arial" w:eastAsia="Arial" w:hAnsi="Arial"/>
                <w:sz w:val="13"/>
                <w:szCs w:val="13"/>
                <w:color w:val="auto"/>
              </w:rPr>
              <w:t>Diluted</w:t>
            </w:r>
          </w:p>
        </w:tc>
        <w:tc>
          <w:tcPr>
            <w:tcW w:w="42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(0.32)</w:t>
            </w:r>
          </w:p>
        </w:tc>
        <w:tc>
          <w:tcPr>
            <w:tcW w:w="112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ind w:right="393"/>
              <w:spacing w:after="0" w:line="117" w:lineRule="exact"/>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(0.21)</w:t>
            </w:r>
          </w:p>
        </w:tc>
        <w:tc>
          <w:tcPr>
            <w:tcW w:w="42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(0.68)</w:t>
            </w:r>
          </w:p>
        </w:tc>
        <w:tc>
          <w:tcPr>
            <w:tcW w:w="11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ind w:right="353"/>
              <w:spacing w:after="0" w:line="117" w:lineRule="exact"/>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(0.65)</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89"/>
              </w:rPr>
              <w:t>Weighted average shares</w:t>
            </w: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outstanding used in</w:t>
            </w: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w w:val="99"/>
              </w:rPr>
              <w:t>calculating net loss per</w:t>
            </w: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w:t>
            </w: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400"/>
              <w:spacing w:after="0"/>
              <w:rPr>
                <w:sz w:val="20"/>
                <w:szCs w:val="20"/>
                <w:color w:val="auto"/>
              </w:rPr>
            </w:pPr>
            <w:r>
              <w:rPr>
                <w:rFonts w:ascii="Arial" w:cs="Arial" w:eastAsia="Arial" w:hAnsi="Arial"/>
                <w:sz w:val="13"/>
                <w:szCs w:val="13"/>
                <w:color w:val="auto"/>
              </w:rPr>
              <w:t>Basic</w:t>
            </w:r>
          </w:p>
        </w:tc>
        <w:tc>
          <w:tcPr>
            <w:tcW w:w="420" w:type="dxa"/>
            <w:vAlign w:val="bottom"/>
          </w:tcPr>
          <w:p>
            <w:pPr>
              <w:spacing w:after="0"/>
              <w:rPr>
                <w:sz w:val="19"/>
                <w:szCs w:val="19"/>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3"/>
                <w:szCs w:val="13"/>
                <w:color w:val="auto"/>
              </w:rPr>
              <w:t>224,499</w:t>
            </w: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3"/>
                <w:szCs w:val="13"/>
                <w:color w:val="auto"/>
              </w:rPr>
              <w:t>198,568</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73"/>
              <w:spacing w:after="0"/>
              <w:rPr>
                <w:sz w:val="20"/>
                <w:szCs w:val="20"/>
                <w:color w:val="auto"/>
              </w:rPr>
            </w:pPr>
            <w:r>
              <w:rPr>
                <w:rFonts w:ascii="Arial" w:cs="Arial" w:eastAsia="Arial" w:hAnsi="Arial"/>
                <w:sz w:val="13"/>
                <w:szCs w:val="13"/>
                <w:color w:val="auto"/>
              </w:rPr>
              <w:t>223,400</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ind w:right="53"/>
              <w:spacing w:after="0"/>
              <w:rPr>
                <w:sz w:val="20"/>
                <w:szCs w:val="20"/>
                <w:color w:val="auto"/>
              </w:rPr>
            </w:pPr>
            <w:r>
              <w:rPr>
                <w:rFonts w:ascii="Arial" w:cs="Arial" w:eastAsia="Arial" w:hAnsi="Arial"/>
                <w:sz w:val="13"/>
                <w:szCs w:val="13"/>
                <w:color w:val="auto"/>
              </w:rPr>
              <w:t>196,690</w:t>
            </w:r>
          </w:p>
        </w:tc>
        <w:tc>
          <w:tcPr>
            <w:tcW w:w="0" w:type="dxa"/>
            <w:vAlign w:val="bottom"/>
          </w:tcPr>
          <w:p>
            <w:pPr>
              <w:spacing w:after="0"/>
              <w:rPr>
                <w:sz w:val="1"/>
                <w:szCs w:val="1"/>
                <w:color w:val="auto"/>
              </w:rPr>
            </w:pPr>
          </w:p>
        </w:tc>
      </w:tr>
      <w:tr>
        <w:trPr>
          <w:trHeight w:val="88"/>
        </w:trPr>
        <w:tc>
          <w:tcPr>
            <w:tcW w:w="144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Diluted</w:t>
            </w:r>
          </w:p>
        </w:tc>
        <w:tc>
          <w:tcPr>
            <w:tcW w:w="4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224,499</w:t>
            </w:r>
          </w:p>
        </w:tc>
        <w:tc>
          <w:tcPr>
            <w:tcW w:w="1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198,568</w:t>
            </w: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223,400</w:t>
            </w: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196,690</w:t>
            </w:r>
          </w:p>
        </w:tc>
        <w:tc>
          <w:tcPr>
            <w:tcW w:w="0" w:type="dxa"/>
            <w:vAlign w:val="bottom"/>
          </w:tcPr>
          <w:p>
            <w:pPr>
              <w:spacing w:after="0"/>
              <w:rPr>
                <w:sz w:val="1"/>
                <w:szCs w:val="1"/>
                <w:color w:val="auto"/>
              </w:rPr>
            </w:pPr>
          </w:p>
        </w:tc>
      </w:tr>
      <w:tr>
        <w:trPr>
          <w:trHeight w:val="61"/>
        </w:trPr>
        <w:tc>
          <w:tcPr>
            <w:tcW w:w="144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4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gridSpan w:val="5"/>
          </w:tcPr>
          <w:p>
            <w:pPr>
              <w:ind w:left="3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780" w:type="dxa"/>
            <w:vAlign w:val="bottom"/>
            <w:gridSpan w:val="4"/>
          </w:tcPr>
          <w:p>
            <w:pPr>
              <w:spacing w:after="0" w:line="132" w:lineRule="exact"/>
              <w:rPr>
                <w:sz w:val="20"/>
                <w:szCs w:val="20"/>
                <w:color w:val="auto"/>
              </w:rPr>
            </w:pPr>
            <w:r>
              <w:rPr>
                <w:rFonts w:ascii="Arial" w:cs="Arial" w:eastAsia="Arial" w:hAnsi="Arial"/>
                <w:sz w:val="14"/>
                <w:szCs w:val="14"/>
                <w:b w:val="1"/>
                <w:bCs w:val="1"/>
                <w:i w:val="1"/>
                <w:iCs w:val="1"/>
                <w:color w:val="auto"/>
              </w:rPr>
              <w:t>For the three months ended June 30, 2022</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224,329</w:t>
            </w: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224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Balance at March 31, 2022</w:t>
            </w:r>
          </w:p>
        </w:tc>
        <w:tc>
          <w:tcPr>
            <w:tcW w:w="1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Other comprehensive loss</w:t>
            </w:r>
          </w:p>
        </w:tc>
        <w:tc>
          <w:tcPr>
            <w:tcW w:w="7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427</w:t>
            </w: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80" w:type="dxa"/>
            <w:vAlign w:val="bottom"/>
            <w:gridSpan w:val="4"/>
          </w:tcPr>
          <w:p>
            <w:pPr>
              <w:spacing w:after="0"/>
              <w:rPr>
                <w:sz w:val="20"/>
                <w:szCs w:val="20"/>
                <w:color w:val="auto"/>
              </w:rPr>
            </w:pPr>
            <w:r>
              <w:rPr>
                <w:rFonts w:ascii="Arial" w:cs="Arial" w:eastAsia="Arial" w:hAnsi="Arial"/>
                <w:sz w:val="14"/>
                <w:szCs w:val="14"/>
                <w:color w:val="auto"/>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378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rPr>
              <w:t>Balance at June 30, 2022</w:t>
            </w:r>
          </w:p>
        </w:tc>
        <w:tc>
          <w:tcPr>
            <w:tcW w:w="6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224,756</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225</w:t>
            </w:r>
          </w:p>
        </w:tc>
        <w:tc>
          <w:tcPr>
            <w:tcW w:w="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For the three months ended June 30, 2021</w:t>
            </w: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780" w:type="dxa"/>
            <w:vAlign w:val="bottom"/>
            <w:gridSpan w:val="4"/>
            <w:vMerge w:val="continue"/>
          </w:tcPr>
          <w:p>
            <w:pPr>
              <w:spacing w:after="0"/>
              <w:rPr>
                <w:sz w:val="23"/>
                <w:szCs w:val="2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198,340</w:t>
            </w:r>
          </w:p>
        </w:tc>
        <w:tc>
          <w:tcPr>
            <w:tcW w:w="140" w:type="dxa"/>
            <w:vAlign w:val="bottom"/>
          </w:tcPr>
          <w:p>
            <w:pPr>
              <w:spacing w:after="0"/>
              <w:rPr>
                <w:sz w:val="23"/>
                <w:szCs w:val="2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198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500" w:type="dxa"/>
            <w:vAlign w:val="bottom"/>
            <w:tcBorders>
              <w:top w:val="single" w:sz="8" w:color="auto"/>
            </w:tcBorders>
            <w:gridSpan w:val="3"/>
          </w:tcPr>
          <w:p>
            <w:pPr>
              <w:spacing w:after="0" w:line="131" w:lineRule="exact"/>
              <w:rPr>
                <w:sz w:val="20"/>
                <w:szCs w:val="20"/>
                <w:color w:val="auto"/>
              </w:rPr>
            </w:pPr>
            <w:r>
              <w:rPr>
                <w:rFonts w:ascii="Arial" w:cs="Arial" w:eastAsia="Arial" w:hAnsi="Arial"/>
                <w:sz w:val="14"/>
                <w:szCs w:val="14"/>
                <w:b w:val="1"/>
                <w:bCs w:val="1"/>
                <w:color w:val="auto"/>
              </w:rPr>
              <w:t>Balance at March 31, 2021</w:t>
            </w:r>
          </w:p>
        </w:tc>
        <w:tc>
          <w:tcPr>
            <w:tcW w:w="1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Other comprehensive loss</w:t>
            </w:r>
          </w:p>
        </w:tc>
        <w:tc>
          <w:tcPr>
            <w:tcW w:w="7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577</w:t>
            </w: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80" w:type="dxa"/>
            <w:vAlign w:val="bottom"/>
            <w:gridSpan w:val="4"/>
          </w:tcPr>
          <w:p>
            <w:pPr>
              <w:spacing w:after="0"/>
              <w:rPr>
                <w:sz w:val="20"/>
                <w:szCs w:val="20"/>
                <w:color w:val="auto"/>
              </w:rPr>
            </w:pPr>
            <w:r>
              <w:rPr>
                <w:rFonts w:ascii="Arial" w:cs="Arial" w:eastAsia="Arial" w:hAnsi="Arial"/>
                <w:sz w:val="14"/>
                <w:szCs w:val="14"/>
                <w:color w:val="auto"/>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378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rPr>
              <w:t>Balance at June 30, 2021</w:t>
            </w:r>
          </w:p>
        </w:tc>
        <w:tc>
          <w:tcPr>
            <w:tcW w:w="6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198,917</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199</w:t>
            </w:r>
          </w:p>
        </w:tc>
        <w:tc>
          <w:tcPr>
            <w:tcW w:w="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For the six months ended June 30, 2022</w:t>
            </w: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780" w:type="dxa"/>
            <w:vAlign w:val="bottom"/>
            <w:gridSpan w:val="4"/>
            <w:vMerge w:val="continue"/>
          </w:tcPr>
          <w:p>
            <w:pPr>
              <w:spacing w:after="0"/>
              <w:rPr>
                <w:sz w:val="23"/>
                <w:szCs w:val="2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220,978</w:t>
            </w:r>
          </w:p>
        </w:tc>
        <w:tc>
          <w:tcPr>
            <w:tcW w:w="140" w:type="dxa"/>
            <w:vAlign w:val="bottom"/>
          </w:tcPr>
          <w:p>
            <w:pPr>
              <w:spacing w:after="0"/>
              <w:rPr>
                <w:sz w:val="23"/>
                <w:szCs w:val="2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221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3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Balance at December 31, 2021</w:t>
            </w:r>
          </w:p>
        </w:tc>
        <w:tc>
          <w:tcPr>
            <w:tcW w:w="1400" w:type="dxa"/>
            <w:vAlign w:val="bottom"/>
            <w:gridSpan w:val="2"/>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Other comprehensive loss</w:t>
            </w:r>
          </w:p>
        </w:tc>
        <w:tc>
          <w:tcPr>
            <w:tcW w:w="7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Issuance of common stock in conjunction with equity plans</w:t>
            </w:r>
          </w:p>
        </w:tc>
        <w:tc>
          <w:tcPr>
            <w:tcW w:w="640" w:type="dxa"/>
            <w:vAlign w:val="bottom"/>
          </w:tcPr>
          <w:p>
            <w:pPr>
              <w:jc w:val="right"/>
              <w:spacing w:after="0" w:line="152" w:lineRule="exact"/>
              <w:rPr>
                <w:sz w:val="20"/>
                <w:szCs w:val="20"/>
                <w:color w:val="auto"/>
              </w:rPr>
            </w:pPr>
            <w:r>
              <w:rPr>
                <w:rFonts w:ascii="Arial" w:cs="Arial" w:eastAsia="Arial" w:hAnsi="Arial"/>
                <w:sz w:val="14"/>
                <w:szCs w:val="14"/>
                <w:color w:val="auto"/>
              </w:rPr>
              <w:t>3,778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80" w:type="dxa"/>
            <w:vAlign w:val="bottom"/>
            <w:gridSpan w:val="4"/>
          </w:tcPr>
          <w:p>
            <w:pPr>
              <w:spacing w:after="0"/>
              <w:rPr>
                <w:sz w:val="20"/>
                <w:szCs w:val="20"/>
                <w:color w:val="auto"/>
              </w:rPr>
            </w:pPr>
            <w:r>
              <w:rPr>
                <w:rFonts w:ascii="Arial" w:cs="Arial" w:eastAsia="Arial" w:hAnsi="Arial"/>
                <w:sz w:val="14"/>
                <w:szCs w:val="14"/>
                <w:color w:val="auto"/>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378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rPr>
              <w:t>Balance at June 30, 2022</w:t>
            </w:r>
          </w:p>
        </w:tc>
        <w:tc>
          <w:tcPr>
            <w:tcW w:w="6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224,756</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225</w:t>
            </w:r>
          </w:p>
        </w:tc>
        <w:tc>
          <w:tcPr>
            <w:tcW w:w="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For the six months ended June 30, 2021</w:t>
            </w: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780" w:type="dxa"/>
            <w:vAlign w:val="bottom"/>
            <w:gridSpan w:val="4"/>
            <w:vMerge w:val="continue"/>
          </w:tcPr>
          <w:p>
            <w:pPr>
              <w:spacing w:after="0"/>
              <w:rPr>
                <w:sz w:val="23"/>
                <w:szCs w:val="2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192,294</w:t>
            </w:r>
          </w:p>
        </w:tc>
        <w:tc>
          <w:tcPr>
            <w:tcW w:w="140" w:type="dxa"/>
            <w:vAlign w:val="bottom"/>
          </w:tcPr>
          <w:p>
            <w:pPr>
              <w:spacing w:after="0"/>
              <w:rPr>
                <w:sz w:val="23"/>
                <w:szCs w:val="2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192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23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Balance at December 31, 2020</w:t>
            </w:r>
          </w:p>
        </w:tc>
        <w:tc>
          <w:tcPr>
            <w:tcW w:w="1400" w:type="dxa"/>
            <w:vAlign w:val="bottom"/>
            <w:gridSpan w:val="2"/>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Other comprehensive loss</w:t>
            </w:r>
          </w:p>
        </w:tc>
        <w:tc>
          <w:tcPr>
            <w:tcW w:w="78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80" w:type="dxa"/>
            <w:vAlign w:val="bottom"/>
            <w:gridSpan w:val="4"/>
          </w:tcPr>
          <w:p>
            <w:pPr>
              <w:spacing w:after="0" w:line="152" w:lineRule="exact"/>
              <w:rPr>
                <w:sz w:val="20"/>
                <w:szCs w:val="20"/>
                <w:color w:val="auto"/>
              </w:rPr>
            </w:pPr>
            <w:r>
              <w:rPr>
                <w:rFonts w:ascii="Arial" w:cs="Arial" w:eastAsia="Arial" w:hAnsi="Arial"/>
                <w:sz w:val="14"/>
                <w:szCs w:val="14"/>
                <w:color w:val="auto"/>
              </w:rPr>
              <w:t>Issuance of common stock in conjunction with equity plans</w:t>
            </w:r>
          </w:p>
        </w:tc>
        <w:tc>
          <w:tcPr>
            <w:tcW w:w="640" w:type="dxa"/>
            <w:vAlign w:val="bottom"/>
          </w:tcPr>
          <w:p>
            <w:pPr>
              <w:jc w:val="right"/>
              <w:spacing w:after="0" w:line="152" w:lineRule="exact"/>
              <w:rPr>
                <w:sz w:val="20"/>
                <w:szCs w:val="20"/>
                <w:color w:val="auto"/>
              </w:rPr>
            </w:pPr>
            <w:r>
              <w:rPr>
                <w:rFonts w:ascii="Arial" w:cs="Arial" w:eastAsia="Arial" w:hAnsi="Arial"/>
                <w:sz w:val="14"/>
                <w:szCs w:val="14"/>
                <w:color w:val="auto"/>
              </w:rPr>
              <w:t>6,623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80" w:type="dxa"/>
            <w:vAlign w:val="bottom"/>
            <w:gridSpan w:val="4"/>
          </w:tcPr>
          <w:p>
            <w:pPr>
              <w:spacing w:after="0"/>
              <w:rPr>
                <w:sz w:val="20"/>
                <w:szCs w:val="20"/>
                <w:color w:val="auto"/>
              </w:rPr>
            </w:pPr>
            <w:r>
              <w:rPr>
                <w:rFonts w:ascii="Arial" w:cs="Arial" w:eastAsia="Arial" w:hAnsi="Arial"/>
                <w:sz w:val="14"/>
                <w:szCs w:val="14"/>
                <w:color w:val="auto"/>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378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rPr>
              <w:t>Balance at June 30, 2021</w:t>
            </w:r>
          </w:p>
        </w:tc>
        <w:tc>
          <w:tcPr>
            <w:tcW w:w="6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198,917</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199</w:t>
            </w:r>
          </w:p>
        </w:tc>
        <w:tc>
          <w:tcPr>
            <w:tcW w:w="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-3016250</wp:posOffset>
            </wp:positionV>
            <wp:extent cx="7141210" cy="96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-2823845</wp:posOffset>
            </wp:positionV>
            <wp:extent cx="7141210" cy="96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-2631440</wp:posOffset>
            </wp:positionV>
            <wp:extent cx="7141210" cy="96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-2213610</wp:posOffset>
            </wp:positionV>
            <wp:extent cx="7141210" cy="96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-2021205</wp:posOffset>
            </wp:positionV>
            <wp:extent cx="7141210" cy="96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-1828800</wp:posOffset>
            </wp:positionV>
            <wp:extent cx="7141210" cy="96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-1411605</wp:posOffset>
            </wp:positionV>
            <wp:extent cx="7141210" cy="96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-1219200</wp:posOffset>
            </wp:positionV>
            <wp:extent cx="7141210" cy="96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-1026160</wp:posOffset>
            </wp:positionV>
            <wp:extent cx="7141210" cy="96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-608965</wp:posOffset>
            </wp:positionV>
            <wp:extent cx="7141210" cy="96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-416560</wp:posOffset>
            </wp:positionV>
            <wp:extent cx="7141210" cy="96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-224155</wp:posOffset>
            </wp:positionV>
            <wp:extent cx="7141210" cy="96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965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-817880</wp:posOffset>
            </wp:positionV>
            <wp:extent cx="7141210" cy="112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1123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-1619885</wp:posOffset>
            </wp:positionV>
            <wp:extent cx="7141210" cy="112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1123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-2422525</wp:posOffset>
            </wp:positionV>
            <wp:extent cx="7141210" cy="112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112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2"/>
        </w:trPr>
        <w:tc>
          <w:tcPr>
            <w:tcW w:w="1060" w:type="dxa"/>
            <w:vAlign w:val="bottom"/>
          </w:tcPr>
          <w:p>
            <w:pPr>
              <w:jc w:val="right"/>
              <w:ind w:right="328"/>
              <w:spacing w:after="0" w:line="152" w:lineRule="exact"/>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88"/>
              <w:spacing w:after="0" w:line="152" w:lineRule="exact"/>
              <w:rPr>
                <w:sz w:val="20"/>
                <w:szCs w:val="20"/>
                <w:color w:val="auto"/>
              </w:rPr>
            </w:pPr>
            <w:r>
              <w:rPr>
                <w:rFonts w:ascii="Arial" w:cs="Arial" w:eastAsia="Arial" w:hAnsi="Arial"/>
                <w:sz w:val="14"/>
                <w:szCs w:val="14"/>
                <w:b w:val="1"/>
                <w:bCs w:val="1"/>
                <w:color w:val="auto"/>
                <w:w w:val="95"/>
              </w:rPr>
              <w:t>Total</w:t>
            </w:r>
          </w:p>
        </w:tc>
      </w:tr>
      <w:tr>
        <w:trPr>
          <w:trHeight w:val="152"/>
        </w:trPr>
        <w:tc>
          <w:tcPr>
            <w:tcW w:w="1060" w:type="dxa"/>
            <w:vAlign w:val="bottom"/>
          </w:tcPr>
          <w:p>
            <w:pPr>
              <w:jc w:val="right"/>
              <w:ind w:right="428"/>
              <w:spacing w:after="0" w:line="152"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400"/>
              <w:spacing w:after="0" w:line="15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88"/>
              <w:spacing w:after="0" w:line="152" w:lineRule="exact"/>
              <w:rPr>
                <w:sz w:val="20"/>
                <w:szCs w:val="20"/>
                <w:color w:val="auto"/>
              </w:rPr>
            </w:pPr>
            <w:r>
              <w:rPr>
                <w:rFonts w:ascii="Arial" w:cs="Arial" w:eastAsia="Arial" w:hAnsi="Arial"/>
                <w:sz w:val="14"/>
                <w:szCs w:val="14"/>
                <w:b w:val="1"/>
                <w:bCs w:val="1"/>
                <w:color w:val="auto"/>
                <w:w w:val="91"/>
              </w:rPr>
              <w:t>Stockholders'</w:t>
            </w:r>
          </w:p>
        </w:tc>
      </w:tr>
      <w:tr>
        <w:trPr>
          <w:trHeight w:val="169"/>
        </w:trPr>
        <w:tc>
          <w:tcPr>
            <w:tcW w:w="1060" w:type="dxa"/>
            <w:vAlign w:val="bottom"/>
          </w:tcPr>
          <w:p>
            <w:pPr>
              <w:jc w:val="right"/>
              <w:ind w:right="40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(Loss) Income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r>
      <w:tr>
        <w:trPr>
          <w:trHeight w:val="283"/>
        </w:trPr>
        <w:tc>
          <w:tcPr>
            <w:tcW w:w="1060" w:type="dxa"/>
            <w:vAlign w:val="bottom"/>
          </w:tcPr>
          <w:p>
            <w:pPr>
              <w:jc w:val="right"/>
              <w:spacing w:after="0"/>
              <w:rPr>
                <w:sz w:val="20"/>
                <w:szCs w:val="20"/>
                <w:color w:val="auto"/>
              </w:rPr>
            </w:pPr>
            <w:r>
              <w:rPr>
                <w:rFonts w:ascii="Arial" w:cs="Arial" w:eastAsia="Arial" w:hAnsi="Arial"/>
                <w:sz w:val="14"/>
                <w:szCs w:val="14"/>
                <w:color w:val="auto"/>
              </w:rPr>
              <w:t>2,038,030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(4,085)</w:t>
            </w: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(1,299,591)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734,578</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(71,394)</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(71,394)</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(1,372)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(1,372)</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847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848</w:t>
            </w:r>
          </w:p>
        </w:tc>
      </w:tr>
      <w:tr>
        <w:trPr>
          <w:trHeight w:val="165"/>
        </w:trPr>
        <w:tc>
          <w:tcPr>
            <w:tcW w:w="1060" w:type="dxa"/>
            <w:vAlign w:val="bottom"/>
          </w:tcPr>
          <w:p>
            <w:pPr>
              <w:jc w:val="right"/>
              <w:ind w:right="8"/>
              <w:spacing w:after="0"/>
              <w:rPr>
                <w:sz w:val="20"/>
                <w:szCs w:val="20"/>
                <w:color w:val="auto"/>
              </w:rPr>
            </w:pPr>
            <w:r>
              <w:rPr>
                <w:rFonts w:ascii="Arial" w:cs="Arial" w:eastAsia="Arial" w:hAnsi="Arial"/>
                <w:sz w:val="14"/>
                <w:szCs w:val="14"/>
                <w:color w:val="auto"/>
              </w:rPr>
              <w:t>19,226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19,226</w:t>
            </w:r>
          </w:p>
        </w:tc>
      </w:tr>
      <w:tr>
        <w:trPr>
          <w:trHeight w:val="144"/>
        </w:trPr>
        <w:tc>
          <w:tcPr>
            <w:tcW w:w="1060" w:type="dxa"/>
            <w:vAlign w:val="bottom"/>
          </w:tcPr>
          <w:p>
            <w:pPr>
              <w:jc w:val="right"/>
              <w:ind w:right="8"/>
              <w:spacing w:after="0" w:line="145" w:lineRule="exact"/>
              <w:rPr>
                <w:sz w:val="20"/>
                <w:szCs w:val="20"/>
                <w:color w:val="auto"/>
              </w:rPr>
            </w:pPr>
            <w:r>
              <w:rPr>
                <w:rFonts w:ascii="Arial" w:cs="Arial" w:eastAsia="Arial" w:hAnsi="Arial"/>
                <w:sz w:val="14"/>
                <w:szCs w:val="14"/>
                <w:color w:val="auto"/>
              </w:rPr>
              <w:t>2,058,103</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(5,457)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(1,370,985)</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681,886</w:t>
            </w:r>
          </w:p>
        </w:tc>
      </w:tr>
      <w:tr>
        <w:trPr>
          <w:trHeight w:val="20"/>
        </w:trPr>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20"/>
        </w:trPr>
        <w:tc>
          <w:tcPr>
            <w:tcW w:w="1060" w:type="dxa"/>
            <w:vAlign w:val="bottom"/>
          </w:tcPr>
          <w:p>
            <w:pPr>
              <w:jc w:val="right"/>
              <w:spacing w:after="0"/>
              <w:rPr>
                <w:sz w:val="20"/>
                <w:szCs w:val="20"/>
                <w:color w:val="auto"/>
              </w:rPr>
            </w:pPr>
            <w:r>
              <w:rPr>
                <w:rFonts w:ascii="Arial" w:cs="Arial" w:eastAsia="Arial" w:hAnsi="Arial"/>
                <w:sz w:val="14"/>
                <w:szCs w:val="14"/>
                <w:color w:val="auto"/>
              </w:rPr>
              <w:t>1,404,585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24"/>
                <w:szCs w:val="24"/>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(1,124,304)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280,553</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(41,001)</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(41,001)</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(80)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(80)</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2,967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2,968</w:t>
            </w:r>
          </w:p>
        </w:tc>
      </w:tr>
      <w:tr>
        <w:trPr>
          <w:trHeight w:val="165"/>
        </w:trPr>
        <w:tc>
          <w:tcPr>
            <w:tcW w:w="1060" w:type="dxa"/>
            <w:vAlign w:val="bottom"/>
          </w:tcPr>
          <w:p>
            <w:pPr>
              <w:jc w:val="right"/>
              <w:ind w:right="8"/>
              <w:spacing w:after="0"/>
              <w:rPr>
                <w:sz w:val="20"/>
                <w:szCs w:val="20"/>
                <w:color w:val="auto"/>
              </w:rPr>
            </w:pPr>
            <w:r>
              <w:rPr>
                <w:rFonts w:ascii="Arial" w:cs="Arial" w:eastAsia="Arial" w:hAnsi="Arial"/>
                <w:sz w:val="14"/>
                <w:szCs w:val="14"/>
                <w:color w:val="auto"/>
              </w:rPr>
              <w:t>15,805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15,805</w:t>
            </w:r>
          </w:p>
        </w:tc>
      </w:tr>
      <w:tr>
        <w:trPr>
          <w:trHeight w:val="144"/>
        </w:trPr>
        <w:tc>
          <w:tcPr>
            <w:tcW w:w="1060" w:type="dxa"/>
            <w:vAlign w:val="bottom"/>
          </w:tcPr>
          <w:p>
            <w:pPr>
              <w:jc w:val="right"/>
              <w:ind w:right="8"/>
              <w:spacing w:after="0" w:line="145" w:lineRule="exact"/>
              <w:rPr>
                <w:sz w:val="20"/>
                <w:szCs w:val="20"/>
                <w:color w:val="auto"/>
              </w:rPr>
            </w:pPr>
            <w:r>
              <w:rPr>
                <w:rFonts w:ascii="Arial" w:cs="Arial" w:eastAsia="Arial" w:hAnsi="Arial"/>
                <w:sz w:val="14"/>
                <w:szCs w:val="14"/>
                <w:color w:val="auto"/>
              </w:rPr>
              <w:t>1,423,357</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(1,165,305)</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258,245</w:t>
            </w:r>
          </w:p>
        </w:tc>
      </w:tr>
      <w:tr>
        <w:trPr>
          <w:trHeight w:val="20"/>
        </w:trPr>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20"/>
        </w:trPr>
        <w:tc>
          <w:tcPr>
            <w:tcW w:w="1060" w:type="dxa"/>
            <w:vAlign w:val="bottom"/>
          </w:tcPr>
          <w:p>
            <w:pPr>
              <w:jc w:val="right"/>
              <w:spacing w:after="0"/>
              <w:rPr>
                <w:sz w:val="20"/>
                <w:szCs w:val="20"/>
                <w:color w:val="auto"/>
              </w:rPr>
            </w:pPr>
            <w:r>
              <w:rPr>
                <w:rFonts w:ascii="Arial" w:cs="Arial" w:eastAsia="Arial" w:hAnsi="Arial"/>
                <w:sz w:val="14"/>
                <w:szCs w:val="14"/>
                <w:color w:val="auto"/>
              </w:rPr>
              <w:t>2,009,945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(1,087)</w:t>
            </w: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(1,218,092)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790,987</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(152,893)</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(152,893)</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(4,370)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(4,370)</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6,436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6,440</w:t>
            </w:r>
          </w:p>
        </w:tc>
      </w:tr>
      <w:tr>
        <w:trPr>
          <w:trHeight w:val="165"/>
        </w:trPr>
        <w:tc>
          <w:tcPr>
            <w:tcW w:w="1060" w:type="dxa"/>
            <w:vAlign w:val="bottom"/>
          </w:tcPr>
          <w:p>
            <w:pPr>
              <w:jc w:val="right"/>
              <w:ind w:right="8"/>
              <w:spacing w:after="0"/>
              <w:rPr>
                <w:sz w:val="20"/>
                <w:szCs w:val="20"/>
                <w:color w:val="auto"/>
              </w:rPr>
            </w:pPr>
            <w:r>
              <w:rPr>
                <w:rFonts w:ascii="Arial" w:cs="Arial" w:eastAsia="Arial" w:hAnsi="Arial"/>
                <w:sz w:val="14"/>
                <w:szCs w:val="14"/>
                <w:color w:val="auto"/>
              </w:rPr>
              <w:t>41,722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41,722</w:t>
            </w:r>
          </w:p>
        </w:tc>
      </w:tr>
      <w:tr>
        <w:trPr>
          <w:trHeight w:val="144"/>
        </w:trPr>
        <w:tc>
          <w:tcPr>
            <w:tcW w:w="1060" w:type="dxa"/>
            <w:vAlign w:val="bottom"/>
          </w:tcPr>
          <w:p>
            <w:pPr>
              <w:jc w:val="right"/>
              <w:ind w:right="8"/>
              <w:spacing w:after="0" w:line="145" w:lineRule="exact"/>
              <w:rPr>
                <w:sz w:val="20"/>
                <w:szCs w:val="20"/>
                <w:color w:val="auto"/>
              </w:rPr>
            </w:pPr>
            <w:r>
              <w:rPr>
                <w:rFonts w:ascii="Arial" w:cs="Arial" w:eastAsia="Arial" w:hAnsi="Arial"/>
                <w:sz w:val="14"/>
                <w:szCs w:val="14"/>
                <w:color w:val="auto"/>
              </w:rPr>
              <w:t>2,058,103</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(5,457)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(1,370,985)</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681,886</w:t>
            </w:r>
          </w:p>
        </w:tc>
      </w:tr>
      <w:tr>
        <w:trPr>
          <w:trHeight w:val="20"/>
        </w:trPr>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20"/>
        </w:trPr>
        <w:tc>
          <w:tcPr>
            <w:tcW w:w="1060" w:type="dxa"/>
            <w:vAlign w:val="bottom"/>
          </w:tcPr>
          <w:p>
            <w:pPr>
              <w:jc w:val="right"/>
              <w:spacing w:after="0"/>
              <w:rPr>
                <w:sz w:val="20"/>
                <w:szCs w:val="20"/>
                <w:color w:val="auto"/>
              </w:rPr>
            </w:pPr>
            <w:r>
              <w:rPr>
                <w:rFonts w:ascii="Arial" w:cs="Arial" w:eastAsia="Arial" w:hAnsi="Arial"/>
                <w:sz w:val="14"/>
                <w:szCs w:val="14"/>
                <w:color w:val="auto"/>
              </w:rPr>
              <w:t>1,372,083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24"/>
                <w:szCs w:val="24"/>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(1,036,869)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335,491</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(128,436)</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(128,436)</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(91)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(91)</w:t>
            </w:r>
          </w:p>
        </w:tc>
      </w:tr>
      <w:tr>
        <w:trPr>
          <w:trHeight w:val="152"/>
        </w:trPr>
        <w:tc>
          <w:tcPr>
            <w:tcW w:w="1060" w:type="dxa"/>
            <w:vAlign w:val="bottom"/>
          </w:tcPr>
          <w:p>
            <w:pPr>
              <w:jc w:val="right"/>
              <w:spacing w:after="0" w:line="152" w:lineRule="exact"/>
              <w:rPr>
                <w:sz w:val="20"/>
                <w:szCs w:val="20"/>
                <w:color w:val="auto"/>
              </w:rPr>
            </w:pPr>
            <w:r>
              <w:rPr>
                <w:rFonts w:ascii="Arial" w:cs="Arial" w:eastAsia="Arial" w:hAnsi="Arial"/>
                <w:sz w:val="14"/>
                <w:szCs w:val="14"/>
                <w:color w:val="auto"/>
              </w:rPr>
              <w:t>25,304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60" w:type="dxa"/>
            <w:vAlign w:val="bottom"/>
          </w:tcPr>
          <w:p>
            <w:pPr>
              <w:jc w:val="right"/>
              <w:spacing w:after="0" w:line="152" w:lineRule="exact"/>
              <w:rPr>
                <w:sz w:val="20"/>
                <w:szCs w:val="20"/>
                <w:color w:val="auto"/>
              </w:rPr>
            </w:pPr>
            <w:r>
              <w:rPr>
                <w:rFonts w:ascii="Arial" w:cs="Arial" w:eastAsia="Arial" w:hAnsi="Arial"/>
                <w:sz w:val="14"/>
                <w:szCs w:val="14"/>
                <w:color w:val="auto"/>
              </w:rPr>
              <w:t>25,311</w:t>
            </w:r>
          </w:p>
        </w:tc>
      </w:tr>
      <w:tr>
        <w:trPr>
          <w:trHeight w:val="165"/>
        </w:trPr>
        <w:tc>
          <w:tcPr>
            <w:tcW w:w="1060" w:type="dxa"/>
            <w:vAlign w:val="bottom"/>
          </w:tcPr>
          <w:p>
            <w:pPr>
              <w:jc w:val="right"/>
              <w:ind w:right="8"/>
              <w:spacing w:after="0"/>
              <w:rPr>
                <w:sz w:val="20"/>
                <w:szCs w:val="20"/>
                <w:color w:val="auto"/>
              </w:rPr>
            </w:pPr>
            <w:r>
              <w:rPr>
                <w:rFonts w:ascii="Arial" w:cs="Arial" w:eastAsia="Arial" w:hAnsi="Arial"/>
                <w:sz w:val="14"/>
                <w:szCs w:val="14"/>
                <w:color w:val="auto"/>
              </w:rPr>
              <w:t>25,970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25,970</w:t>
            </w:r>
          </w:p>
        </w:tc>
      </w:tr>
      <w:tr>
        <w:trPr>
          <w:trHeight w:val="144"/>
        </w:trPr>
        <w:tc>
          <w:tcPr>
            <w:tcW w:w="1060" w:type="dxa"/>
            <w:vAlign w:val="bottom"/>
          </w:tcPr>
          <w:p>
            <w:pPr>
              <w:jc w:val="right"/>
              <w:ind w:right="8"/>
              <w:spacing w:after="0" w:line="145" w:lineRule="exact"/>
              <w:rPr>
                <w:sz w:val="20"/>
                <w:szCs w:val="20"/>
                <w:color w:val="auto"/>
              </w:rPr>
            </w:pPr>
            <w:r>
              <w:rPr>
                <w:rFonts w:ascii="Arial" w:cs="Arial" w:eastAsia="Arial" w:hAnsi="Arial"/>
                <w:sz w:val="14"/>
                <w:szCs w:val="14"/>
                <w:color w:val="auto"/>
              </w:rPr>
              <w:t>1,423,357</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(1,165,305)</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258,245</w:t>
            </w:r>
          </w:p>
        </w:tc>
      </w:tr>
      <w:tr>
        <w:trPr>
          <w:trHeight w:val="20"/>
        </w:trPr>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-23495</wp:posOffset>
            </wp:positionV>
            <wp:extent cx="8261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613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-7620</wp:posOffset>
            </wp:positionV>
            <wp:extent cx="8261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613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-127635</wp:posOffset>
            </wp:positionV>
            <wp:extent cx="8261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613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-825500</wp:posOffset>
            </wp:positionV>
            <wp:extent cx="8261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613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-930275</wp:posOffset>
            </wp:positionV>
            <wp:extent cx="8261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613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-1628140</wp:posOffset>
            </wp:positionV>
            <wp:extent cx="8261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613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-1732280</wp:posOffset>
            </wp:positionV>
            <wp:extent cx="8261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613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-2430780</wp:posOffset>
            </wp:positionV>
            <wp:extent cx="8261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613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-2534920</wp:posOffset>
            </wp:positionV>
            <wp:extent cx="8261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613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-3120390</wp:posOffset>
            </wp:positionV>
            <wp:extent cx="8261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220"/>
            <w:col w:w="5400"/>
          </w:cols>
          <w:pgMar w:left="320" w:top="114" w:right="3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1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5"/>
                <w:szCs w:val="15"/>
                <w:b w:val="1"/>
                <w:bCs w:val="1"/>
                <w:color w:val="auto"/>
              </w:rPr>
              <w:t>Six Months Ended June 30,</w:t>
            </w: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9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04"/>
              <w:spacing w:after="0" w:line="119" w:lineRule="exact"/>
              <w:rPr>
                <w:sz w:val="20"/>
                <w:szCs w:val="20"/>
                <w:color w:val="auto"/>
              </w:rPr>
            </w:pPr>
            <w:r>
              <w:rPr>
                <w:rFonts w:ascii="Arial" w:cs="Arial" w:eastAsia="Arial" w:hAnsi="Arial"/>
                <w:sz w:val="13"/>
                <w:szCs w:val="13"/>
                <w:b w:val="1"/>
                <w:bCs w:val="1"/>
                <w:color w:val="auto"/>
              </w:rPr>
              <w:t>2022</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jc w:val="right"/>
              <w:ind w:right="504"/>
              <w:spacing w:after="0" w:line="119" w:lineRule="exact"/>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5980" w:type="dxa"/>
            <w:vAlign w:val="bottom"/>
            <w:vMerge w:val="restart"/>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98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Net loss</w:t>
            </w:r>
          </w:p>
        </w:tc>
        <w:tc>
          <w:tcPr>
            <w:tcW w:w="1720" w:type="dxa"/>
            <w:vAlign w:val="bottom"/>
            <w:gridSpan w:val="2"/>
            <w:shd w:val="clear" w:color="auto" w:fill="CCEEFF"/>
          </w:tcPr>
          <w:p>
            <w:pPr>
              <w:jc w:val="right"/>
              <w:ind w:right="184"/>
              <w:spacing w:after="0" w:line="151" w:lineRule="exact"/>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(152,893)</w:t>
            </w:r>
          </w:p>
        </w:tc>
        <w:tc>
          <w:tcPr>
            <w:tcW w:w="500" w:type="dxa"/>
            <w:vAlign w:val="bottom"/>
            <w:gridSpan w:val="2"/>
            <w:shd w:val="clear" w:color="auto" w:fill="CCEEFF"/>
          </w:tcPr>
          <w:p>
            <w:pPr>
              <w:jc w:val="right"/>
              <w:ind w:right="371"/>
              <w:spacing w:after="0" w:line="151"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(128,436)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spacing w:after="0" w:line="151"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400"/>
              <w:spacing w:after="0" w:line="151" w:lineRule="exact"/>
              <w:rPr>
                <w:sz w:val="20"/>
                <w:szCs w:val="20"/>
                <w:color w:val="auto"/>
              </w:rPr>
            </w:pPr>
            <w:r>
              <w:rPr>
                <w:rFonts w:ascii="Arial" w:cs="Arial" w:eastAsia="Arial" w:hAnsi="Arial"/>
                <w:sz w:val="15"/>
                <w:szCs w:val="15"/>
                <w:color w:val="auto"/>
              </w:rPr>
              <w:t>Loss from Continuation Advances</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52,000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400"/>
              <w:spacing w:after="0" w:line="151" w:lineRule="exact"/>
              <w:rPr>
                <w:sz w:val="20"/>
                <w:szCs w:val="20"/>
                <w:color w:val="auto"/>
              </w:rPr>
            </w:pPr>
            <w:r>
              <w:rPr>
                <w:rFonts w:ascii="Arial" w:cs="Arial" w:eastAsia="Arial" w:hAnsi="Arial"/>
                <w:sz w:val="15"/>
                <w:szCs w:val="15"/>
                <w:color w:val="auto"/>
              </w:rPr>
              <w:t>Depreciation</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4,591</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3,198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400"/>
              <w:spacing w:after="0" w:line="151" w:lineRule="exact"/>
              <w:rPr>
                <w:sz w:val="20"/>
                <w:szCs w:val="20"/>
                <w:color w:val="auto"/>
              </w:rPr>
            </w:pPr>
            <w:r>
              <w:rPr>
                <w:rFonts w:ascii="Arial" w:cs="Arial" w:eastAsia="Arial" w:hAnsi="Arial"/>
                <w:sz w:val="15"/>
                <w:szCs w:val="15"/>
                <w:color w:val="auto"/>
              </w:rPr>
              <w:t>Amortization of intangible assets</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456</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400"/>
              <w:spacing w:after="0" w:line="151" w:lineRule="exact"/>
              <w:rPr>
                <w:sz w:val="20"/>
                <w:szCs w:val="20"/>
                <w:color w:val="auto"/>
              </w:rPr>
            </w:pPr>
            <w:r>
              <w:rPr>
                <w:rFonts w:ascii="Arial" w:cs="Arial" w:eastAsia="Arial" w:hAnsi="Arial"/>
                <w:sz w:val="15"/>
                <w:szCs w:val="15"/>
                <w:color w:val="auto"/>
              </w:rPr>
              <w:t>Amortization of right-of-use assets</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3,412</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1,591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400"/>
              <w:spacing w:after="0" w:line="151" w:lineRule="exact"/>
              <w:rPr>
                <w:sz w:val="20"/>
                <w:szCs w:val="20"/>
                <w:color w:val="auto"/>
              </w:rPr>
            </w:pPr>
            <w:r>
              <w:rPr>
                <w:rFonts w:ascii="Arial" w:cs="Arial" w:eastAsia="Arial" w:hAnsi="Arial"/>
                <w:sz w:val="15"/>
                <w:szCs w:val="15"/>
                <w:color w:val="auto"/>
              </w:rPr>
              <w:t>Amortization of debt discount and financing costs</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319</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400"/>
              <w:spacing w:after="0" w:line="151" w:lineRule="exact"/>
              <w:rPr>
                <w:sz w:val="20"/>
                <w:szCs w:val="20"/>
                <w:color w:val="auto"/>
              </w:rPr>
            </w:pPr>
            <w:r>
              <w:rPr>
                <w:rFonts w:ascii="Arial" w:cs="Arial" w:eastAsia="Arial" w:hAnsi="Arial"/>
                <w:sz w:val="15"/>
                <w:szCs w:val="15"/>
                <w:color w:val="auto"/>
              </w:rPr>
              <w:t>Stock-based compensation</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41,722</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25,970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400"/>
              <w:spacing w:after="0" w:line="151" w:lineRule="exact"/>
              <w:rPr>
                <w:sz w:val="20"/>
                <w:szCs w:val="20"/>
                <w:color w:val="auto"/>
              </w:rPr>
            </w:pPr>
            <w:r>
              <w:rPr>
                <w:rFonts w:ascii="Arial" w:cs="Arial" w:eastAsia="Arial" w:hAnsi="Arial"/>
                <w:sz w:val="15"/>
                <w:szCs w:val="15"/>
                <w:color w:val="auto"/>
              </w:rPr>
              <w:t>Amortization from investment premium</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1,143</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1,782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400"/>
              <w:spacing w:after="0" w:line="151" w:lineRule="exact"/>
              <w:rPr>
                <w:sz w:val="20"/>
                <w:szCs w:val="20"/>
                <w:color w:val="auto"/>
              </w:rPr>
            </w:pPr>
            <w:r>
              <w:rPr>
                <w:rFonts w:ascii="Arial" w:cs="Arial" w:eastAsia="Arial" w:hAnsi="Arial"/>
                <w:sz w:val="15"/>
                <w:szCs w:val="15"/>
                <w:color w:val="auto"/>
              </w:rPr>
              <w:t>Change in the estimated fair value of contingent consideration</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(6,501)</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400"/>
              <w:spacing w:after="0" w:line="151" w:lineRule="exact"/>
              <w:rPr>
                <w:sz w:val="20"/>
                <w:szCs w:val="20"/>
                <w:color w:val="auto"/>
              </w:rPr>
            </w:pPr>
            <w:r>
              <w:rPr>
                <w:rFonts w:ascii="Arial" w:cs="Arial" w:eastAsia="Arial" w:hAnsi="Arial"/>
                <w:sz w:val="15"/>
                <w:szCs w:val="15"/>
                <w:color w:val="auto"/>
              </w:rPr>
              <w:t>Loss on disposition of equipment</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77</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400"/>
              <w:spacing w:after="0" w:line="151" w:lineRule="exact"/>
              <w:rPr>
                <w:sz w:val="20"/>
                <w:szCs w:val="20"/>
                <w:color w:val="auto"/>
              </w:rPr>
            </w:pPr>
            <w:r>
              <w:rPr>
                <w:rFonts w:ascii="Arial" w:cs="Arial" w:eastAsia="Arial" w:hAnsi="Arial"/>
                <w:sz w:val="15"/>
                <w:szCs w:val="15"/>
                <w:color w:val="auto"/>
              </w:rPr>
              <w:t>Changes in assets and liabilities</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600"/>
              <w:spacing w:after="0" w:line="151" w:lineRule="exact"/>
              <w:rPr>
                <w:sz w:val="20"/>
                <w:szCs w:val="20"/>
                <w:color w:val="auto"/>
              </w:rPr>
            </w:pPr>
            <w:r>
              <w:rPr>
                <w:rFonts w:ascii="Arial" w:cs="Arial" w:eastAsia="Arial" w:hAnsi="Arial"/>
                <w:sz w:val="15"/>
                <w:szCs w:val="15"/>
                <w:color w:val="auto"/>
              </w:rPr>
              <w:t>Accounts receivable</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(2,817)</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(3,099)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600"/>
              <w:spacing w:after="0" w:line="151" w:lineRule="exact"/>
              <w:rPr>
                <w:sz w:val="20"/>
                <w:szCs w:val="20"/>
                <w:color w:val="auto"/>
              </w:rPr>
            </w:pPr>
            <w:r>
              <w:rPr>
                <w:rFonts w:ascii="Arial" w:cs="Arial" w:eastAsia="Arial" w:hAnsi="Arial"/>
                <w:sz w:val="15"/>
                <w:szCs w:val="15"/>
                <w:color w:val="auto"/>
              </w:rPr>
              <w:t>Inventory</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(13,166)</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(5,030)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600"/>
              <w:spacing w:after="0" w:line="151" w:lineRule="exact"/>
              <w:rPr>
                <w:sz w:val="20"/>
                <w:szCs w:val="20"/>
                <w:color w:val="auto"/>
              </w:rPr>
            </w:pPr>
            <w:r>
              <w:rPr>
                <w:rFonts w:ascii="Arial" w:cs="Arial" w:eastAsia="Arial" w:hAnsi="Arial"/>
                <w:sz w:val="15"/>
                <w:szCs w:val="15"/>
                <w:color w:val="auto"/>
              </w:rPr>
              <w:t>Prepaid expenses and other assets</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(340)</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(307)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600"/>
              <w:spacing w:after="0" w:line="151" w:lineRule="exact"/>
              <w:rPr>
                <w:sz w:val="20"/>
                <w:szCs w:val="20"/>
                <w:color w:val="auto"/>
              </w:rPr>
            </w:pPr>
            <w:r>
              <w:rPr>
                <w:rFonts w:ascii="Arial" w:cs="Arial" w:eastAsia="Arial" w:hAnsi="Arial"/>
                <w:sz w:val="15"/>
                <w:szCs w:val="15"/>
                <w:color w:val="auto"/>
              </w:rPr>
              <w:t>Accounts payable</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1,331</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1,403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600"/>
              <w:spacing w:after="0" w:line="151" w:lineRule="exact"/>
              <w:rPr>
                <w:sz w:val="20"/>
                <w:szCs w:val="20"/>
                <w:color w:val="auto"/>
              </w:rPr>
            </w:pPr>
            <w:r>
              <w:rPr>
                <w:rFonts w:ascii="Arial" w:cs="Arial" w:eastAsia="Arial" w:hAnsi="Arial"/>
                <w:sz w:val="15"/>
                <w:szCs w:val="15"/>
                <w:color w:val="auto"/>
              </w:rPr>
              <w:t>Accrued expenses</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(11,357)</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5,560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600"/>
              <w:spacing w:after="0" w:line="151" w:lineRule="exact"/>
              <w:rPr>
                <w:sz w:val="20"/>
                <w:szCs w:val="20"/>
                <w:color w:val="auto"/>
              </w:rPr>
            </w:pPr>
            <w:r>
              <w:rPr>
                <w:rFonts w:ascii="Arial" w:cs="Arial" w:eastAsia="Arial" w:hAnsi="Arial"/>
                <w:sz w:val="15"/>
                <w:szCs w:val="15"/>
                <w:color w:val="auto"/>
              </w:rPr>
              <w:t>Deferred revenue</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(2,115)</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9,402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600"/>
              <w:spacing w:after="0" w:line="151" w:lineRule="exact"/>
              <w:rPr>
                <w:sz w:val="20"/>
                <w:szCs w:val="20"/>
                <w:color w:val="auto"/>
              </w:rPr>
            </w:pPr>
            <w:r>
              <w:rPr>
                <w:rFonts w:ascii="Arial" w:cs="Arial" w:eastAsia="Arial" w:hAnsi="Arial"/>
                <w:sz w:val="15"/>
                <w:szCs w:val="15"/>
                <w:color w:val="auto"/>
              </w:rPr>
              <w:t>Operating lease liabilities</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(3,833)</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600"/>
              <w:spacing w:after="0" w:line="151" w:lineRule="exact"/>
              <w:rPr>
                <w:sz w:val="20"/>
                <w:szCs w:val="20"/>
                <w:color w:val="auto"/>
              </w:rPr>
            </w:pPr>
            <w:r>
              <w:rPr>
                <w:rFonts w:ascii="Arial" w:cs="Arial" w:eastAsia="Arial" w:hAnsi="Arial"/>
                <w:sz w:val="15"/>
                <w:szCs w:val="15"/>
                <w:color w:val="auto"/>
              </w:rPr>
              <w:t>Other liabilities</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379</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(932)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980" w:type="dxa"/>
            <w:vAlign w:val="bottom"/>
            <w:tcBorders>
              <w:top w:val="single" w:sz="8" w:color="CCEEFF"/>
            </w:tcBorders>
            <w:shd w:val="clear" w:color="auto" w:fill="CCEEFF"/>
          </w:tcPr>
          <w:p>
            <w:pPr>
              <w:ind w:left="920"/>
              <w:spacing w:after="0" w:line="144" w:lineRule="exact"/>
              <w:rPr>
                <w:sz w:val="20"/>
                <w:szCs w:val="20"/>
                <w:color w:val="auto"/>
              </w:rPr>
            </w:pPr>
            <w:r>
              <w:rPr>
                <w:rFonts w:ascii="Arial" w:cs="Arial" w:eastAsia="Arial" w:hAnsi="Arial"/>
                <w:sz w:val="15"/>
                <w:szCs w:val="15"/>
                <w:color w:val="auto"/>
              </w:rPr>
              <w:t>Net cash used in operating activities</w:t>
            </w:r>
          </w:p>
        </w:tc>
        <w:tc>
          <w:tcPr>
            <w:tcW w:w="13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(139,592)</w:t>
            </w:r>
          </w:p>
        </w:tc>
        <w:tc>
          <w:tcPr>
            <w:tcW w:w="9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(38,816)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80" w:type="dxa"/>
            <w:vAlign w:val="bottom"/>
          </w:tcPr>
          <w:p>
            <w:pPr>
              <w:ind w:left="100"/>
              <w:spacing w:after="0" w:line="144" w:lineRule="exact"/>
              <w:rPr>
                <w:sz w:val="20"/>
                <w:szCs w:val="20"/>
                <w:color w:val="auto"/>
              </w:rPr>
            </w:pPr>
            <w:r>
              <w:rPr>
                <w:rFonts w:ascii="Arial" w:cs="Arial" w:eastAsia="Arial" w:hAnsi="Arial"/>
                <w:sz w:val="15"/>
                <w:szCs w:val="15"/>
                <w:b w:val="1"/>
                <w:bCs w:val="1"/>
                <w:color w:val="auto"/>
              </w:rPr>
              <w:t>Cash flows from investing activities</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Purchase of property and equipment</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(7,657)</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(1,970)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100"/>
              <w:spacing w:after="0" w:line="151" w:lineRule="exact"/>
              <w:rPr>
                <w:sz w:val="20"/>
                <w:szCs w:val="20"/>
                <w:color w:val="auto"/>
              </w:rPr>
            </w:pPr>
            <w:r>
              <w:rPr>
                <w:rFonts w:ascii="Arial" w:cs="Arial" w:eastAsia="Arial" w:hAnsi="Arial"/>
                <w:sz w:val="15"/>
                <w:szCs w:val="15"/>
                <w:color w:val="auto"/>
              </w:rPr>
              <w:t>Purchase of investments</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(241,086)</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(635,400)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Sales of investments</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34,557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100"/>
              <w:spacing w:after="0" w:line="151" w:lineRule="exact"/>
              <w:rPr>
                <w:sz w:val="20"/>
                <w:szCs w:val="20"/>
                <w:color w:val="auto"/>
              </w:rPr>
            </w:pPr>
            <w:r>
              <w:rPr>
                <w:rFonts w:ascii="Arial" w:cs="Arial" w:eastAsia="Arial" w:hAnsi="Arial"/>
                <w:sz w:val="15"/>
                <w:szCs w:val="15"/>
                <w:color w:val="auto"/>
              </w:rPr>
              <w:t>Maturities of investments</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230,515</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150,175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980" w:type="dxa"/>
            <w:vAlign w:val="bottom"/>
            <w:tcBorders>
              <w:top w:val="single" w:sz="8" w:color="CCEEFF"/>
            </w:tcBorders>
            <w:shd w:val="clear" w:color="auto" w:fill="CCEEFF"/>
          </w:tcPr>
          <w:p>
            <w:pPr>
              <w:ind w:left="920"/>
              <w:spacing w:after="0" w:line="144" w:lineRule="exact"/>
              <w:rPr>
                <w:sz w:val="20"/>
                <w:szCs w:val="20"/>
                <w:color w:val="auto"/>
              </w:rPr>
            </w:pPr>
            <w:r>
              <w:rPr>
                <w:rFonts w:ascii="Arial" w:cs="Arial" w:eastAsia="Arial" w:hAnsi="Arial"/>
                <w:sz w:val="15"/>
                <w:szCs w:val="15"/>
                <w:color w:val="auto"/>
              </w:rPr>
              <w:t>Net cash used in investing activities</w:t>
            </w:r>
          </w:p>
        </w:tc>
        <w:tc>
          <w:tcPr>
            <w:tcW w:w="13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(18,228)</w:t>
            </w:r>
          </w:p>
        </w:tc>
        <w:tc>
          <w:tcPr>
            <w:tcW w:w="9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(452,638)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80" w:type="dxa"/>
            <w:vAlign w:val="bottom"/>
          </w:tcPr>
          <w:p>
            <w:pPr>
              <w:ind w:left="100"/>
              <w:spacing w:after="0" w:line="144" w:lineRule="exact"/>
              <w:rPr>
                <w:sz w:val="20"/>
                <w:szCs w:val="20"/>
                <w:color w:val="auto"/>
              </w:rPr>
            </w:pPr>
            <w:r>
              <w:rPr>
                <w:rFonts w:ascii="Arial" w:cs="Arial" w:eastAsia="Arial" w:hAnsi="Arial"/>
                <w:sz w:val="15"/>
                <w:szCs w:val="15"/>
                <w:b w:val="1"/>
                <w:bCs w:val="1"/>
                <w:color w:val="auto"/>
              </w:rPr>
              <w:t>Cash flows from financing activities</w:t>
            </w: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Continuation Advances</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(52,000)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100"/>
              <w:spacing w:after="0" w:line="151" w:lineRule="exact"/>
              <w:rPr>
                <w:sz w:val="20"/>
                <w:szCs w:val="20"/>
                <w:color w:val="auto"/>
              </w:rPr>
            </w:pPr>
            <w:r>
              <w:rPr>
                <w:rFonts w:ascii="Arial" w:cs="Arial" w:eastAsia="Arial" w:hAnsi="Arial"/>
                <w:sz w:val="15"/>
                <w:szCs w:val="15"/>
                <w:color w:val="auto"/>
              </w:rPr>
              <w:t>Proceeds from issuance of Convertible Senior Notes, net of issuance costs</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895,536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Proceeds from issuance of common stock from equity plans</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6,440</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25,311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100"/>
              <w:spacing w:after="0" w:line="151" w:lineRule="exact"/>
              <w:rPr>
                <w:sz w:val="20"/>
                <w:szCs w:val="20"/>
                <w:color w:val="auto"/>
              </w:rPr>
            </w:pPr>
            <w:r>
              <w:rPr>
                <w:rFonts w:ascii="Arial" w:cs="Arial" w:eastAsia="Arial" w:hAnsi="Arial"/>
                <w:sz w:val="15"/>
                <w:szCs w:val="15"/>
                <w:color w:val="auto"/>
              </w:rPr>
              <w:t>Notes payable principal payoff</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(770)</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Other</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980" w:type="dxa"/>
            <w:vAlign w:val="bottom"/>
            <w:tcBorders>
              <w:bottom w:val="single" w:sz="8" w:color="CCEEFF"/>
            </w:tcBorders>
          </w:tcPr>
          <w:p>
            <w:pPr>
              <w:ind w:left="920"/>
              <w:spacing w:after="0" w:line="144" w:lineRule="exact"/>
              <w:rPr>
                <w:sz w:val="20"/>
                <w:szCs w:val="20"/>
                <w:color w:val="auto"/>
              </w:rPr>
            </w:pPr>
            <w:r>
              <w:rPr>
                <w:rFonts w:ascii="Arial" w:cs="Arial" w:eastAsia="Arial" w:hAnsi="Arial"/>
                <w:sz w:val="15"/>
                <w:szCs w:val="15"/>
                <w:color w:val="auto"/>
              </w:rPr>
              <w:t>Net cash provided by financing activities</w:t>
            </w:r>
          </w:p>
        </w:tc>
        <w:tc>
          <w:tcPr>
            <w:tcW w:w="13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5,670</w:t>
            </w:r>
          </w:p>
        </w:tc>
        <w:tc>
          <w:tcPr>
            <w:tcW w:w="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868,601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80" w:type="dxa"/>
            <w:vAlign w:val="bottom"/>
            <w:shd w:val="clear" w:color="auto" w:fill="CCEEFF"/>
          </w:tcPr>
          <w:p>
            <w:pPr>
              <w:ind w:left="100"/>
              <w:spacing w:after="0" w:line="144" w:lineRule="exact"/>
              <w:rPr>
                <w:sz w:val="20"/>
                <w:szCs w:val="20"/>
                <w:color w:val="auto"/>
              </w:rPr>
            </w:pPr>
            <w:r>
              <w:rPr>
                <w:rFonts w:ascii="Arial" w:cs="Arial" w:eastAsia="Arial" w:hAnsi="Arial"/>
                <w:sz w:val="15"/>
                <w:szCs w:val="15"/>
                <w:color w:val="auto"/>
              </w:rPr>
              <w:t>Net (decrease) increase in cash and cash equivalents and restricted cash</w:t>
            </w:r>
          </w:p>
        </w:tc>
        <w:tc>
          <w:tcPr>
            <w:tcW w:w="1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(152,150)</w:t>
            </w: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377,147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980" w:type="dxa"/>
            <w:vAlign w:val="bottom"/>
          </w:tcPr>
          <w:p>
            <w:pPr>
              <w:ind w:left="100"/>
              <w:spacing w:after="0" w:line="151" w:lineRule="exact"/>
              <w:rPr>
                <w:sz w:val="20"/>
                <w:szCs w:val="20"/>
                <w:color w:val="auto"/>
              </w:rPr>
            </w:pPr>
            <w:r>
              <w:rPr>
                <w:rFonts w:ascii="Arial" w:cs="Arial" w:eastAsia="Arial" w:hAnsi="Arial"/>
                <w:sz w:val="15"/>
                <w:szCs w:val="15"/>
                <w:color w:val="auto"/>
              </w:rPr>
              <w:t>Cash and cash equivalents and restricted cash at beginning of period</w:t>
            </w: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2"/>
          </w:tcPr>
          <w:p>
            <w:pPr>
              <w:jc w:val="right"/>
              <w:ind w:right="920"/>
              <w:spacing w:after="0" w:line="151" w:lineRule="exact"/>
              <w:rPr>
                <w:sz w:val="20"/>
                <w:szCs w:val="20"/>
                <w:color w:val="auto"/>
              </w:rPr>
            </w:pPr>
            <w:r>
              <w:rPr>
                <w:rFonts w:ascii="Arial" w:cs="Arial" w:eastAsia="Arial" w:hAnsi="Arial"/>
                <w:sz w:val="15"/>
                <w:szCs w:val="15"/>
                <w:color w:val="auto"/>
              </w:rPr>
              <w:t>465,817</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line="151" w:lineRule="exact"/>
              <w:rPr>
                <w:sz w:val="20"/>
                <w:szCs w:val="20"/>
                <w:color w:val="auto"/>
              </w:rPr>
            </w:pPr>
            <w:r>
              <w:rPr>
                <w:rFonts w:ascii="Arial" w:cs="Arial" w:eastAsia="Arial" w:hAnsi="Arial"/>
                <w:sz w:val="15"/>
                <w:szCs w:val="15"/>
                <w:color w:val="auto"/>
              </w:rPr>
              <w:t>85,947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980" w:type="dxa"/>
            <w:vAlign w:val="bottom"/>
            <w:tcBorders>
              <w:top w:val="single" w:sz="8" w:color="CCEEFF"/>
              <w:bottom w:val="single" w:sz="8" w:color="CCEEFF"/>
            </w:tcBorders>
            <w:shd w:val="clear" w:color="auto" w:fill="CCEEFF"/>
          </w:tcPr>
          <w:p>
            <w:pPr>
              <w:ind w:left="100"/>
              <w:spacing w:after="0" w:line="144" w:lineRule="exact"/>
              <w:rPr>
                <w:sz w:val="20"/>
                <w:szCs w:val="20"/>
                <w:color w:val="auto"/>
              </w:rPr>
            </w:pPr>
            <w:r>
              <w:rPr>
                <w:rFonts w:ascii="Arial" w:cs="Arial" w:eastAsia="Arial" w:hAnsi="Arial"/>
                <w:sz w:val="15"/>
                <w:szCs w:val="15"/>
                <w:color w:val="auto"/>
              </w:rPr>
              <w:t>Cash and cash equivalents and restricted cash at end of period</w:t>
            </w:r>
          </w:p>
        </w:tc>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4"/>
              <w:spacing w:after="0" w:line="144"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313,667</w:t>
            </w: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463,094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00"/>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98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line="130" w:lineRule="exact"/>
              <w:rPr>
                <w:sz w:val="20"/>
                <w:szCs w:val="20"/>
                <w:color w:val="auto"/>
              </w:rPr>
            </w:pPr>
            <w:r>
              <w:rPr>
                <w:rFonts w:ascii="Arial" w:cs="Arial" w:eastAsia="Arial" w:hAnsi="Arial"/>
                <w:sz w:val="15"/>
                <w:szCs w:val="15"/>
                <w:color w:val="auto"/>
              </w:rPr>
              <w:t>310,445</w:t>
            </w: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jc w:val="right"/>
              <w:spacing w:after="0" w:line="130" w:lineRule="exact"/>
              <w:rPr>
                <w:sz w:val="20"/>
                <w:szCs w:val="20"/>
                <w:color w:val="auto"/>
              </w:rPr>
            </w:pPr>
            <w:r>
              <w:rPr>
                <w:rFonts w:ascii="Arial" w:cs="Arial" w:eastAsia="Arial" w:hAnsi="Arial"/>
                <w:sz w:val="15"/>
                <w:szCs w:val="15"/>
                <w:color w:val="auto"/>
              </w:rPr>
              <w:t>459,794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98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Restricted cash at end of period</w:t>
            </w: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right"/>
              <w:ind w:right="920"/>
              <w:spacing w:after="0" w:line="151" w:lineRule="exact"/>
              <w:rPr>
                <w:sz w:val="20"/>
                <w:szCs w:val="20"/>
                <w:color w:val="auto"/>
              </w:rPr>
            </w:pPr>
            <w:r>
              <w:rPr>
                <w:rFonts w:ascii="Arial" w:cs="Arial" w:eastAsia="Arial" w:hAnsi="Arial"/>
                <w:sz w:val="15"/>
                <w:szCs w:val="15"/>
                <w:color w:val="auto"/>
              </w:rPr>
              <w:t>3,222</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3,300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980" w:type="dxa"/>
            <w:vAlign w:val="bottom"/>
          </w:tcPr>
          <w:p>
            <w:pPr>
              <w:ind w:left="100"/>
              <w:spacing w:after="0" w:line="144" w:lineRule="exact"/>
              <w:rPr>
                <w:sz w:val="20"/>
                <w:szCs w:val="20"/>
                <w:color w:val="auto"/>
              </w:rPr>
            </w:pPr>
            <w:r>
              <w:rPr>
                <w:rFonts w:ascii="Arial" w:cs="Arial" w:eastAsia="Arial" w:hAnsi="Arial"/>
                <w:sz w:val="15"/>
                <w:szCs w:val="15"/>
                <w:color w:val="auto"/>
              </w:rPr>
              <w:t>Cash and cash equivalents and restricted cash at end of period</w:t>
            </w:r>
          </w:p>
        </w:tc>
        <w:tc>
          <w:tcPr>
            <w:tcW w:w="13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84"/>
              <w:spacing w:after="0" w:line="144"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313,667</w:t>
            </w:r>
          </w:p>
        </w:tc>
        <w:tc>
          <w:tcPr>
            <w:tcW w:w="9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463,094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68"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57"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SIGNIFICANT ACCOUNTING POLICIES</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We are a life science technology company that designs, develops, and manufactures advanced sequencing solutions to help scientists and clinical researchers resolve genetically complex problems. Our products and technology under development stem from two highly differentiated core technologies focused on accuracy, quality</w:t>
      </w:r>
    </w:p>
    <w:p>
      <w:pPr>
        <w:jc w:val="both"/>
        <w:spacing w:after="0" w:line="207" w:lineRule="auto"/>
        <w:rPr>
          <w:sz w:val="20"/>
          <w:szCs w:val="20"/>
          <w:color w:val="auto"/>
        </w:rPr>
      </w:pPr>
      <w:r>
        <w:rPr>
          <w:rFonts w:ascii="Arial" w:cs="Arial" w:eastAsia="Arial" w:hAnsi="Arial"/>
          <w:sz w:val="17"/>
          <w:szCs w:val="17"/>
          <w:color w:val="auto"/>
        </w:rPr>
        <w:t>and completeness which include our existing HiFi long read sequencing technology and our emerging short read Sequencing by Binding (SBB</w:t>
      </w:r>
      <w:r>
        <w:rPr>
          <w:rFonts w:ascii="Arial" w:cs="Arial" w:eastAsia="Arial" w:hAnsi="Arial"/>
          <w:sz w:val="28"/>
          <w:szCs w:val="28"/>
          <w:color w:val="333333"/>
          <w:vertAlign w:val="superscript"/>
        </w:rPr>
        <w:t>®</w:t>
      </w:r>
      <w:r>
        <w:rPr>
          <w:rFonts w:ascii="Arial" w:cs="Arial" w:eastAsia="Arial" w:hAnsi="Arial"/>
          <w:sz w:val="17"/>
          <w:szCs w:val="17"/>
          <w:color w:val="auto"/>
        </w:rPr>
        <w:t>) technology. Our products address solutions across a broad set of applications including human germline sequencing, plant and animal sciences, infectious disease and microbiology, oncology, and other emerging applications. Our focus is on providing our customers with advanced sequencing technologies with higher throughput and improved workflows that we believe will enable dramatic advancements in routine healthcare. 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References in this report to “PacBio,” “we,” “us,” the “Company,” and “our” refer to Pacific Biosciences of California, Inc. and its consolidated subsidiaries.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2021 audited consolidated financial statements and include all adjustments, consisting of only normal recurring adjustments, necessary to fairly state our financial position, results of operations, comprehensive income (loss), and cash flows for the period, but are not necessarily indicative of the results to be expected for the entire year or any future periods. All intercompany transactions and balances have been eliminated.</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financial statements should be read in conjunction with the audited consolidated financial statements and notes included in our Annual Report on Form 10-K for the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but not limited to, the valuation of inventory, the determination of stand-alone selling prices for revenue recognition, the fair value of contingent consideration, the valuation of acquired intangible assets, the fair value of certain equity awards, the useful lives assigned to long-lived assets, the computation of provisions for income taxes, the borrowing rate used in calculating the operating lease right-of-use assets and operating lease liabilities, the probability associated with variable payments under partnership development agreements, and the valuations related to our convertible senior notes. While the extent of the potential impact of the ongoing COVID-19 pandemic on our business is highly uncertain, we considered information available related to assumptions and estimates used to determine the results reported and asset valuations as of June 30, 2022. Actual results could differ materially from these estimates.</w:t>
      </w: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Investments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We classify our investments in debt securities as available-for 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(loss) income in stockholders’ equity. Realized gains and losses, expected credit losses, as well as interest income, on available-for-sale securities are also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w:t>
      </w:r>
    </w:p>
    <w:p>
      <w:pPr>
        <w:spacing w:after="0" w:line="16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and Other Risks</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For the three months ended June 30, 2022, one customer accounted for approximately 11% of total revenue during the period. For the six months ended June 30, 2022, no customers exceeded 10%. For the three and six months ended June 30, 2021, one customer accounted for approximately 17% and 14% of total revenue during the period. No other customers exceeded 10% during those periods.</w:t>
      </w:r>
    </w:p>
    <w:p>
      <w:pPr>
        <w:spacing w:after="0" w:line="16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As of June 30, 2022, 57% of our accounts receivable were from domestic customers, compared to 53% as of December 31, 2021. As of June 30, 2022, one customer represented 11% of our accounts receivable, while no customer represented 10% or greater of our net accounts receivable as of December 31,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Standards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There are no accounting standards updates (“ASUs”) that have been recently adopted.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There have been no changes to our significant accounting policies as disclosed in the Annual Report on Form 10-K for the fiscal year ended December 31, 2021, however, as a result of certain changes to the standard contractual terms and conditions with customers implemented during the quarter ended March 31, 2022, we concluded that a change in the application of our accounting policy, in accordance with ASC 606, was appropriate.</w:t>
      </w:r>
    </w:p>
    <w:p>
      <w:pPr>
        <w:spacing w:after="0" w:line="166"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Specifically, we modified the standard contractual terms with customers during the first quarter of 2022, to reflect transfer of title and risk of loss and right to invoice upon delivery. We also updated the terms of the warranty provided with the instrument to remove the service component. As a result, the warranty is no longer a separate performance obligation and, accordingly, we accrue for the cost of the assurance warranty when revenue of the instrument is recognized. In addition, because of technical enhancements associated with our more recent instrument releases, including the Sequel IIe systems, installation services are now distinct from the instrument itself. Therefore, instrument revenue is now recognized upon transfer of control of the asset to the customer, which is generally upon delivery for sales made to our non-distributor customers.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Omniome, Inc.</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September 20, 2021, we completed our acquisition of Omniome, Inc. (“Omniome”), a San Diego-based company developing a highly differentiated, proprietary short-read DNA sequencing platform capable of delivering high accuracy.</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 connection with the acquisition, contingent consideration of $200 million (composed of $100 million in cash and $100 million in shares of our common stock) is due upon the achievement of a milestone, defined as the first commercial shipment to a customer of a nucleotide sequencing platform, comprising both an instrument and related consumables, that utilizes SBB technology. The number of shares of stock to be issued will be determined using the volume-weighted average of the trading prices of our common stock for the twenty trading days ending with and including the trading day that is two days immediately prior to the achievement of the milestone. Of the $100 million in shares of our common stock to be issued as part of the milestone, $4.1 million was attributable to stock options issued by PacBio in replacement of Omniome’s unvested options as part of the transaction. Upon achievement of the milestone, shares will be issued not in excess of an amount equal to 19.9% of our outstanding shares of common stock on the date of closing (prior to the issuance of any shares issued in connection with the transaction or the related private placement), less 11,500,000 shares.</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contingent consideration is accounted for as a liability at fair value, with changes during each reporting period recognized in our Consolidated Statements of Operations and Comprehensive Loss. The fair value of the contingent consideration liability is calculated, with the assistance from a third-party valuation firm, using a scenario-based method which considers a range of possible outcomes and their assigned probabilities of occurrence. The potential outcomes are discounted to present value at a discount rate equal to the sum of the term-matched risk-free-interest rate plus PacBio’s credit spread.</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the consideration transferred was allocated to the tangible and intangible assets acquired and liabilities assumed based on their fair values on the acquisition date. The major classes of assets and liabilities to which we have allocated the total fair value of the consideration transferred were as follows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15,338</w:t>
            </w:r>
          </w:p>
        </w:tc>
      </w:tr>
      <w:tr>
        <w:trPr>
          <w:trHeight w:val="177"/>
        </w:trPr>
        <w:tc>
          <w:tcPr>
            <w:tcW w:w="8840" w:type="dxa"/>
            <w:vAlign w:val="bottom"/>
          </w:tcPr>
          <w:p>
            <w:pPr>
              <w:spacing w:after="0" w:line="177" w:lineRule="exact"/>
              <w:rPr>
                <w:sz w:val="20"/>
                <w:szCs w:val="20"/>
                <w:color w:val="auto"/>
              </w:rPr>
            </w:pPr>
            <w:r>
              <w:rPr>
                <w:rFonts w:ascii="Arial" w:cs="Arial" w:eastAsia="Arial" w:hAnsi="Arial"/>
                <w:sz w:val="17"/>
                <w:szCs w:val="17"/>
                <w:color w:val="auto"/>
              </w:rPr>
              <w:t>Property and equipment, net</w:t>
            </w:r>
          </w:p>
        </w:tc>
        <w:tc>
          <w:tcPr>
            <w:tcW w:w="960" w:type="dxa"/>
            <w:vAlign w:val="bottom"/>
          </w:tcPr>
          <w:p>
            <w:pPr>
              <w:spacing w:after="0"/>
              <w:rPr>
                <w:sz w:val="15"/>
                <w:szCs w:val="15"/>
                <w:color w:val="auto"/>
              </w:rPr>
            </w:pPr>
          </w:p>
        </w:tc>
        <w:tc>
          <w:tcPr>
            <w:tcW w:w="1440" w:type="dxa"/>
            <w:vAlign w:val="bottom"/>
          </w:tcPr>
          <w:p>
            <w:pPr>
              <w:jc w:val="right"/>
              <w:spacing w:after="0" w:line="177" w:lineRule="exact"/>
              <w:rPr>
                <w:sz w:val="20"/>
                <w:szCs w:val="20"/>
                <w:color w:val="auto"/>
              </w:rPr>
            </w:pPr>
            <w:r>
              <w:rPr>
                <w:rFonts w:ascii="Arial" w:cs="Arial" w:eastAsia="Arial" w:hAnsi="Arial"/>
                <w:sz w:val="17"/>
                <w:szCs w:val="17"/>
                <w:color w:val="auto"/>
              </w:rPr>
              <w:t>6,123</w:t>
            </w:r>
          </w:p>
        </w:tc>
      </w:tr>
      <w:tr>
        <w:trPr>
          <w:trHeight w:val="177"/>
        </w:trPr>
        <w:tc>
          <w:tcPr>
            <w:tcW w:w="884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Operating lease right-of-use assets, net</w:t>
            </w: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18,095</w:t>
            </w:r>
          </w:p>
        </w:tc>
      </w:tr>
      <w:tr>
        <w:trPr>
          <w:trHeight w:val="177"/>
        </w:trPr>
        <w:tc>
          <w:tcPr>
            <w:tcW w:w="8840" w:type="dxa"/>
            <w:vAlign w:val="bottom"/>
          </w:tcPr>
          <w:p>
            <w:pPr>
              <w:spacing w:after="0" w:line="177" w:lineRule="exact"/>
              <w:rPr>
                <w:sz w:val="20"/>
                <w:szCs w:val="20"/>
                <w:color w:val="auto"/>
              </w:rPr>
            </w:pPr>
            <w:r>
              <w:rPr>
                <w:rFonts w:ascii="Arial" w:cs="Arial" w:eastAsia="Arial" w:hAnsi="Arial"/>
                <w:sz w:val="17"/>
                <w:szCs w:val="17"/>
                <w:color w:val="auto"/>
              </w:rPr>
              <w:t>In-process research and development ("IPR&amp;D")</w:t>
            </w:r>
          </w:p>
        </w:tc>
        <w:tc>
          <w:tcPr>
            <w:tcW w:w="960" w:type="dxa"/>
            <w:vAlign w:val="bottom"/>
          </w:tcPr>
          <w:p>
            <w:pPr>
              <w:spacing w:after="0"/>
              <w:rPr>
                <w:sz w:val="15"/>
                <w:szCs w:val="15"/>
                <w:color w:val="auto"/>
              </w:rPr>
            </w:pPr>
          </w:p>
        </w:tc>
        <w:tc>
          <w:tcPr>
            <w:tcW w:w="1440" w:type="dxa"/>
            <w:vAlign w:val="bottom"/>
          </w:tcPr>
          <w:p>
            <w:pPr>
              <w:jc w:val="right"/>
              <w:spacing w:after="0" w:line="177" w:lineRule="exact"/>
              <w:rPr>
                <w:sz w:val="20"/>
                <w:szCs w:val="20"/>
                <w:color w:val="auto"/>
              </w:rPr>
            </w:pPr>
            <w:r>
              <w:rPr>
                <w:rFonts w:ascii="Arial" w:cs="Arial" w:eastAsia="Arial" w:hAnsi="Arial"/>
                <w:sz w:val="17"/>
                <w:szCs w:val="17"/>
                <w:color w:val="auto"/>
              </w:rPr>
              <w:t>400,000</w:t>
            </w:r>
          </w:p>
        </w:tc>
      </w:tr>
      <w:tr>
        <w:trPr>
          <w:trHeight w:val="177"/>
        </w:trPr>
        <w:tc>
          <w:tcPr>
            <w:tcW w:w="884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Goodwill</w:t>
            </w: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390,665</w:t>
            </w:r>
          </w:p>
        </w:tc>
      </w:tr>
      <w:tr>
        <w:trPr>
          <w:trHeight w:val="177"/>
        </w:trPr>
        <w:tc>
          <w:tcPr>
            <w:tcW w:w="8840" w:type="dxa"/>
            <w:vAlign w:val="bottom"/>
          </w:tcPr>
          <w:p>
            <w:pPr>
              <w:spacing w:after="0" w:line="177" w:lineRule="exact"/>
              <w:rPr>
                <w:sz w:val="20"/>
                <w:szCs w:val="20"/>
                <w:color w:val="auto"/>
              </w:rPr>
            </w:pPr>
            <w:r>
              <w:rPr>
                <w:rFonts w:ascii="Arial" w:cs="Arial" w:eastAsia="Arial" w:hAnsi="Arial"/>
                <w:sz w:val="17"/>
                <w:szCs w:val="17"/>
                <w:color w:val="auto"/>
              </w:rPr>
              <w:t>Other assets</w:t>
            </w:r>
          </w:p>
        </w:tc>
        <w:tc>
          <w:tcPr>
            <w:tcW w:w="960" w:type="dxa"/>
            <w:vAlign w:val="bottom"/>
          </w:tcPr>
          <w:p>
            <w:pPr>
              <w:spacing w:after="0"/>
              <w:rPr>
                <w:sz w:val="15"/>
                <w:szCs w:val="15"/>
                <w:color w:val="auto"/>
              </w:rPr>
            </w:pPr>
          </w:p>
        </w:tc>
        <w:tc>
          <w:tcPr>
            <w:tcW w:w="1440" w:type="dxa"/>
            <w:vAlign w:val="bottom"/>
          </w:tcPr>
          <w:p>
            <w:pPr>
              <w:jc w:val="right"/>
              <w:spacing w:after="0" w:line="177" w:lineRule="exact"/>
              <w:rPr>
                <w:sz w:val="20"/>
                <w:szCs w:val="20"/>
                <w:color w:val="auto"/>
              </w:rPr>
            </w:pPr>
            <w:r>
              <w:rPr>
                <w:rFonts w:ascii="Arial" w:cs="Arial" w:eastAsia="Arial" w:hAnsi="Arial"/>
                <w:sz w:val="17"/>
                <w:szCs w:val="17"/>
                <w:color w:val="auto"/>
              </w:rPr>
              <w:t>3,203</w:t>
            </w:r>
          </w:p>
        </w:tc>
      </w:tr>
      <w:tr>
        <w:trPr>
          <w:trHeight w:val="177"/>
        </w:trPr>
        <w:tc>
          <w:tcPr>
            <w:tcW w:w="884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Deferred income tax liability</w:t>
            </w: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(91,814)</w:t>
            </w:r>
          </w:p>
        </w:tc>
      </w:tr>
      <w:tr>
        <w:trPr>
          <w:trHeight w:val="177"/>
        </w:trPr>
        <w:tc>
          <w:tcPr>
            <w:tcW w:w="8840" w:type="dxa"/>
            <w:vAlign w:val="bottom"/>
            <w:tcBorders>
              <w:bottom w:val="single" w:sz="8" w:color="CCEEFF"/>
            </w:tcBorders>
          </w:tcPr>
          <w:p>
            <w:pPr>
              <w:spacing w:after="0" w:line="177" w:lineRule="exact"/>
              <w:rPr>
                <w:sz w:val="20"/>
                <w:szCs w:val="20"/>
                <w:color w:val="auto"/>
              </w:rPr>
            </w:pPr>
            <w:r>
              <w:rPr>
                <w:rFonts w:ascii="Arial" w:cs="Arial" w:eastAsia="Arial" w:hAnsi="Arial"/>
                <w:sz w:val="17"/>
                <w:szCs w:val="17"/>
                <w:color w:val="auto"/>
              </w:rPr>
              <w:t>Liabilities assumed</w:t>
            </w: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(26,821)</w:t>
            </w:r>
          </w:p>
        </w:tc>
      </w:tr>
      <w:tr>
        <w:trPr>
          <w:trHeight w:val="170"/>
        </w:trPr>
        <w:tc>
          <w:tcPr>
            <w:tcW w:w="8840" w:type="dxa"/>
            <w:vAlign w:val="bottom"/>
            <w:tcBorders>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7"/>
                <w:szCs w:val="17"/>
                <w:color w:val="auto"/>
              </w:rPr>
              <w:t>Total consideration transferred</w:t>
            </w:r>
          </w:p>
        </w:tc>
        <w:tc>
          <w:tcPr>
            <w:tcW w:w="960" w:type="dxa"/>
            <w:vAlign w:val="bottom"/>
            <w:tcBorders>
              <w:bottom w:val="single" w:sz="8" w:color="auto"/>
            </w:tcBorders>
            <w:shd w:val="clear" w:color="auto" w:fill="CCEEFF"/>
          </w:tcPr>
          <w:p>
            <w:pPr>
              <w:jc w:val="right"/>
              <w:ind w:right="776"/>
              <w:spacing w:after="0" w:line="170"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714,789</w:t>
            </w:r>
          </w:p>
        </w:tc>
      </w:tr>
      <w:tr>
        <w:trPr>
          <w:trHeight w:val="20"/>
        </w:trPr>
        <w:tc>
          <w:tcPr>
            <w:tcW w:w="8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54"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We expect to finalize the purchase price allocation within 12 months of the acquisition date. We will recognize adjustments to the preliminary amounts with a corresponding adjustment to goodwill in the reporting period in which the adjustments to the preliminary amounts are determined, which we expect to be primarily due to the review of certain tax attributes.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Circulomics, Inc.</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July 20, 2021, we acquired Circulomics Inc. (“Circulomics”), a Maryland-based biotechnology company focused on delivering highly differentiated sample preparation products that enable genomic workflows.</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paid $29.5 million in cash in exchange for all outstanding shares of common stock of Circulomics. We allocated the consideration transferred to the identifiable assets acquired and liabilities assumed based on their respective fair values at the date of the completion of the acquisition. The major classes of assets and liabilities to which we have allocated the total fair value of the consideration transferred were as follows (in thousands):</w:t>
      </w:r>
    </w:p>
    <w:tbl>
      <w:tblPr>
        <w:tblLayout w:type="fixed"/>
        <w:tblInd w:w="0" w:type="dxa"/>
        <w:tblCellMar>
          <w:top w:w="0" w:type="dxa"/>
          <w:left w:w="0" w:type="dxa"/>
          <w:bottom w:w="0" w:type="dxa"/>
          <w:right w:w="0" w:type="dxa"/>
        </w:tblCellMar>
      </w:tblPr>
      <w:tr>
        <w:trPr>
          <w:trHeight w:val="191"/>
        </w:trPr>
        <w:tc>
          <w:tcPr>
            <w:tcW w:w="85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Cash and cash equivalents</w:t>
            </w:r>
          </w:p>
        </w:tc>
        <w:tc>
          <w:tcPr>
            <w:tcW w:w="1160" w:type="dxa"/>
            <w:vAlign w:val="bottom"/>
            <w:shd w:val="clear" w:color="auto" w:fill="CCEEFF"/>
          </w:tcPr>
          <w:p>
            <w:pPr>
              <w:jc w:val="right"/>
              <w:ind w:right="976"/>
              <w:spacing w:after="0" w:line="191" w:lineRule="exact"/>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987</w:t>
            </w:r>
          </w:p>
        </w:tc>
      </w:tr>
      <w:tr>
        <w:trPr>
          <w:trHeight w:val="177"/>
        </w:trPr>
        <w:tc>
          <w:tcPr>
            <w:tcW w:w="8560" w:type="dxa"/>
            <w:vAlign w:val="bottom"/>
          </w:tcPr>
          <w:p>
            <w:pPr>
              <w:spacing w:after="0" w:line="177" w:lineRule="exact"/>
              <w:rPr>
                <w:sz w:val="20"/>
                <w:szCs w:val="20"/>
                <w:color w:val="auto"/>
              </w:rPr>
            </w:pPr>
            <w:r>
              <w:rPr>
                <w:rFonts w:ascii="Arial" w:cs="Arial" w:eastAsia="Arial" w:hAnsi="Arial"/>
                <w:sz w:val="17"/>
                <w:szCs w:val="17"/>
                <w:color w:val="auto"/>
              </w:rPr>
              <w:t>Property and equipment, net</w:t>
            </w:r>
          </w:p>
        </w:tc>
        <w:tc>
          <w:tcPr>
            <w:tcW w:w="1160" w:type="dxa"/>
            <w:vAlign w:val="bottom"/>
          </w:tcPr>
          <w:p>
            <w:pPr>
              <w:spacing w:after="0"/>
              <w:rPr>
                <w:sz w:val="15"/>
                <w:szCs w:val="15"/>
                <w:color w:val="auto"/>
              </w:rPr>
            </w:pPr>
          </w:p>
        </w:tc>
        <w:tc>
          <w:tcPr>
            <w:tcW w:w="1520" w:type="dxa"/>
            <w:vAlign w:val="bottom"/>
          </w:tcPr>
          <w:p>
            <w:pPr>
              <w:jc w:val="right"/>
              <w:spacing w:after="0" w:line="177" w:lineRule="exact"/>
              <w:rPr>
                <w:sz w:val="20"/>
                <w:szCs w:val="20"/>
                <w:color w:val="auto"/>
              </w:rPr>
            </w:pPr>
            <w:r>
              <w:rPr>
                <w:rFonts w:ascii="Arial" w:cs="Arial" w:eastAsia="Arial" w:hAnsi="Arial"/>
                <w:sz w:val="17"/>
                <w:szCs w:val="17"/>
                <w:color w:val="auto"/>
              </w:rPr>
              <w:t>214</w:t>
            </w:r>
          </w:p>
        </w:tc>
      </w:tr>
      <w:tr>
        <w:trPr>
          <w:trHeight w:val="177"/>
        </w:trPr>
        <w:tc>
          <w:tcPr>
            <w:tcW w:w="85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Intangible assets</w:t>
            </w:r>
          </w:p>
        </w:tc>
        <w:tc>
          <w:tcPr>
            <w:tcW w:w="1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11,360</w:t>
            </w:r>
          </w:p>
        </w:tc>
      </w:tr>
      <w:tr>
        <w:trPr>
          <w:trHeight w:val="177"/>
        </w:trPr>
        <w:tc>
          <w:tcPr>
            <w:tcW w:w="8560" w:type="dxa"/>
            <w:vAlign w:val="bottom"/>
          </w:tcPr>
          <w:p>
            <w:pPr>
              <w:spacing w:after="0" w:line="177" w:lineRule="exact"/>
              <w:rPr>
                <w:sz w:val="20"/>
                <w:szCs w:val="20"/>
                <w:color w:val="auto"/>
              </w:rPr>
            </w:pPr>
            <w:r>
              <w:rPr>
                <w:rFonts w:ascii="Arial" w:cs="Arial" w:eastAsia="Arial" w:hAnsi="Arial"/>
                <w:sz w:val="17"/>
                <w:szCs w:val="17"/>
                <w:color w:val="auto"/>
              </w:rPr>
              <w:t>Goodwill</w:t>
            </w:r>
          </w:p>
        </w:tc>
        <w:tc>
          <w:tcPr>
            <w:tcW w:w="1160" w:type="dxa"/>
            <w:vAlign w:val="bottom"/>
          </w:tcPr>
          <w:p>
            <w:pPr>
              <w:spacing w:after="0"/>
              <w:rPr>
                <w:sz w:val="15"/>
                <w:szCs w:val="15"/>
                <w:color w:val="auto"/>
              </w:rPr>
            </w:pPr>
          </w:p>
        </w:tc>
        <w:tc>
          <w:tcPr>
            <w:tcW w:w="1520" w:type="dxa"/>
            <w:vAlign w:val="bottom"/>
          </w:tcPr>
          <w:p>
            <w:pPr>
              <w:jc w:val="right"/>
              <w:spacing w:after="0" w:line="177" w:lineRule="exact"/>
              <w:rPr>
                <w:sz w:val="20"/>
                <w:szCs w:val="20"/>
                <w:color w:val="auto"/>
              </w:rPr>
            </w:pPr>
            <w:r>
              <w:rPr>
                <w:rFonts w:ascii="Arial" w:cs="Arial" w:eastAsia="Arial" w:hAnsi="Arial"/>
                <w:sz w:val="17"/>
                <w:szCs w:val="17"/>
                <w:color w:val="auto"/>
              </w:rPr>
              <w:t>19,309</w:t>
            </w:r>
          </w:p>
        </w:tc>
      </w:tr>
      <w:tr>
        <w:trPr>
          <w:trHeight w:val="177"/>
        </w:trPr>
        <w:tc>
          <w:tcPr>
            <w:tcW w:w="85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Other assets</w:t>
            </w:r>
          </w:p>
        </w:tc>
        <w:tc>
          <w:tcPr>
            <w:tcW w:w="1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467</w:t>
            </w:r>
          </w:p>
        </w:tc>
      </w:tr>
      <w:tr>
        <w:trPr>
          <w:trHeight w:val="177"/>
        </w:trPr>
        <w:tc>
          <w:tcPr>
            <w:tcW w:w="8560" w:type="dxa"/>
            <w:vAlign w:val="bottom"/>
          </w:tcPr>
          <w:p>
            <w:pPr>
              <w:spacing w:after="0" w:line="177" w:lineRule="exact"/>
              <w:rPr>
                <w:sz w:val="20"/>
                <w:szCs w:val="20"/>
                <w:color w:val="auto"/>
              </w:rPr>
            </w:pPr>
            <w:r>
              <w:rPr>
                <w:rFonts w:ascii="Arial" w:cs="Arial" w:eastAsia="Arial" w:hAnsi="Arial"/>
                <w:sz w:val="17"/>
                <w:szCs w:val="17"/>
                <w:color w:val="auto"/>
              </w:rPr>
              <w:t>Deferred income tax liability</w:t>
            </w:r>
          </w:p>
        </w:tc>
        <w:tc>
          <w:tcPr>
            <w:tcW w:w="1160" w:type="dxa"/>
            <w:vAlign w:val="bottom"/>
          </w:tcPr>
          <w:p>
            <w:pPr>
              <w:spacing w:after="0"/>
              <w:rPr>
                <w:sz w:val="15"/>
                <w:szCs w:val="15"/>
                <w:color w:val="auto"/>
              </w:rPr>
            </w:pPr>
          </w:p>
        </w:tc>
        <w:tc>
          <w:tcPr>
            <w:tcW w:w="1520" w:type="dxa"/>
            <w:vAlign w:val="bottom"/>
          </w:tcPr>
          <w:p>
            <w:pPr>
              <w:jc w:val="right"/>
              <w:spacing w:after="0" w:line="177" w:lineRule="exact"/>
              <w:rPr>
                <w:sz w:val="20"/>
                <w:szCs w:val="20"/>
                <w:color w:val="auto"/>
              </w:rPr>
            </w:pPr>
            <w:r>
              <w:rPr>
                <w:rFonts w:ascii="Arial" w:cs="Arial" w:eastAsia="Arial" w:hAnsi="Arial"/>
                <w:sz w:val="17"/>
                <w:szCs w:val="17"/>
                <w:color w:val="auto"/>
              </w:rPr>
              <w:t>(2,672)</w:t>
            </w:r>
          </w:p>
        </w:tc>
      </w:tr>
      <w:tr>
        <w:trPr>
          <w:trHeight w:val="177"/>
        </w:trPr>
        <w:tc>
          <w:tcPr>
            <w:tcW w:w="85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Liabilities assumed</w:t>
            </w:r>
          </w:p>
        </w:tc>
        <w:tc>
          <w:tcPr>
            <w:tcW w:w="1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(118)</w:t>
            </w:r>
          </w:p>
        </w:tc>
      </w:tr>
      <w:tr>
        <w:trPr>
          <w:trHeight w:val="170"/>
        </w:trPr>
        <w:tc>
          <w:tcPr>
            <w:tcW w:w="8560" w:type="dxa"/>
            <w:vAlign w:val="bottom"/>
          </w:tcPr>
          <w:p>
            <w:pPr>
              <w:ind w:left="100"/>
              <w:spacing w:after="0" w:line="170" w:lineRule="exact"/>
              <w:rPr>
                <w:sz w:val="20"/>
                <w:szCs w:val="20"/>
                <w:color w:val="auto"/>
              </w:rPr>
            </w:pPr>
            <w:r>
              <w:rPr>
                <w:rFonts w:ascii="Arial" w:cs="Arial" w:eastAsia="Arial" w:hAnsi="Arial"/>
                <w:sz w:val="17"/>
                <w:szCs w:val="17"/>
                <w:color w:val="auto"/>
              </w:rPr>
              <w:t>Total consideration transferred</w:t>
            </w:r>
          </w:p>
        </w:tc>
        <w:tc>
          <w:tcPr>
            <w:tcW w:w="1160" w:type="dxa"/>
            <w:vAlign w:val="bottom"/>
            <w:tcBorders>
              <w:bottom w:val="single" w:sz="8" w:color="auto"/>
            </w:tcBorders>
          </w:tcPr>
          <w:p>
            <w:pPr>
              <w:jc w:val="right"/>
              <w:ind w:right="976"/>
              <w:spacing w:after="0" w:line="170" w:lineRule="exact"/>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29,547</w:t>
            </w:r>
          </w:p>
        </w:tc>
      </w:tr>
      <w:tr>
        <w:trPr>
          <w:trHeight w:val="20"/>
        </w:trPr>
        <w:tc>
          <w:tcPr>
            <w:tcW w:w="8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INVITAE COLLABORATION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June 24, 2022, we entered into an Amended and Restated Development and Commercialization Agreement (the “Amended and Restated Agreement”) with Invitae Corporation (“Invitae”). The Amended and Restated Agreement amended and restated the existing Development and Commercialization Agreement, effective as of January 12, 2021, as amended by Amendment No. 1 to Development and Commercialization Agreement, entered into on June 3, 2021, by and between us and Invitae (together, the “Original Agreement”). Unless otherwise agreed in writing or terminated in accordance with the Amended and Restated Agreement, the term of the Amended and Restated Agreement shall continue until June 30, 2028 (“Term”).</w:t>
      </w:r>
    </w:p>
    <w:p>
      <w:pPr>
        <w:spacing w:after="0" w:line="16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Pursuant to the Original Agreement, Invitae provided certain funding to us to develop products relating to production-scale high-throughput sequencing (“Program Products”). If Program Products were to become commercially available, Invitae had the right to purchase the Program Products at preferred pricing.</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Under the Amended and Restated Agreement, we will continue to receive feedback, input and insight from Invitae in connection with the intended development of our new sequencing systems; however, such feedback will not be contractually required, and Invitae has no contractual right to participate in decisions regarding the development program for such new sequencing systems. Our development plans for such new sequencing systems will be at our discretion and pursuant to our own internal processes and programs. Invitae will not be contractually obligated to reimburse us for development costs under the Amended and Restated Agreement. There can be no assurances that the in-development sequencing systems will continue to be developed, be successfully developed or become available for commercial sale.</w:t>
      </w:r>
    </w:p>
    <w:p>
      <w:pPr>
        <w:spacing w:after="0" w:line="15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In consideration of the non-refundable payments received from Invitae pursuant to the Original Agreement of $23.5 million, we will provide Invitae with credits in connection with Invitae’s anticipated purchase of certain currently available and in-development sequencing systems (instruments and consumables). The credits will expire on June 30, 2025 (“Credit Expiration Date”). Subject to certain conditions, Invitae will also be entitled to most favored pricing for the Company’s Sequel IIe systems and certain in-development systems through the Term.</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and Invitae may terminate the Amended and Restated Agreement if the other party remains in material breach of the Amended and Restated Agreement following a cure period to remedy the material breach.</w:t>
      </w:r>
    </w:p>
    <w:p>
      <w:pPr>
        <w:spacing w:after="0" w:line="16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Amended and Restated Agreement is deemed a contract modification and accounted for on a prospective basis in accordance with ASC Topic 606. We will recognize proportionate amounts of the transaction price, including payments made by Invitae to us pursuant to the Original Agreement, in revenue as the remaining performance obligations are satisfied, which is when Invitae places purchase orders for certain currently available and in-development sequencing platforms and the associated goods are delivered. Any remaining unused credits will be recognized when they expire.</w:t>
      </w:r>
    </w:p>
    <w:p>
      <w:pPr>
        <w:spacing w:after="0" w:line="16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During the three months ended June 30, 2022, Invitae purchased certain currently available instruments, for which $3.7 million of revenue was recognized as Product Revenue on the Condensed Consolidated Statements of Operations and Comprehensive Loss under the terms of the Amended and Restated Agreement.</w:t>
      </w:r>
    </w:p>
    <w:p>
      <w:pPr>
        <w:spacing w:after="0" w:line="11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As of December 31, 2021, we have recognized payments received from Invitae of $23.5 million in deferred revenue, non-current, on the Consolidated Balance Sheet. As of June 30, 2022, $21.4 million of deferred revenue, current, is recorded on the Condensed Consolidated Balance Sheet relating to all future performance obligations under the Amended and Restated Agreement.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TERMINATION OF MERGER WITH ILLUMINA</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November 1, 2018, we entered into an Agreement and Plan of Merger (as amended, the “Illumina Merger Agreement”) with Illumina, Inc. (“Illumina”) and FC Ops Corp., a wholly owned subsidiary of Illumina (“Illumina Merger Sub”). On January 2, 2020, we, Illumina and Illumina Merger Sub, entered into an agreement to terminate the Merger Agreement (the “Termination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Continuation Advances from Illumina</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As part of the Termination Agreement, Illumina paid us cash payments (“Continuation Advances”) totaling $52.0 million. 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167"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Resulting from the issuance and sale of $900 million of 1.50% Convertible Senior Notes due February 15, 2028, $52.0 million of Continuation Advances were paid without interest to Illumina in February 2021, and a corresponding non-operating expense was recorded in the Consolidated Statements of Operations and Comprehensive (Loss) Income during the quarter ended March 31,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FINANCIAL INSTRUMENTS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Fair value is the exchange price that would be received to sell an asset or paid to transfer a liability in an orderly transaction between market participants at the measurement date.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hierarchy established under GAAP requires an entity to maximize the use of observable inputs and minimize the use of unobservable inputs when measuring fair value. The three levels of inputs that may be used to measure fair value are as follows: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Level 1: quoted prices in active markets for identical assets or liabilities;</w:t>
      </w:r>
    </w:p>
    <w:p>
      <w:pPr>
        <w:spacing w:after="0" w:line="184" w:lineRule="exact"/>
        <w:rPr>
          <w:sz w:val="20"/>
          <w:szCs w:val="20"/>
          <w:color w:val="auto"/>
        </w:rPr>
      </w:pPr>
    </w:p>
    <w:p>
      <w:pPr>
        <w:jc w:val="both"/>
        <w:ind w:left="1020"/>
        <w:spacing w:after="0" w:line="232" w:lineRule="auto"/>
        <w:rPr>
          <w:sz w:val="20"/>
          <w:szCs w:val="20"/>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16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16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166"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carrying amount of our accounts receivable, prepaid expenses, other current assets, accounts payable, accrued expenses and other liabilities, current, approximate fair value due to their short maturities.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 Measured at Fair Value on a Recurring Basis</w:t>
      </w:r>
    </w:p>
    <w:p>
      <w:pPr>
        <w:spacing w:after="0" w:line="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following table sets forth the fair value of our financial assets and liabilities that were measured on a recurring basis as of June 30, 2022 and December 31, 2021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ind w:left="400"/>
              <w:spacing w:after="0"/>
              <w:rPr>
                <w:sz w:val="20"/>
                <w:szCs w:val="20"/>
                <w:color w:val="auto"/>
              </w:rPr>
            </w:pPr>
            <w:r>
              <w:rPr>
                <w:rFonts w:ascii="Arial" w:cs="Arial" w:eastAsia="Arial" w:hAnsi="Arial"/>
                <w:sz w:val="13"/>
                <w:szCs w:val="13"/>
                <w:b w:val="1"/>
                <w:bCs w:val="1"/>
                <w:color w:val="auto"/>
              </w:rPr>
              <w:t>June 30, 2022</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ind w:left="280"/>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4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13"/>
              <w:spacing w:after="0" w:line="132"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53"/>
              <w:spacing w:after="0" w:line="13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2"/>
        </w:trPr>
        <w:tc>
          <w:tcPr>
            <w:tcW w:w="274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rPr>
              <w:t>Assets</w:t>
            </w:r>
          </w:p>
        </w:tc>
        <w:tc>
          <w:tcPr>
            <w:tcW w:w="4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Cash and cash equivalents</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102,612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207,833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310,445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327,315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133,410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460,725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20" w:type="dxa"/>
            <w:vAlign w:val="bottom"/>
          </w:tcPr>
          <w:p>
            <w:pPr>
              <w:spacing w:after="0" w:line="139" w:lineRule="exact"/>
              <w:rPr>
                <w:sz w:val="20"/>
                <w:szCs w:val="20"/>
                <w:color w:val="auto"/>
              </w:rPr>
            </w:pPr>
            <w:r>
              <w:rPr>
                <w:rFonts w:ascii="Arial" w:cs="Arial" w:eastAsia="Arial" w:hAnsi="Arial"/>
                <w:sz w:val="13"/>
                <w:szCs w:val="13"/>
                <w:color w:val="auto"/>
              </w:rPr>
              <w:t>Investments: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2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Commercial paper</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120,495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120,495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187,632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187,632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20" w:type="dxa"/>
            <w:vAlign w:val="bottom"/>
          </w:tcPr>
          <w:p>
            <w:pPr>
              <w:ind w:left="80"/>
              <w:spacing w:after="0" w:line="139" w:lineRule="exact"/>
              <w:rPr>
                <w:sz w:val="20"/>
                <w:szCs w:val="20"/>
                <w:color w:val="auto"/>
              </w:rPr>
            </w:pPr>
            <w:r>
              <w:rPr>
                <w:rFonts w:ascii="Arial" w:cs="Arial" w:eastAsia="Arial" w:hAnsi="Arial"/>
                <w:sz w:val="13"/>
                <w:szCs w:val="13"/>
                <w:color w:val="auto"/>
              </w:rPr>
              <w:t>Corporate debt securities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580"/>
              <w:spacing w:after="0" w:line="13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Arial" w:cs="Arial" w:eastAsia="Arial" w:hAnsi="Arial"/>
                <w:sz w:val="13"/>
                <w:szCs w:val="13"/>
                <w:color w:val="auto"/>
              </w:rPr>
              <w:t>46,810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60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46,810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600"/>
              <w:spacing w:after="0" w:line="13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8,968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600"/>
              <w:spacing w:after="0" w:line="13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Arial" w:cs="Arial" w:eastAsia="Arial" w:hAnsi="Arial"/>
                <w:sz w:val="13"/>
                <w:szCs w:val="13"/>
                <w:color w:val="auto"/>
              </w:rPr>
              <w:t>8,968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2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U.S. government &amp; agency securities</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421,401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421,401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387,075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387,075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ind w:left="180"/>
              <w:spacing w:after="0" w:line="132" w:lineRule="exact"/>
              <w:rPr>
                <w:sz w:val="20"/>
                <w:szCs w:val="20"/>
                <w:color w:val="auto"/>
              </w:rPr>
            </w:pPr>
            <w:r>
              <w:rPr>
                <w:rFonts w:ascii="Arial" w:cs="Arial" w:eastAsia="Arial" w:hAnsi="Arial"/>
                <w:sz w:val="13"/>
                <w:szCs w:val="13"/>
                <w:color w:val="auto"/>
              </w:rPr>
              <w:t>Total investments</w:t>
            </w:r>
          </w:p>
        </w:tc>
        <w:tc>
          <w:tcPr>
            <w:tcW w:w="4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580"/>
              <w:spacing w:after="0" w:line="132"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588,706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ind w:left="600"/>
              <w:spacing w:after="0" w:line="132"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588,706</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600"/>
              <w:spacing w:after="0" w:line="132"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583,675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600"/>
              <w:spacing w:after="0" w:line="132"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583,675</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2720" w:type="dxa"/>
            <w:vAlign w:val="bottom"/>
          </w:tcPr>
          <w:p>
            <w:pPr>
              <w:spacing w:after="0" w:line="139" w:lineRule="exact"/>
              <w:rPr>
                <w:sz w:val="20"/>
                <w:szCs w:val="20"/>
                <w:color w:val="auto"/>
              </w:rPr>
            </w:pPr>
            <w:r>
              <w:rPr>
                <w:rFonts w:ascii="Arial" w:cs="Arial" w:eastAsia="Arial" w:hAnsi="Arial"/>
                <w:sz w:val="13"/>
                <w:szCs w:val="13"/>
                <w:color w:val="auto"/>
              </w:rPr>
              <w:t>Short-term restricted cash</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300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600"/>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60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300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60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600"/>
              <w:spacing w:after="0" w:line="13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Long-term restricted cash</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2,922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2,922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4,592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4,592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ind w:left="180"/>
              <w:spacing w:after="0" w:line="132" w:lineRule="exact"/>
              <w:rPr>
                <w:sz w:val="20"/>
                <w:szCs w:val="20"/>
                <w:color w:val="auto"/>
              </w:rPr>
            </w:pPr>
            <w:r>
              <w:rPr>
                <w:rFonts w:ascii="Arial" w:cs="Arial" w:eastAsia="Arial" w:hAnsi="Arial"/>
                <w:sz w:val="13"/>
                <w:szCs w:val="13"/>
                <w:color w:val="auto"/>
              </w:rPr>
              <w:t>Total assets measured at fair value</w:t>
            </w:r>
          </w:p>
        </w:tc>
        <w:tc>
          <w:tcPr>
            <w:tcW w:w="4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3"/>
              <w:spacing w:after="0" w:line="13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105,834</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3"/>
              <w:spacing w:after="0" w:line="13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796,539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3"/>
              <w:spacing w:after="0" w:line="13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ind w:left="600"/>
              <w:spacing w:after="0" w:line="132" w:lineRule="exact"/>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3"/>
              <w:spacing w:after="0" w:line="13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902,373</w:t>
            </w:r>
          </w:p>
        </w:tc>
        <w:tc>
          <w:tcPr>
            <w:tcW w:w="2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3"/>
              <w:spacing w:after="0" w:line="13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332,407</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3"/>
              <w:spacing w:after="0" w:line="13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717,085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600"/>
              <w:spacing w:after="0" w:line="132"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4"/>
                <w:szCs w:val="4"/>
                <w:color w:val="auto"/>
                <w:w w:val="87"/>
              </w:rPr>
              <w:t>$</w:t>
            </w:r>
          </w:p>
        </w:tc>
        <w:tc>
          <w:tcPr>
            <w:tcW w:w="7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1,049,492</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740" w:type="dxa"/>
            <w:vAlign w:val="bottom"/>
            <w:gridSpan w:val="2"/>
            <w:vMerge w:val="continue"/>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Contingent consideration</w:t>
            </w:r>
          </w:p>
        </w:tc>
        <w:tc>
          <w:tcPr>
            <w:tcW w:w="640" w:type="dxa"/>
            <w:vAlign w:val="bottom"/>
            <w:gridSpan w:val="2"/>
            <w:shd w:val="clear" w:color="auto" w:fill="CCEEFF"/>
          </w:tcPr>
          <w:p>
            <w:pPr>
              <w:jc w:val="right"/>
              <w:ind w:right="13"/>
              <w:spacing w:after="0" w:line="139"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80"/>
              <w:spacing w:after="0" w:line="13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3"/>
              <w:spacing w:after="0" w:line="139"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3"/>
              <w:spacing w:after="0" w:line="139"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w w:val="97"/>
              </w:rPr>
              <w:t>163,216</w:t>
            </w:r>
          </w:p>
        </w:tc>
        <w:tc>
          <w:tcPr>
            <w:tcW w:w="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33"/>
              <w:spacing w:after="0" w:line="139"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163,216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3"/>
              <w:spacing w:after="0" w:line="139"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3"/>
              <w:spacing w:after="0" w:line="139"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ind w:left="600"/>
              <w:spacing w:after="0" w:line="139"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49"/>
              <w:spacing w:after="0" w:line="139"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w w:val="93"/>
              </w:rPr>
              <w:t>169,717</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169,717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ind w:left="180"/>
              <w:spacing w:after="0" w:line="132" w:lineRule="exact"/>
              <w:rPr>
                <w:sz w:val="20"/>
                <w:szCs w:val="20"/>
                <w:color w:val="auto"/>
              </w:rPr>
            </w:pPr>
            <w:r>
              <w:rPr>
                <w:rFonts w:ascii="Arial" w:cs="Arial" w:eastAsia="Arial" w:hAnsi="Arial"/>
                <w:sz w:val="13"/>
                <w:szCs w:val="13"/>
                <w:color w:val="auto"/>
              </w:rPr>
              <w:t>Total liabilities measured at fair value</w:t>
            </w:r>
          </w:p>
        </w:tc>
        <w:tc>
          <w:tcPr>
            <w:tcW w:w="4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3"/>
              <w:spacing w:after="0" w:line="13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ind w:left="580"/>
              <w:spacing w:after="0" w:line="132"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3"/>
              <w:spacing w:after="0" w:line="13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ind w:left="600"/>
              <w:spacing w:after="0" w:line="132"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3"/>
              <w:spacing w:after="0" w:line="13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ind w:left="260"/>
              <w:spacing w:after="0" w:line="132" w:lineRule="exact"/>
              <w:rPr>
                <w:sz w:val="20"/>
                <w:szCs w:val="20"/>
                <w:color w:val="auto"/>
              </w:rPr>
            </w:pPr>
            <w:r>
              <w:rPr>
                <w:rFonts w:ascii="Arial" w:cs="Arial" w:eastAsia="Arial" w:hAnsi="Arial"/>
                <w:sz w:val="13"/>
                <w:szCs w:val="13"/>
                <w:color w:val="auto"/>
                <w:w w:val="97"/>
              </w:rPr>
              <w:t>163,216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3"/>
              <w:spacing w:after="0" w:line="13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163,216</w:t>
            </w:r>
          </w:p>
        </w:tc>
        <w:tc>
          <w:tcPr>
            <w:tcW w:w="2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3"/>
              <w:spacing w:after="0" w:line="13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ind w:left="600"/>
              <w:spacing w:after="0" w:line="132" w:lineRule="exact"/>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3"/>
              <w:spacing w:after="0" w:line="13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ind w:left="600"/>
              <w:spacing w:after="0" w:line="132" w:lineRule="exact"/>
              <w:rPr>
                <w:sz w:val="20"/>
                <w:szCs w:val="20"/>
                <w:color w:val="auto"/>
              </w:rPr>
            </w:pPr>
            <w:r>
              <w:rPr>
                <w:rFonts w:ascii="Arial" w:cs="Arial" w:eastAsia="Arial" w:hAnsi="Arial"/>
                <w:sz w:val="13"/>
                <w:szCs w:val="13"/>
                <w:color w:val="auto"/>
                <w:w w:val="76"/>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260"/>
              <w:spacing w:after="0" w:line="132" w:lineRule="exact"/>
              <w:rPr>
                <w:sz w:val="20"/>
                <w:szCs w:val="20"/>
                <w:color w:val="auto"/>
              </w:rPr>
            </w:pPr>
            <w:r>
              <w:rPr>
                <w:rFonts w:ascii="Arial" w:cs="Arial" w:eastAsia="Arial" w:hAnsi="Arial"/>
                <w:sz w:val="13"/>
                <w:szCs w:val="13"/>
                <w:color w:val="auto"/>
                <w:w w:val="93"/>
              </w:rPr>
              <w:t>169,717</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4"/>
                <w:szCs w:val="4"/>
                <w:color w:val="auto"/>
                <w:w w:val="87"/>
              </w:rPr>
              <w:t>$</w:t>
            </w:r>
          </w:p>
        </w:tc>
        <w:tc>
          <w:tcPr>
            <w:tcW w:w="7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169,717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classify contingent consideration, which was incurred in connection with the acquisition of Omniome, within Level 3 as factors used to develop the estimate of fair value include unobservable inputs that are not supported by market activity and are significant to the fair value.</w:t>
      </w:r>
    </w:p>
    <w:p>
      <w:pPr>
        <w:spacing w:after="0" w:line="165"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We estimate the fair value of the contingent consideration liability by discounting the probability-weighted outcomes to present value using an estimate of our borrowing rate and the risk-free rate. The potential outcomes of milestone achievement dates are within the period from December 31, 2022 to June 30, 2025. A decrease in the probability of an earlier scenario within this range would result in a decrease in the fair value of the liability. The discount rates used are the sum of the U.S. risk-free rate and the estimated subordinated credit spread for B- and B credit rating, which range from 10.0% to 10.2%. An increase in the discount rates used can also result in the decrease in the fair value of liability, which was the primary factor in the $6.5 million decrease in liability at June 30, 2022. Changes in our estimated subordinated credit spread can result in changes in the fair value of the contingent consideration liability, where a lower credit spread may result in an increased liability valuation.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estimated fair value of the contingent consideration liability for the six months ended June 30, 2022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5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b w:val="1"/>
                <w:bCs w:val="1"/>
                <w:color w:val="auto"/>
              </w:rPr>
              <w:t>Level 3</w:t>
            </w:r>
          </w:p>
        </w:tc>
      </w:tr>
      <w:tr>
        <w:trPr>
          <w:trHeight w:val="144"/>
        </w:trPr>
        <w:tc>
          <w:tcPr>
            <w:tcW w:w="8880" w:type="dxa"/>
            <w:vAlign w:val="bottom"/>
            <w:shd w:val="clear" w:color="auto" w:fill="CCEEFF"/>
          </w:tcPr>
          <w:p>
            <w:pPr>
              <w:ind w:left="20"/>
              <w:spacing w:after="0" w:line="144" w:lineRule="exact"/>
              <w:rPr>
                <w:sz w:val="20"/>
                <w:szCs w:val="20"/>
                <w:color w:val="auto"/>
              </w:rPr>
            </w:pPr>
            <w:r>
              <w:rPr>
                <w:rFonts w:ascii="Arial" w:cs="Arial" w:eastAsia="Arial" w:hAnsi="Arial"/>
                <w:sz w:val="15"/>
                <w:szCs w:val="15"/>
                <w:color w:val="auto"/>
              </w:rPr>
              <w:t>Beginning balance as of December 31, 2021</w:t>
            </w:r>
          </w:p>
        </w:tc>
        <w:tc>
          <w:tcPr>
            <w:tcW w:w="560" w:type="dxa"/>
            <w:vAlign w:val="bottom"/>
            <w:shd w:val="clear" w:color="auto" w:fill="CCEEFF"/>
          </w:tcPr>
          <w:p>
            <w:pPr>
              <w:jc w:val="right"/>
              <w:ind w:right="384"/>
              <w:spacing w:after="0" w:line="144" w:lineRule="exact"/>
              <w:rPr>
                <w:sz w:val="20"/>
                <w:szCs w:val="20"/>
                <w:color w:val="auto"/>
              </w:rPr>
            </w:pPr>
            <w:r>
              <w:rPr>
                <w:rFonts w:ascii="Arial" w:cs="Arial" w:eastAsia="Arial" w:hAnsi="Arial"/>
                <w:sz w:val="15"/>
                <w:szCs w:val="15"/>
                <w:color w:val="auto"/>
                <w:w w:val="95"/>
              </w:rPr>
              <w:t>$</w:t>
            </w:r>
          </w:p>
        </w:tc>
        <w:tc>
          <w:tcPr>
            <w:tcW w:w="180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169,717</w:t>
            </w:r>
          </w:p>
        </w:tc>
      </w:tr>
      <w:tr>
        <w:trPr>
          <w:trHeight w:val="152"/>
        </w:trPr>
        <w:tc>
          <w:tcPr>
            <w:tcW w:w="8880" w:type="dxa"/>
            <w:vAlign w:val="bottom"/>
            <w:tcBorders>
              <w:bottom w:val="single" w:sz="8" w:color="CCEEFF"/>
            </w:tcBorders>
          </w:tcPr>
          <w:p>
            <w:pPr>
              <w:ind w:left="20"/>
              <w:spacing w:after="0" w:line="151" w:lineRule="exact"/>
              <w:rPr>
                <w:sz w:val="20"/>
                <w:szCs w:val="20"/>
                <w:color w:val="auto"/>
              </w:rPr>
            </w:pPr>
            <w:r>
              <w:rPr>
                <w:rFonts w:ascii="Arial" w:cs="Arial" w:eastAsia="Arial" w:hAnsi="Arial"/>
                <w:sz w:val="15"/>
                <w:szCs w:val="15"/>
                <w:color w:val="auto"/>
              </w:rPr>
              <w:t>Change in estimated fair value</w:t>
            </w:r>
          </w:p>
        </w:tc>
        <w:tc>
          <w:tcPr>
            <w:tcW w:w="5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(6,501)</w:t>
            </w:r>
          </w:p>
        </w:tc>
      </w:tr>
      <w:tr>
        <w:trPr>
          <w:trHeight w:val="144"/>
        </w:trPr>
        <w:tc>
          <w:tcPr>
            <w:tcW w:w="888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5"/>
                <w:szCs w:val="15"/>
                <w:color w:val="auto"/>
              </w:rPr>
              <w:t>Ending balance as of June 30, 2022</w:t>
            </w:r>
          </w:p>
        </w:tc>
        <w:tc>
          <w:tcPr>
            <w:tcW w:w="560" w:type="dxa"/>
            <w:vAlign w:val="bottom"/>
            <w:tcBorders>
              <w:bottom w:val="single" w:sz="8" w:color="auto"/>
            </w:tcBorders>
            <w:shd w:val="clear" w:color="auto" w:fill="CCEEFF"/>
          </w:tcPr>
          <w:p>
            <w:pPr>
              <w:jc w:val="right"/>
              <w:ind w:right="384"/>
              <w:spacing w:after="0" w:line="144" w:lineRule="exact"/>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163,216</w:t>
            </w:r>
          </w:p>
        </w:tc>
      </w:tr>
      <w:tr>
        <w:trPr>
          <w:trHeight w:val="20"/>
        </w:trPr>
        <w:tc>
          <w:tcPr>
            <w:tcW w:w="8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rPr>
          <w:sz w:val="20"/>
          <w:szCs w:val="20"/>
          <w:color w:val="auto"/>
        </w:rPr>
      </w:pPr>
      <w:r>
        <w:rPr>
          <w:rFonts w:ascii="Arial" w:cs="Arial" w:eastAsia="Arial" w:hAnsi="Arial"/>
          <w:sz w:val="17"/>
          <w:szCs w:val="17"/>
          <w:color w:val="auto"/>
        </w:rPr>
        <w:t>Changes to the fair value are recorded as the Change in fair value of contingent consideration in the Condensed Consolidated Statement of Operations and Comprehensive Loss.</w:t>
      </w:r>
    </w:p>
    <w:p>
      <w:pPr>
        <w:spacing w:after="0" w:line="165"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For the six months ended June 30, 2022, there were no transfers between Level 1, Level 2, or Level 3 assets or liabilities reported at fair value on a recurring basis, and our valuation techniques did not change compared to the prior year.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cash, cash equivalents and investments as of June 30, 2022 and December 31,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5"/>
                <w:szCs w:val="15"/>
                <w:b w:val="1"/>
                <w:bCs w:val="1"/>
                <w:color w:val="auto"/>
              </w:rPr>
              <w:t>As of June 30, 2022</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5"/>
                <w:szCs w:val="15"/>
                <w:b w:val="1"/>
                <w:bCs w:val="1"/>
                <w:color w:val="auto"/>
                <w:w w:val="95"/>
              </w:rPr>
              <w:t>Amortized</w:t>
            </w:r>
          </w:p>
        </w:tc>
        <w:tc>
          <w:tcPr>
            <w:tcW w:w="1120" w:type="dxa"/>
            <w:vAlign w:val="bottom"/>
          </w:tcPr>
          <w:p>
            <w:pPr>
              <w:ind w:left="500"/>
              <w:spacing w:after="0" w:line="119" w:lineRule="exact"/>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80" w:type="dxa"/>
            <w:vAlign w:val="bottom"/>
          </w:tcPr>
          <w:p>
            <w:pPr>
              <w:spacing w:after="0"/>
              <w:rPr>
                <w:sz w:val="10"/>
                <w:szCs w:val="10"/>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52"/>
        </w:trPr>
        <w:tc>
          <w:tcPr>
            <w:tcW w:w="5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2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120" w:type="dxa"/>
            <w:vAlign w:val="bottom"/>
          </w:tcPr>
          <w:p>
            <w:pPr>
              <w:jc w:val="right"/>
              <w:ind w:right="6"/>
              <w:spacing w:after="0" w:line="151" w:lineRule="exact"/>
              <w:rPr>
                <w:sz w:val="20"/>
                <w:szCs w:val="20"/>
                <w:color w:val="auto"/>
              </w:rPr>
            </w:pPr>
            <w:r>
              <w:rPr>
                <w:rFonts w:ascii="Arial" w:cs="Arial" w:eastAsia="Arial" w:hAnsi="Arial"/>
                <w:sz w:val="15"/>
                <w:szCs w:val="15"/>
                <w:b w:val="1"/>
                <w:bCs w:val="1"/>
                <w:color w:val="auto"/>
              </w:rPr>
              <w:t>unrealized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400"/>
              <w:spacing w:after="0" w:line="151" w:lineRule="exact"/>
              <w:rPr>
                <w:sz w:val="20"/>
                <w:szCs w:val="20"/>
                <w:color w:val="auto"/>
              </w:rPr>
            </w:pPr>
            <w:r>
              <w:rPr>
                <w:rFonts w:ascii="Arial" w:cs="Arial" w:eastAsia="Arial" w:hAnsi="Arial"/>
                <w:sz w:val="15"/>
                <w:szCs w:val="15"/>
                <w:b w:val="1"/>
                <w:bCs w:val="1"/>
                <w:color w:val="auto"/>
                <w:w w:val="91"/>
              </w:rPr>
              <w:t>unrealized</w:t>
            </w:r>
          </w:p>
        </w:tc>
        <w:tc>
          <w:tcPr>
            <w:tcW w:w="2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9"/>
              </w:rPr>
              <w:t>Cost</w:t>
            </w:r>
          </w:p>
        </w:tc>
        <w:tc>
          <w:tcPr>
            <w:tcW w:w="1120" w:type="dxa"/>
            <w:vAlign w:val="bottom"/>
          </w:tcPr>
          <w:p>
            <w:pPr>
              <w:ind w:left="500"/>
              <w:spacing w:after="0"/>
              <w:rPr>
                <w:sz w:val="20"/>
                <w:szCs w:val="20"/>
                <w:color w:val="auto"/>
              </w:rPr>
            </w:pPr>
            <w:r>
              <w:rPr>
                <w:rFonts w:ascii="Arial" w:cs="Arial" w:eastAsia="Arial" w:hAnsi="Arial"/>
                <w:sz w:val="15"/>
                <w:szCs w:val="15"/>
                <w:b w:val="1"/>
                <w:bCs w:val="1"/>
                <w:color w:val="auto"/>
              </w:rPr>
              <w:t>gains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76"/>
              </w:rPr>
              <w:t>losses</w:t>
            </w:r>
          </w:p>
        </w:tc>
        <w:tc>
          <w:tcPr>
            <w:tcW w:w="28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80"/>
              <w:spacing w:after="0" w:line="151" w:lineRule="exact"/>
              <w:rPr>
                <w:sz w:val="20"/>
                <w:szCs w:val="20"/>
                <w:color w:val="auto"/>
              </w:rPr>
            </w:pPr>
            <w:r>
              <w:rPr>
                <w:rFonts w:ascii="Arial" w:cs="Arial" w:eastAsia="Arial" w:hAnsi="Arial"/>
                <w:sz w:val="15"/>
                <w:szCs w:val="15"/>
                <w:color w:val="auto"/>
              </w:rPr>
              <w:t>310,508</w:t>
            </w: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8</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(71)</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310,445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line="151" w:lineRule="exact"/>
              <w:rPr>
                <w:sz w:val="20"/>
                <w:szCs w:val="20"/>
                <w:color w:val="auto"/>
              </w:rPr>
            </w:pPr>
            <w:r>
              <w:rPr>
                <w:rFonts w:ascii="Arial" w:cs="Arial" w:eastAsia="Arial" w:hAnsi="Arial"/>
                <w:sz w:val="15"/>
                <w:szCs w:val="15"/>
                <w:color w:val="auto"/>
              </w:rPr>
              <w:t>Investments: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Commercial paper</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80"/>
              <w:spacing w:after="0" w:line="151" w:lineRule="exact"/>
              <w:rPr>
                <w:sz w:val="20"/>
                <w:szCs w:val="20"/>
                <w:color w:val="auto"/>
              </w:rPr>
            </w:pPr>
            <w:r>
              <w:rPr>
                <w:rFonts w:ascii="Arial" w:cs="Arial" w:eastAsia="Arial" w:hAnsi="Arial"/>
                <w:sz w:val="15"/>
                <w:szCs w:val="15"/>
                <w:color w:val="auto"/>
              </w:rPr>
              <w:t>120,899</w:t>
            </w:r>
          </w:p>
        </w:tc>
        <w:tc>
          <w:tcPr>
            <w:tcW w:w="1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(404)</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120,495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line="151" w:lineRule="exact"/>
              <w:rPr>
                <w:sz w:val="20"/>
                <w:szCs w:val="20"/>
                <w:color w:val="auto"/>
              </w:rPr>
            </w:pPr>
            <w:r>
              <w:rPr>
                <w:rFonts w:ascii="Arial" w:cs="Arial" w:eastAsia="Arial" w:hAnsi="Arial"/>
                <w:sz w:val="15"/>
                <w:szCs w:val="15"/>
                <w:color w:val="auto"/>
              </w:rPr>
              <w:t>Corporate debt securities</w:t>
            </w:r>
          </w:p>
        </w:tc>
        <w:tc>
          <w:tcPr>
            <w:tcW w:w="220" w:type="dxa"/>
            <w:vAlign w:val="bottom"/>
          </w:tcPr>
          <w:p>
            <w:pPr>
              <w:spacing w:after="0"/>
              <w:rPr>
                <w:sz w:val="13"/>
                <w:szCs w:val="13"/>
                <w:color w:val="auto"/>
              </w:rPr>
            </w:pPr>
          </w:p>
        </w:tc>
        <w:tc>
          <w:tcPr>
            <w:tcW w:w="1340" w:type="dxa"/>
            <w:vAlign w:val="bottom"/>
            <w:gridSpan w:val="2"/>
          </w:tcPr>
          <w:p>
            <w:pPr>
              <w:jc w:val="right"/>
              <w:ind w:right="180"/>
              <w:spacing w:after="0" w:line="151" w:lineRule="exact"/>
              <w:rPr>
                <w:sz w:val="20"/>
                <w:szCs w:val="20"/>
                <w:color w:val="auto"/>
              </w:rPr>
            </w:pPr>
            <w:r>
              <w:rPr>
                <w:rFonts w:ascii="Arial" w:cs="Arial" w:eastAsia="Arial" w:hAnsi="Arial"/>
                <w:sz w:val="15"/>
                <w:szCs w:val="15"/>
                <w:color w:val="auto"/>
              </w:rPr>
              <w:t>47,083</w:t>
            </w:r>
          </w:p>
        </w:tc>
        <w:tc>
          <w:tcPr>
            <w:tcW w:w="1120" w:type="dxa"/>
            <w:vAlign w:val="bottom"/>
          </w:tcPr>
          <w:p>
            <w:pPr>
              <w:spacing w:after="0"/>
              <w:rPr>
                <w:sz w:val="13"/>
                <w:szCs w:val="13"/>
                <w:color w:val="auto"/>
              </w:rPr>
            </w:pPr>
          </w:p>
        </w:tc>
        <w:tc>
          <w:tcPr>
            <w:tcW w:w="460" w:type="dxa"/>
            <w:vAlign w:val="bottom"/>
            <w:gridSpan w:val="2"/>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1360" w:type="dxa"/>
            <w:vAlign w:val="bottom"/>
            <w:gridSpan w:val="2"/>
          </w:tcPr>
          <w:p>
            <w:pPr>
              <w:jc w:val="right"/>
              <w:ind w:right="200"/>
              <w:spacing w:after="0" w:line="151" w:lineRule="exact"/>
              <w:rPr>
                <w:sz w:val="20"/>
                <w:szCs w:val="20"/>
                <w:color w:val="auto"/>
              </w:rPr>
            </w:pPr>
            <w:r>
              <w:rPr>
                <w:rFonts w:ascii="Arial" w:cs="Arial" w:eastAsia="Arial" w:hAnsi="Arial"/>
                <w:sz w:val="15"/>
                <w:szCs w:val="15"/>
                <w:color w:val="auto"/>
              </w:rPr>
              <w:t>(273)</w:t>
            </w:r>
          </w:p>
        </w:tc>
        <w:tc>
          <w:tcPr>
            <w:tcW w:w="280" w:type="dxa"/>
            <w:vAlign w:val="bottom"/>
          </w:tcPr>
          <w:p>
            <w:pPr>
              <w:spacing w:after="0"/>
              <w:rPr>
                <w:sz w:val="13"/>
                <w:szCs w:val="13"/>
                <w:color w:val="auto"/>
              </w:rPr>
            </w:pPr>
          </w:p>
        </w:tc>
        <w:tc>
          <w:tcPr>
            <w:tcW w:w="1100" w:type="dxa"/>
            <w:vAlign w:val="bottom"/>
          </w:tcPr>
          <w:p>
            <w:pPr>
              <w:jc w:val="right"/>
              <w:spacing w:after="0" w:line="151" w:lineRule="exact"/>
              <w:rPr>
                <w:sz w:val="20"/>
                <w:szCs w:val="20"/>
                <w:color w:val="auto"/>
              </w:rPr>
            </w:pPr>
            <w:r>
              <w:rPr>
                <w:rFonts w:ascii="Arial" w:cs="Arial" w:eastAsia="Arial" w:hAnsi="Arial"/>
                <w:sz w:val="15"/>
                <w:szCs w:val="15"/>
                <w:color w:val="auto"/>
              </w:rPr>
              <w:t>46,810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U.S. government &amp; agency securities</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426,118</w:t>
            </w: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70</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(4,787)</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421,401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Borders>
              <w:bottom w:val="single" w:sz="8" w:color="CCEEFF"/>
            </w:tcBorders>
          </w:tcPr>
          <w:p>
            <w:pPr>
              <w:ind w:left="180"/>
              <w:spacing w:after="0" w:line="151" w:lineRule="exact"/>
              <w:rPr>
                <w:sz w:val="20"/>
                <w:szCs w:val="20"/>
                <w:color w:val="auto"/>
              </w:rPr>
            </w:pPr>
            <w:r>
              <w:rPr>
                <w:rFonts w:ascii="Arial" w:cs="Arial" w:eastAsia="Arial" w:hAnsi="Arial"/>
                <w:sz w:val="15"/>
                <w:szCs w:val="15"/>
                <w:color w:val="auto"/>
              </w:rPr>
              <w:t>Total investments</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594,100</w:t>
            </w:r>
          </w:p>
        </w:tc>
        <w:tc>
          <w:tcPr>
            <w:tcW w:w="1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70</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(5,464)</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588,706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tcBorders>
              <w:bottom w:val="single" w:sz="8" w:color="CCEEFF"/>
            </w:tcBorders>
            <w:shd w:val="clear" w:color="auto" w:fill="CCEEFF"/>
          </w:tcPr>
          <w:p>
            <w:pPr>
              <w:ind w:left="380"/>
              <w:spacing w:after="0" w:line="144" w:lineRule="exact"/>
              <w:rPr>
                <w:sz w:val="20"/>
                <w:szCs w:val="20"/>
                <w:color w:val="auto"/>
              </w:rPr>
            </w:pPr>
            <w:r>
              <w:rPr>
                <w:rFonts w:ascii="Arial" w:cs="Arial" w:eastAsia="Arial" w:hAnsi="Arial"/>
                <w:sz w:val="15"/>
                <w:szCs w:val="15"/>
                <w:color w:val="auto"/>
              </w:rPr>
              <w:t>Total cash, cash equivalents and investments</w:t>
            </w:r>
          </w:p>
        </w:tc>
        <w:tc>
          <w:tcPr>
            <w:tcW w:w="220" w:type="dxa"/>
            <w:vAlign w:val="bottom"/>
            <w:tcBorders>
              <w:bottom w:val="single" w:sz="8" w:color="auto"/>
            </w:tcBorders>
            <w:shd w:val="clear" w:color="auto" w:fill="CCEEFF"/>
          </w:tcPr>
          <w:p>
            <w:pPr>
              <w:jc w:val="right"/>
              <w:ind w:right="44"/>
              <w:spacing w:after="0" w:line="144" w:lineRule="exact"/>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904,608</w:t>
            </w:r>
          </w:p>
        </w:tc>
        <w:tc>
          <w:tcPr>
            <w:tcW w:w="1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946"/>
              <w:spacing w:after="0" w:line="144" w:lineRule="exact"/>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78</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(5,535)</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4"/>
              <w:spacing w:after="0" w:line="144"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899,151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Short-term restricted cash</w:t>
            </w:r>
          </w:p>
        </w:tc>
        <w:tc>
          <w:tcPr>
            <w:tcW w:w="220" w:type="dxa"/>
            <w:vAlign w:val="bottom"/>
            <w:shd w:val="clear" w:color="auto" w:fill="CCEEFF"/>
          </w:tcPr>
          <w:p>
            <w:pPr>
              <w:jc w:val="right"/>
              <w:ind w:right="64"/>
              <w:spacing w:after="0" w:line="151" w:lineRule="exact"/>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line="151" w:lineRule="exact"/>
              <w:rPr>
                <w:sz w:val="20"/>
                <w:szCs w:val="20"/>
                <w:color w:val="auto"/>
              </w:rPr>
            </w:pPr>
            <w:r>
              <w:rPr>
                <w:rFonts w:ascii="Arial" w:cs="Arial" w:eastAsia="Arial" w:hAnsi="Arial"/>
                <w:sz w:val="15"/>
                <w:szCs w:val="15"/>
                <w:color w:val="auto"/>
              </w:rPr>
              <w:t>300</w:t>
            </w:r>
          </w:p>
        </w:tc>
        <w:tc>
          <w:tcPr>
            <w:tcW w:w="1120" w:type="dxa"/>
            <w:vAlign w:val="bottom"/>
            <w:shd w:val="clear" w:color="auto" w:fill="CCEEFF"/>
          </w:tcPr>
          <w:p>
            <w:pPr>
              <w:jc w:val="right"/>
              <w:ind w:right="966"/>
              <w:spacing w:after="0" w:line="151" w:lineRule="exact"/>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4"/>
              <w:spacing w:after="0" w:line="151"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300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Long-term restricted cash</w:t>
            </w:r>
          </w:p>
        </w:tc>
        <w:tc>
          <w:tcPr>
            <w:tcW w:w="220" w:type="dxa"/>
            <w:vAlign w:val="bottom"/>
            <w:shd w:val="clear" w:color="auto" w:fill="CCEEFF"/>
          </w:tcPr>
          <w:p>
            <w:pPr>
              <w:jc w:val="right"/>
              <w:ind w:right="64"/>
              <w:spacing w:after="0" w:line="151"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2,922</w:t>
            </w: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966"/>
              <w:spacing w:after="0" w:line="151" w:lineRule="exact"/>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4"/>
              <w:spacing w:after="0" w:line="151"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2,922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5"/>
                <w:szCs w:val="15"/>
                <w:b w:val="1"/>
                <w:bCs w:val="1"/>
                <w:color w:val="auto"/>
              </w:rPr>
              <w:t>As of December 31, 2021</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5"/>
                <w:szCs w:val="15"/>
                <w:b w:val="1"/>
                <w:bCs w:val="1"/>
                <w:color w:val="auto"/>
                <w:w w:val="95"/>
              </w:rPr>
              <w:t>Amortized</w:t>
            </w:r>
          </w:p>
        </w:tc>
        <w:tc>
          <w:tcPr>
            <w:tcW w:w="1120" w:type="dxa"/>
            <w:vAlign w:val="bottom"/>
          </w:tcPr>
          <w:p>
            <w:pPr>
              <w:ind w:left="500"/>
              <w:spacing w:after="0" w:line="119" w:lineRule="exact"/>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80" w:type="dxa"/>
            <w:vAlign w:val="bottom"/>
          </w:tcPr>
          <w:p>
            <w:pPr>
              <w:spacing w:after="0"/>
              <w:rPr>
                <w:sz w:val="10"/>
                <w:szCs w:val="10"/>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152"/>
        </w:trPr>
        <w:tc>
          <w:tcPr>
            <w:tcW w:w="5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2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120" w:type="dxa"/>
            <w:vAlign w:val="bottom"/>
          </w:tcPr>
          <w:p>
            <w:pPr>
              <w:jc w:val="right"/>
              <w:ind w:right="6"/>
              <w:spacing w:after="0" w:line="151" w:lineRule="exact"/>
              <w:rPr>
                <w:sz w:val="20"/>
                <w:szCs w:val="20"/>
                <w:color w:val="auto"/>
              </w:rPr>
            </w:pPr>
            <w:r>
              <w:rPr>
                <w:rFonts w:ascii="Arial" w:cs="Arial" w:eastAsia="Arial" w:hAnsi="Arial"/>
                <w:sz w:val="15"/>
                <w:szCs w:val="15"/>
                <w:b w:val="1"/>
                <w:bCs w:val="1"/>
                <w:color w:val="auto"/>
              </w:rPr>
              <w:t>unrealized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400"/>
              <w:spacing w:after="0" w:line="151" w:lineRule="exact"/>
              <w:rPr>
                <w:sz w:val="20"/>
                <w:szCs w:val="20"/>
                <w:color w:val="auto"/>
              </w:rPr>
            </w:pPr>
            <w:r>
              <w:rPr>
                <w:rFonts w:ascii="Arial" w:cs="Arial" w:eastAsia="Arial" w:hAnsi="Arial"/>
                <w:sz w:val="15"/>
                <w:szCs w:val="15"/>
                <w:b w:val="1"/>
                <w:bCs w:val="1"/>
                <w:color w:val="auto"/>
                <w:w w:val="91"/>
              </w:rPr>
              <w:t>unrealized</w:t>
            </w:r>
          </w:p>
        </w:tc>
        <w:tc>
          <w:tcPr>
            <w:tcW w:w="2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9"/>
              </w:rPr>
              <w:t>Cost</w:t>
            </w:r>
          </w:p>
        </w:tc>
        <w:tc>
          <w:tcPr>
            <w:tcW w:w="1120" w:type="dxa"/>
            <w:vAlign w:val="bottom"/>
          </w:tcPr>
          <w:p>
            <w:pPr>
              <w:ind w:left="500"/>
              <w:spacing w:after="0"/>
              <w:rPr>
                <w:sz w:val="20"/>
                <w:szCs w:val="20"/>
                <w:color w:val="auto"/>
              </w:rPr>
            </w:pPr>
            <w:r>
              <w:rPr>
                <w:rFonts w:ascii="Arial" w:cs="Arial" w:eastAsia="Arial" w:hAnsi="Arial"/>
                <w:sz w:val="15"/>
                <w:szCs w:val="15"/>
                <w:b w:val="1"/>
                <w:bCs w:val="1"/>
                <w:color w:val="auto"/>
              </w:rPr>
              <w:t>gains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76"/>
              </w:rPr>
              <w:t>losses</w:t>
            </w:r>
          </w:p>
        </w:tc>
        <w:tc>
          <w:tcPr>
            <w:tcW w:w="28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80"/>
              <w:spacing w:after="0" w:line="151" w:lineRule="exact"/>
              <w:rPr>
                <w:sz w:val="20"/>
                <w:szCs w:val="20"/>
                <w:color w:val="auto"/>
              </w:rPr>
            </w:pPr>
            <w:r>
              <w:rPr>
                <w:rFonts w:ascii="Arial" w:cs="Arial" w:eastAsia="Arial" w:hAnsi="Arial"/>
                <w:sz w:val="15"/>
                <w:szCs w:val="15"/>
                <w:color w:val="auto"/>
              </w:rPr>
              <w:t>460,731</w:t>
            </w:r>
          </w:p>
        </w:tc>
        <w:tc>
          <w:tcPr>
            <w:tcW w:w="1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(5)</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460,725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line="151" w:lineRule="exact"/>
              <w:rPr>
                <w:sz w:val="20"/>
                <w:szCs w:val="20"/>
                <w:color w:val="auto"/>
              </w:rPr>
            </w:pPr>
            <w:r>
              <w:rPr>
                <w:rFonts w:ascii="Arial" w:cs="Arial" w:eastAsia="Arial" w:hAnsi="Arial"/>
                <w:sz w:val="15"/>
                <w:szCs w:val="15"/>
                <w:color w:val="auto"/>
              </w:rPr>
              <w:t>Investments: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Commercial paper</w:t>
            </w:r>
          </w:p>
        </w:tc>
        <w:tc>
          <w:tcPr>
            <w:tcW w:w="2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80"/>
              <w:spacing w:after="0" w:line="151" w:lineRule="exact"/>
              <w:rPr>
                <w:sz w:val="20"/>
                <w:szCs w:val="20"/>
                <w:color w:val="auto"/>
              </w:rPr>
            </w:pPr>
            <w:r>
              <w:rPr>
                <w:rFonts w:ascii="Arial" w:cs="Arial" w:eastAsia="Arial" w:hAnsi="Arial"/>
                <w:sz w:val="15"/>
                <w:szCs w:val="15"/>
                <w:color w:val="auto"/>
              </w:rPr>
              <w:t>187,705</w:t>
            </w:r>
          </w:p>
        </w:tc>
        <w:tc>
          <w:tcPr>
            <w:tcW w:w="1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(73)</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187,632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line="151" w:lineRule="exact"/>
              <w:rPr>
                <w:sz w:val="20"/>
                <w:szCs w:val="20"/>
                <w:color w:val="auto"/>
              </w:rPr>
            </w:pPr>
            <w:r>
              <w:rPr>
                <w:rFonts w:ascii="Arial" w:cs="Arial" w:eastAsia="Arial" w:hAnsi="Arial"/>
                <w:sz w:val="15"/>
                <w:szCs w:val="15"/>
                <w:color w:val="auto"/>
              </w:rPr>
              <w:t>Corporate debt securities</w:t>
            </w:r>
          </w:p>
        </w:tc>
        <w:tc>
          <w:tcPr>
            <w:tcW w:w="220" w:type="dxa"/>
            <w:vAlign w:val="bottom"/>
          </w:tcPr>
          <w:p>
            <w:pPr>
              <w:spacing w:after="0"/>
              <w:rPr>
                <w:sz w:val="13"/>
                <w:szCs w:val="13"/>
                <w:color w:val="auto"/>
              </w:rPr>
            </w:pPr>
          </w:p>
        </w:tc>
        <w:tc>
          <w:tcPr>
            <w:tcW w:w="1340" w:type="dxa"/>
            <w:vAlign w:val="bottom"/>
            <w:gridSpan w:val="2"/>
          </w:tcPr>
          <w:p>
            <w:pPr>
              <w:jc w:val="right"/>
              <w:ind w:right="180"/>
              <w:spacing w:after="0" w:line="151" w:lineRule="exact"/>
              <w:rPr>
                <w:sz w:val="20"/>
                <w:szCs w:val="20"/>
                <w:color w:val="auto"/>
              </w:rPr>
            </w:pPr>
            <w:r>
              <w:rPr>
                <w:rFonts w:ascii="Arial" w:cs="Arial" w:eastAsia="Arial" w:hAnsi="Arial"/>
                <w:sz w:val="15"/>
                <w:szCs w:val="15"/>
                <w:color w:val="auto"/>
              </w:rPr>
              <w:t>8,964</w:t>
            </w:r>
          </w:p>
        </w:tc>
        <w:tc>
          <w:tcPr>
            <w:tcW w:w="1120" w:type="dxa"/>
            <w:vAlign w:val="bottom"/>
          </w:tcPr>
          <w:p>
            <w:pPr>
              <w:spacing w:after="0"/>
              <w:rPr>
                <w:sz w:val="13"/>
                <w:szCs w:val="13"/>
                <w:color w:val="auto"/>
              </w:rPr>
            </w:pPr>
          </w:p>
        </w:tc>
        <w:tc>
          <w:tcPr>
            <w:tcW w:w="260" w:type="dxa"/>
            <w:vAlign w:val="bottom"/>
          </w:tcPr>
          <w:p>
            <w:pPr>
              <w:jc w:val="right"/>
              <w:spacing w:after="0" w:line="151" w:lineRule="exact"/>
              <w:rPr>
                <w:sz w:val="20"/>
                <w:szCs w:val="20"/>
                <w:color w:val="auto"/>
              </w:rPr>
            </w:pPr>
            <w:r>
              <w:rPr>
                <w:rFonts w:ascii="Arial" w:cs="Arial" w:eastAsia="Arial" w:hAnsi="Arial"/>
                <w:sz w:val="15"/>
                <w:szCs w:val="15"/>
                <w:color w:val="auto"/>
              </w:rPr>
              <w:t>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200"/>
              <w:spacing w:after="0" w:line="151" w:lineRule="exact"/>
              <w:rPr>
                <w:sz w:val="20"/>
                <w:szCs w:val="20"/>
                <w:color w:val="auto"/>
              </w:rPr>
            </w:pPr>
            <w:r>
              <w:rPr>
                <w:rFonts w:ascii="Arial" w:cs="Arial" w:eastAsia="Arial" w:hAnsi="Arial"/>
                <w:sz w:val="15"/>
                <w:szCs w:val="15"/>
                <w:color w:val="auto"/>
              </w:rPr>
              <w:t>(5)</w:t>
            </w:r>
          </w:p>
        </w:tc>
        <w:tc>
          <w:tcPr>
            <w:tcW w:w="280" w:type="dxa"/>
            <w:vAlign w:val="bottom"/>
          </w:tcPr>
          <w:p>
            <w:pPr>
              <w:spacing w:after="0"/>
              <w:rPr>
                <w:sz w:val="13"/>
                <w:szCs w:val="13"/>
                <w:color w:val="auto"/>
              </w:rPr>
            </w:pPr>
          </w:p>
        </w:tc>
        <w:tc>
          <w:tcPr>
            <w:tcW w:w="1100" w:type="dxa"/>
            <w:vAlign w:val="bottom"/>
          </w:tcPr>
          <w:p>
            <w:pPr>
              <w:jc w:val="right"/>
              <w:spacing w:after="0" w:line="151" w:lineRule="exact"/>
              <w:rPr>
                <w:sz w:val="20"/>
                <w:szCs w:val="20"/>
                <w:color w:val="auto"/>
              </w:rPr>
            </w:pPr>
            <w:r>
              <w:rPr>
                <w:rFonts w:ascii="Arial" w:cs="Arial" w:eastAsia="Arial" w:hAnsi="Arial"/>
                <w:sz w:val="15"/>
                <w:szCs w:val="15"/>
                <w:color w:val="auto"/>
              </w:rPr>
              <w:t>8,968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U.S. government &amp; agency securities</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388,088</w:t>
            </w:r>
          </w:p>
        </w:tc>
        <w:tc>
          <w:tcPr>
            <w:tcW w:w="18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(1,014)</w:t>
            </w:r>
          </w:p>
        </w:tc>
        <w:tc>
          <w:tcPr>
            <w:tcW w:w="2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387,075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tcBorders>
              <w:bottom w:val="single" w:sz="8" w:color="CCEEFF"/>
            </w:tcBorders>
          </w:tcPr>
          <w:p>
            <w:pPr>
              <w:ind w:left="180"/>
              <w:spacing w:after="0" w:line="144" w:lineRule="exact"/>
              <w:rPr>
                <w:sz w:val="20"/>
                <w:szCs w:val="20"/>
                <w:color w:val="auto"/>
              </w:rPr>
            </w:pPr>
            <w:r>
              <w:rPr>
                <w:rFonts w:ascii="Arial" w:cs="Arial" w:eastAsia="Arial" w:hAnsi="Arial"/>
                <w:sz w:val="15"/>
                <w:szCs w:val="15"/>
                <w:color w:val="auto"/>
              </w:rPr>
              <w:t>Total investments</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584,757</w:t>
            </w: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10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(1,092)</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583,675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tcBorders>
              <w:bottom w:val="single" w:sz="8" w:color="CCEEFF"/>
            </w:tcBorders>
            <w:shd w:val="clear" w:color="auto" w:fill="CCEEFF"/>
          </w:tcPr>
          <w:p>
            <w:pPr>
              <w:ind w:left="380"/>
              <w:spacing w:after="0" w:line="144" w:lineRule="exact"/>
              <w:rPr>
                <w:sz w:val="20"/>
                <w:szCs w:val="20"/>
                <w:color w:val="auto"/>
              </w:rPr>
            </w:pPr>
            <w:r>
              <w:rPr>
                <w:rFonts w:ascii="Arial" w:cs="Arial" w:eastAsia="Arial" w:hAnsi="Arial"/>
                <w:sz w:val="15"/>
                <w:szCs w:val="15"/>
                <w:color w:val="auto"/>
              </w:rPr>
              <w:t>Total cash, cash equivalents and investments</w:t>
            </w:r>
          </w:p>
        </w:tc>
        <w:tc>
          <w:tcPr>
            <w:tcW w:w="220" w:type="dxa"/>
            <w:vAlign w:val="bottom"/>
            <w:tcBorders>
              <w:bottom w:val="single" w:sz="8" w:color="auto"/>
            </w:tcBorders>
            <w:shd w:val="clear" w:color="auto" w:fill="CCEEFF"/>
          </w:tcPr>
          <w:p>
            <w:pPr>
              <w:jc w:val="right"/>
              <w:ind w:right="44"/>
              <w:spacing w:after="0" w:line="144" w:lineRule="exact"/>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1,045,488</w:t>
            </w:r>
          </w:p>
        </w:tc>
        <w:tc>
          <w:tcPr>
            <w:tcW w:w="18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946"/>
              <w:spacing w:after="0" w:line="144" w:lineRule="exact"/>
              <w:rPr>
                <w:sz w:val="20"/>
                <w:szCs w:val="20"/>
                <w:color w:val="auto"/>
              </w:rPr>
            </w:pPr>
            <w:r>
              <w:rPr>
                <w:rFonts w:ascii="Arial" w:cs="Arial" w:eastAsia="Arial" w:hAnsi="Arial"/>
                <w:sz w:val="15"/>
                <w:szCs w:val="15"/>
                <w:color w:val="auto"/>
                <w:w w:val="95"/>
              </w:rPr>
              <w:t>$</w:t>
            </w:r>
          </w:p>
        </w:tc>
        <w:tc>
          <w:tcPr>
            <w:tcW w:w="2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10</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(1,097)</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4"/>
              <w:spacing w:after="0" w:line="144"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1,044,400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Short-term restricted cash</w:t>
            </w:r>
          </w:p>
        </w:tc>
        <w:tc>
          <w:tcPr>
            <w:tcW w:w="220" w:type="dxa"/>
            <w:vAlign w:val="bottom"/>
            <w:shd w:val="clear" w:color="auto" w:fill="CCEEFF"/>
          </w:tcPr>
          <w:p>
            <w:pPr>
              <w:jc w:val="right"/>
              <w:ind w:right="64"/>
              <w:spacing w:after="0" w:line="151" w:lineRule="exact"/>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line="151" w:lineRule="exact"/>
              <w:rPr>
                <w:sz w:val="20"/>
                <w:szCs w:val="20"/>
                <w:color w:val="auto"/>
              </w:rPr>
            </w:pPr>
            <w:r>
              <w:rPr>
                <w:rFonts w:ascii="Arial" w:cs="Arial" w:eastAsia="Arial" w:hAnsi="Arial"/>
                <w:sz w:val="15"/>
                <w:szCs w:val="15"/>
                <w:color w:val="auto"/>
              </w:rPr>
              <w:t>500</w:t>
            </w:r>
          </w:p>
        </w:tc>
        <w:tc>
          <w:tcPr>
            <w:tcW w:w="1120" w:type="dxa"/>
            <w:vAlign w:val="bottom"/>
            <w:shd w:val="clear" w:color="auto" w:fill="CCEEFF"/>
          </w:tcPr>
          <w:p>
            <w:pPr>
              <w:jc w:val="right"/>
              <w:ind w:right="966"/>
              <w:spacing w:after="0" w:line="151" w:lineRule="exact"/>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4"/>
              <w:spacing w:after="0" w:line="151"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500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1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Long-term restricted cash</w:t>
            </w:r>
          </w:p>
        </w:tc>
        <w:tc>
          <w:tcPr>
            <w:tcW w:w="220" w:type="dxa"/>
            <w:vAlign w:val="bottom"/>
            <w:shd w:val="clear" w:color="auto" w:fill="CCEEFF"/>
          </w:tcPr>
          <w:p>
            <w:pPr>
              <w:jc w:val="right"/>
              <w:ind w:right="64"/>
              <w:spacing w:after="0" w:line="151" w:lineRule="exact"/>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line="151" w:lineRule="exact"/>
              <w:rPr>
                <w:sz w:val="20"/>
                <w:szCs w:val="20"/>
                <w:color w:val="auto"/>
              </w:rPr>
            </w:pPr>
            <w:r>
              <w:rPr>
                <w:rFonts w:ascii="Arial" w:cs="Arial" w:eastAsia="Arial" w:hAnsi="Arial"/>
                <w:sz w:val="15"/>
                <w:szCs w:val="15"/>
                <w:color w:val="auto"/>
              </w:rPr>
              <w:t>4,592</w:t>
            </w:r>
          </w:p>
        </w:tc>
        <w:tc>
          <w:tcPr>
            <w:tcW w:w="1120" w:type="dxa"/>
            <w:vAlign w:val="bottom"/>
            <w:shd w:val="clear" w:color="auto" w:fill="CCEEFF"/>
          </w:tcPr>
          <w:p>
            <w:pPr>
              <w:jc w:val="right"/>
              <w:ind w:right="966"/>
              <w:spacing w:after="0" w:line="151" w:lineRule="exact"/>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4"/>
              <w:spacing w:after="0" w:line="151"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4,592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following table summarizes the contractual maturities of our cash equivalents and available-for-sale investments, excluding money market funds, as of June 30,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4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(in thousands)</w:t>
            </w:r>
          </w:p>
        </w:tc>
        <w:tc>
          <w:tcPr>
            <w:tcW w:w="5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924"/>
              <w:spacing w:after="0"/>
              <w:rPr>
                <w:sz w:val="20"/>
                <w:szCs w:val="20"/>
                <w:color w:val="auto"/>
              </w:rPr>
            </w:pPr>
            <w:r>
              <w:rPr>
                <w:rFonts w:ascii="Arial" w:cs="Arial" w:eastAsia="Arial" w:hAnsi="Arial"/>
                <w:sz w:val="15"/>
                <w:szCs w:val="15"/>
                <w:b w:val="1"/>
                <w:bCs w:val="1"/>
                <w:color w:val="auto"/>
              </w:rPr>
              <w:t>Fair Value</w:t>
            </w:r>
          </w:p>
        </w:tc>
      </w:tr>
      <w:tr>
        <w:trPr>
          <w:trHeight w:val="144"/>
        </w:trPr>
        <w:tc>
          <w:tcPr>
            <w:tcW w:w="854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Due in one year or less</w:t>
            </w:r>
          </w:p>
        </w:tc>
        <w:tc>
          <w:tcPr>
            <w:tcW w:w="560" w:type="dxa"/>
            <w:vAlign w:val="bottom"/>
            <w:shd w:val="clear" w:color="auto" w:fill="CCEEFF"/>
          </w:tcPr>
          <w:p>
            <w:pPr>
              <w:jc w:val="right"/>
              <w:ind w:right="384"/>
              <w:spacing w:after="0" w:line="144" w:lineRule="exact"/>
              <w:rPr>
                <w:sz w:val="20"/>
                <w:szCs w:val="20"/>
                <w:color w:val="auto"/>
              </w:rPr>
            </w:pPr>
            <w:r>
              <w:rPr>
                <w:rFonts w:ascii="Arial" w:cs="Arial" w:eastAsia="Arial" w:hAnsi="Arial"/>
                <w:sz w:val="15"/>
                <w:szCs w:val="15"/>
                <w:color w:val="auto"/>
                <w:w w:val="95"/>
              </w:rPr>
              <w:t>$</w:t>
            </w:r>
          </w:p>
        </w:tc>
        <w:tc>
          <w:tcPr>
            <w:tcW w:w="21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687,193</w:t>
            </w:r>
          </w:p>
        </w:tc>
      </w:tr>
      <w:tr>
        <w:trPr>
          <w:trHeight w:val="152"/>
        </w:trPr>
        <w:tc>
          <w:tcPr>
            <w:tcW w:w="8540" w:type="dxa"/>
            <w:vAlign w:val="bottom"/>
            <w:tcBorders>
              <w:bottom w:val="single" w:sz="8" w:color="CCEEFF"/>
            </w:tcBorders>
          </w:tcPr>
          <w:p>
            <w:pPr>
              <w:spacing w:after="0" w:line="151" w:lineRule="exact"/>
              <w:rPr>
                <w:sz w:val="20"/>
                <w:szCs w:val="20"/>
                <w:color w:val="auto"/>
              </w:rPr>
            </w:pPr>
            <w:r>
              <w:rPr>
                <w:rFonts w:ascii="Arial" w:cs="Arial" w:eastAsia="Arial" w:hAnsi="Arial"/>
                <w:sz w:val="15"/>
                <w:szCs w:val="15"/>
                <w:color w:val="auto"/>
              </w:rPr>
              <w:t>Due after one year through five years</w:t>
            </w:r>
          </w:p>
        </w:tc>
        <w:tc>
          <w:tcPr>
            <w:tcW w:w="5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109,346</w:t>
            </w:r>
          </w:p>
        </w:tc>
      </w:tr>
      <w:tr>
        <w:trPr>
          <w:trHeight w:val="144"/>
        </w:trPr>
        <w:tc>
          <w:tcPr>
            <w:tcW w:w="8540" w:type="dxa"/>
            <w:vAlign w:val="bottom"/>
            <w:tcBorders>
              <w:bottom w:val="single" w:sz="8" w:color="CCEEFF"/>
            </w:tcBorders>
            <w:shd w:val="clear" w:color="auto" w:fill="CCEEFF"/>
          </w:tcPr>
          <w:p>
            <w:pPr>
              <w:ind w:left="300"/>
              <w:spacing w:after="0" w:line="144" w:lineRule="exact"/>
              <w:rPr>
                <w:sz w:val="20"/>
                <w:szCs w:val="20"/>
                <w:color w:val="auto"/>
              </w:rPr>
            </w:pPr>
            <w:r>
              <w:rPr>
                <w:rFonts w:ascii="Arial" w:cs="Arial" w:eastAsia="Arial" w:hAnsi="Arial"/>
                <w:sz w:val="15"/>
                <w:szCs w:val="15"/>
                <w:color w:val="auto"/>
              </w:rPr>
              <w:t>Total investments</w:t>
            </w:r>
          </w:p>
        </w:tc>
        <w:tc>
          <w:tcPr>
            <w:tcW w:w="560" w:type="dxa"/>
            <w:vAlign w:val="bottom"/>
            <w:tcBorders>
              <w:bottom w:val="single" w:sz="8" w:color="auto"/>
            </w:tcBorders>
            <w:shd w:val="clear" w:color="auto" w:fill="CCEEFF"/>
          </w:tcPr>
          <w:p>
            <w:pPr>
              <w:jc w:val="right"/>
              <w:ind w:right="384"/>
              <w:spacing w:after="0" w:line="144" w:lineRule="exact"/>
              <w:rPr>
                <w:sz w:val="20"/>
                <w:szCs w:val="20"/>
                <w:color w:val="auto"/>
              </w:rPr>
            </w:pPr>
            <w:r>
              <w:rPr>
                <w:rFonts w:ascii="Arial" w:cs="Arial" w:eastAsia="Arial" w:hAnsi="Arial"/>
                <w:sz w:val="15"/>
                <w:szCs w:val="15"/>
                <w:color w:val="auto"/>
                <w:w w:val="95"/>
              </w:rPr>
              <w:t>$</w:t>
            </w:r>
          </w:p>
        </w:tc>
        <w:tc>
          <w:tcPr>
            <w:tcW w:w="21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796,539</w:t>
            </w:r>
          </w:p>
        </w:tc>
      </w:tr>
      <w:tr>
        <w:trPr>
          <w:trHeight w:val="20"/>
        </w:trPr>
        <w:tc>
          <w:tcPr>
            <w:tcW w:w="8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Actual maturities may differ from contractual maturities because issuers may have the right to call or prepay obligations without call or prepayment penalties.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BALANCE SHEET COMPONENTS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Restricted Cash</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of June 30, 2022 and December 31, 2021, the short-term restricted cash balance was $0.3 million and $0.5 million, respectively, which was comprised of security deposits for the credit cards of employees.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net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and December 31, 2021, our inventory, net, consisted of the following components: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June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4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76"/>
        </w:trPr>
        <w:tc>
          <w:tcPr>
            <w:tcW w:w="802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2022</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Purchased materials</w:t>
            </w:r>
          </w:p>
        </w:tc>
        <w:tc>
          <w:tcPr>
            <w:tcW w:w="1040" w:type="dxa"/>
            <w:vAlign w:val="bottom"/>
            <w:shd w:val="clear" w:color="auto" w:fill="CCEEFF"/>
          </w:tcPr>
          <w:p>
            <w:pPr>
              <w:jc w:val="right"/>
              <w:ind w:right="864"/>
              <w:spacing w:after="0" w:line="144" w:lineRule="exact"/>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44"/>
              <w:spacing w:after="0" w:line="144" w:lineRule="exact"/>
              <w:rPr>
                <w:sz w:val="20"/>
                <w:szCs w:val="20"/>
                <w:color w:val="auto"/>
              </w:rPr>
            </w:pPr>
            <w:r>
              <w:rPr>
                <w:rFonts w:ascii="Arial" w:cs="Arial" w:eastAsia="Arial" w:hAnsi="Arial"/>
                <w:sz w:val="15"/>
                <w:szCs w:val="15"/>
                <w:color w:val="auto"/>
                <w:w w:val="87"/>
              </w:rPr>
              <w:t>15,451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4"/>
              <w:spacing w:after="0" w:line="144"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7,993</w:t>
            </w:r>
          </w:p>
        </w:tc>
        <w:tc>
          <w:tcPr>
            <w:tcW w:w="0" w:type="dxa"/>
            <w:vAlign w:val="bottom"/>
          </w:tcPr>
          <w:p>
            <w:pPr>
              <w:spacing w:after="0"/>
              <w:rPr>
                <w:sz w:val="1"/>
                <w:szCs w:val="1"/>
                <w:color w:val="auto"/>
              </w:rPr>
            </w:pPr>
          </w:p>
        </w:tc>
      </w:tr>
      <w:tr>
        <w:trPr>
          <w:trHeight w:val="152"/>
        </w:trPr>
        <w:tc>
          <w:tcPr>
            <w:tcW w:w="8020" w:type="dxa"/>
            <w:vAlign w:val="bottom"/>
          </w:tcPr>
          <w:p>
            <w:pPr>
              <w:spacing w:after="0" w:line="151" w:lineRule="exact"/>
              <w:rPr>
                <w:sz w:val="20"/>
                <w:szCs w:val="20"/>
                <w:color w:val="auto"/>
              </w:rPr>
            </w:pPr>
            <w:r>
              <w:rPr>
                <w:rFonts w:ascii="Arial" w:cs="Arial" w:eastAsia="Arial" w:hAnsi="Arial"/>
                <w:sz w:val="15"/>
                <w:szCs w:val="15"/>
                <w:color w:val="auto"/>
              </w:rPr>
              <w:t>Work in process</w:t>
            </w:r>
          </w:p>
        </w:tc>
        <w:tc>
          <w:tcPr>
            <w:tcW w:w="1040" w:type="dxa"/>
            <w:vAlign w:val="bottom"/>
          </w:tcPr>
          <w:p>
            <w:pPr>
              <w:spacing w:after="0"/>
              <w:rPr>
                <w:sz w:val="13"/>
                <w:szCs w:val="13"/>
                <w:color w:val="auto"/>
              </w:rPr>
            </w:pPr>
          </w:p>
        </w:tc>
        <w:tc>
          <w:tcPr>
            <w:tcW w:w="540" w:type="dxa"/>
            <w:vAlign w:val="bottom"/>
          </w:tcPr>
          <w:p>
            <w:pPr>
              <w:jc w:val="right"/>
              <w:ind w:right="24"/>
              <w:spacing w:after="0" w:line="151" w:lineRule="exact"/>
              <w:rPr>
                <w:sz w:val="20"/>
                <w:szCs w:val="20"/>
                <w:color w:val="auto"/>
              </w:rPr>
            </w:pPr>
            <w:r>
              <w:rPr>
                <w:rFonts w:ascii="Arial" w:cs="Arial" w:eastAsia="Arial" w:hAnsi="Arial"/>
                <w:sz w:val="15"/>
                <w:szCs w:val="15"/>
                <w:color w:val="auto"/>
                <w:w w:val="91"/>
              </w:rPr>
              <w:t>12,808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4"/>
              <w:spacing w:after="0" w:line="151" w:lineRule="exact"/>
              <w:rPr>
                <w:sz w:val="20"/>
                <w:szCs w:val="20"/>
                <w:color w:val="auto"/>
              </w:rPr>
            </w:pPr>
            <w:r>
              <w:rPr>
                <w:rFonts w:ascii="Arial" w:cs="Arial" w:eastAsia="Arial" w:hAnsi="Arial"/>
                <w:sz w:val="15"/>
                <w:szCs w:val="15"/>
                <w:color w:val="auto"/>
              </w:rPr>
              <w:t>8,611</w:t>
            </w:r>
          </w:p>
        </w:tc>
        <w:tc>
          <w:tcPr>
            <w:tcW w:w="0" w:type="dxa"/>
            <w:vAlign w:val="bottom"/>
          </w:tcPr>
          <w:p>
            <w:pPr>
              <w:spacing w:after="0"/>
              <w:rPr>
                <w:sz w:val="1"/>
                <w:szCs w:val="1"/>
                <w:color w:val="auto"/>
              </w:rPr>
            </w:pPr>
          </w:p>
        </w:tc>
      </w:tr>
      <w:tr>
        <w:trPr>
          <w:trHeight w:val="152"/>
        </w:trPr>
        <w:tc>
          <w:tcPr>
            <w:tcW w:w="802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Finished goods</w:t>
            </w:r>
          </w:p>
        </w:tc>
        <w:tc>
          <w:tcPr>
            <w:tcW w:w="10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4"/>
              <w:spacing w:after="0" w:line="151" w:lineRule="exact"/>
              <w:rPr>
                <w:sz w:val="20"/>
                <w:szCs w:val="20"/>
                <w:color w:val="auto"/>
              </w:rPr>
            </w:pPr>
            <w:r>
              <w:rPr>
                <w:rFonts w:ascii="Arial" w:cs="Arial" w:eastAsia="Arial" w:hAnsi="Arial"/>
                <w:sz w:val="15"/>
                <w:szCs w:val="15"/>
                <w:color w:val="auto"/>
              </w:rPr>
              <w:t>7,862</w:t>
            </w: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7,995</w:t>
            </w:r>
          </w:p>
        </w:tc>
        <w:tc>
          <w:tcPr>
            <w:tcW w:w="0" w:type="dxa"/>
            <w:vAlign w:val="bottom"/>
          </w:tcPr>
          <w:p>
            <w:pPr>
              <w:spacing w:after="0"/>
              <w:rPr>
                <w:sz w:val="1"/>
                <w:szCs w:val="1"/>
                <w:color w:val="auto"/>
              </w:rPr>
            </w:pPr>
          </w:p>
        </w:tc>
      </w:tr>
      <w:tr>
        <w:trPr>
          <w:trHeight w:val="144"/>
        </w:trPr>
        <w:tc>
          <w:tcPr>
            <w:tcW w:w="8020" w:type="dxa"/>
            <w:vAlign w:val="bottom"/>
          </w:tcPr>
          <w:p>
            <w:pPr>
              <w:ind w:left="520"/>
              <w:spacing w:after="0" w:line="144" w:lineRule="exact"/>
              <w:rPr>
                <w:sz w:val="20"/>
                <w:szCs w:val="20"/>
                <w:color w:val="auto"/>
              </w:rPr>
            </w:pPr>
            <w:r>
              <w:rPr>
                <w:rFonts w:ascii="Arial" w:cs="Arial" w:eastAsia="Arial" w:hAnsi="Arial"/>
                <w:sz w:val="15"/>
                <w:szCs w:val="15"/>
                <w:color w:val="auto"/>
              </w:rPr>
              <w:t>Inventory</w:t>
            </w:r>
          </w:p>
        </w:tc>
        <w:tc>
          <w:tcPr>
            <w:tcW w:w="1040" w:type="dxa"/>
            <w:vAlign w:val="bottom"/>
            <w:tcBorders>
              <w:bottom w:val="single" w:sz="8" w:color="auto"/>
            </w:tcBorders>
          </w:tcPr>
          <w:p>
            <w:pPr>
              <w:jc w:val="right"/>
              <w:ind w:right="864"/>
              <w:spacing w:after="0" w:line="144" w:lineRule="exact"/>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ind w:right="44"/>
              <w:spacing w:after="0" w:line="144" w:lineRule="exact"/>
              <w:rPr>
                <w:sz w:val="20"/>
                <w:szCs w:val="20"/>
                <w:color w:val="auto"/>
              </w:rPr>
            </w:pPr>
            <w:r>
              <w:rPr>
                <w:rFonts w:ascii="Arial" w:cs="Arial" w:eastAsia="Arial" w:hAnsi="Arial"/>
                <w:sz w:val="15"/>
                <w:szCs w:val="15"/>
                <w:color w:val="auto"/>
                <w:w w:val="87"/>
              </w:rPr>
              <w:t>36,121</w:t>
            </w: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44"/>
              <w:spacing w:after="0" w:line="144"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24"/>
              <w:spacing w:after="0" w:line="144" w:lineRule="exact"/>
              <w:rPr>
                <w:sz w:val="20"/>
                <w:szCs w:val="20"/>
                <w:color w:val="auto"/>
              </w:rPr>
            </w:pPr>
            <w:r>
              <w:rPr>
                <w:rFonts w:ascii="Arial" w:cs="Arial" w:eastAsia="Arial" w:hAnsi="Arial"/>
                <w:sz w:val="15"/>
                <w:szCs w:val="15"/>
                <w:color w:val="auto"/>
              </w:rPr>
              <w:t>24,599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Restricted Cash</w:t>
      </w:r>
    </w:p>
    <w:p>
      <w:pPr>
        <w:spacing w:after="0" w:line="158"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For our facility located at 1305 O’Brien Drive, Menlo Park, California (the “O’Brien Lease”), we were required to establish a letter of credit for the benefit of the landlord and to submit $4.5 million as a deposit for the letter of credit in October 2015. Subsequently, pursuant to the terms of the O’Brien Lease, beginning on May 1, 2019, the amount of the letter of credit was reduced by $0.5 million each year thereafter on May 1. As such, $2.5 million and $3.0 million was recorded in long-term restricted cash related to the O’Brien Lease in the Condensed Consolidated Balance Sheets as of June 30, 2022 and December 31, 2021, respectively. In connection with the acquisition of Omniome in September 2021, we acquired $1.6 million of long-term restricted cash related to a letter of credit established for a facility lease. Long-term restricted cash related to this facility was $0 and $1.6 million in the Condensed Consolidated Balance Sheets as of June 30, 2022 and December 31, 2021, respectively. At June 30, 2022, we had an additional $0.4 million in long-term restricted cash primarily related to a letter of credit established for a facility lease.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and Goodwill</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Intangible assets include acquired in-process research and development (IPR&amp;D) of $400 million as a result of the Omniome acquisition in September 2021. The IPR&amp;D will remain on our consolidated balance sheet as an indefinite-lived intangible asset until the completion or abandonment of the associated research and development activities. During the development period following the acquisition, IPR&amp;D will not be amortized, but instead will be tested for impairment annually and more frequently if events or changes in circumstances indicate that it is more likely than not that the asset is impaired. Upon completion of the development, we will begin to amortize the asset over the life of the product, or record an impairment charge if the asset is determined to be impaired.</w:t>
      </w:r>
    </w:p>
    <w:p>
      <w:pPr>
        <w:spacing w:after="0"/>
        <w:rPr>
          <w:sz w:val="20"/>
          <w:szCs w:val="20"/>
          <w:color w:val="auto"/>
        </w:rPr>
      </w:pPr>
      <w:r>
        <w:rPr>
          <w:rFonts w:ascii="Arial" w:cs="Arial" w:eastAsia="Arial" w:hAnsi="Arial"/>
          <w:sz w:val="17"/>
          <w:szCs w:val="17"/>
          <w:color w:val="auto"/>
        </w:rPr>
        <w:t>In addition to IPR&amp;D, we had the following definite-lived intangible assets from business acquisitions (in thousands, except years):</w:t>
      </w:r>
    </w:p>
    <w:tbl>
      <w:tblPr>
        <w:tblLayout w:type="fixed"/>
        <w:tblInd w:w="0" w:type="dxa"/>
        <w:tblCellMar>
          <w:top w:w="0" w:type="dxa"/>
          <w:left w:w="0" w:type="dxa"/>
          <w:bottom w:w="0" w:type="dxa"/>
          <w:right w:w="0" w:type="dxa"/>
        </w:tblCellMar>
      </w:tblPr>
      <w:tr>
        <w:trPr>
          <w:trHeight w:val="169"/>
        </w:trPr>
        <w:tc>
          <w:tcPr>
            <w:tcW w:w="2680" w:type="dxa"/>
            <w:vAlign w:val="bottom"/>
          </w:tcPr>
          <w:p>
            <w:pPr>
              <w:spacing w:after="0"/>
              <w:rPr>
                <w:sz w:val="14"/>
                <w:szCs w:val="14"/>
                <w:color w:val="auto"/>
              </w:rPr>
            </w:pPr>
          </w:p>
        </w:tc>
        <w:tc>
          <w:tcPr>
            <w:tcW w:w="1540" w:type="dxa"/>
            <w:vAlign w:val="bottom"/>
            <w:gridSpan w:val="2"/>
            <w:vMerge w:val="restart"/>
          </w:tcPr>
          <w:p>
            <w:pPr>
              <w:jc w:val="center"/>
              <w:ind w:right="560"/>
              <w:spacing w:after="0"/>
              <w:rPr>
                <w:sz w:val="20"/>
                <w:szCs w:val="20"/>
                <w:color w:val="auto"/>
              </w:rPr>
            </w:pPr>
            <w:r>
              <w:rPr>
                <w:rFonts w:ascii="Arial" w:cs="Arial" w:eastAsia="Arial" w:hAnsi="Arial"/>
                <w:sz w:val="15"/>
                <w:szCs w:val="15"/>
                <w:b w:val="1"/>
                <w:bCs w:val="1"/>
                <w:color w:val="auto"/>
                <w:w w:val="91"/>
              </w:rPr>
              <w:t>Estimated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line="169" w:lineRule="exact"/>
              <w:rPr>
                <w:sz w:val="20"/>
                <w:szCs w:val="20"/>
                <w:color w:val="auto"/>
              </w:rPr>
            </w:pPr>
            <w:r>
              <w:rPr>
                <w:rFonts w:ascii="Arial" w:cs="Arial" w:eastAsia="Arial" w:hAnsi="Arial"/>
                <w:sz w:val="15"/>
                <w:szCs w:val="15"/>
                <w:b w:val="1"/>
                <w:bCs w:val="1"/>
                <w:color w:val="auto"/>
                <w:w w:val="90"/>
              </w:rPr>
              <w:t>As of June 30, 2022</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606"/>
              <w:spacing w:after="0" w:line="169" w:lineRule="exact"/>
              <w:rPr>
                <w:sz w:val="20"/>
                <w:szCs w:val="20"/>
                <w:color w:val="auto"/>
              </w:rPr>
            </w:pPr>
            <w:r>
              <w:rPr>
                <w:rFonts w:ascii="Arial" w:cs="Arial" w:eastAsia="Arial" w:hAnsi="Arial"/>
                <w:sz w:val="15"/>
                <w:szCs w:val="15"/>
                <w:b w:val="1"/>
                <w:bCs w:val="1"/>
                <w:color w:val="auto"/>
                <w:w w:val="90"/>
              </w:rPr>
              <w:t>As of December 31, 2021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6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66"/>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1"/>
              </w:rPr>
              <w:t>Accumulated</w:t>
            </w:r>
          </w:p>
        </w:tc>
        <w:tc>
          <w:tcPr>
            <w:tcW w:w="140" w:type="dxa"/>
            <w:vAlign w:val="bottom"/>
          </w:tcPr>
          <w:p>
            <w:pPr>
              <w:spacing w:after="0"/>
              <w:rPr>
                <w:sz w:val="10"/>
                <w:szCs w:val="10"/>
                <w:color w:val="auto"/>
              </w:rPr>
            </w:pPr>
          </w:p>
        </w:tc>
        <w:tc>
          <w:tcPr>
            <w:tcW w:w="820" w:type="dxa"/>
            <w:vAlign w:val="bottom"/>
          </w:tcPr>
          <w:p>
            <w:pPr>
              <w:jc w:val="center"/>
              <w:ind w:right="46"/>
              <w:spacing w:after="0" w:line="119" w:lineRule="exact"/>
              <w:rPr>
                <w:sz w:val="20"/>
                <w:szCs w:val="20"/>
                <w:color w:val="auto"/>
              </w:rPr>
            </w:pPr>
            <w:r>
              <w:rPr>
                <w:rFonts w:ascii="Arial" w:cs="Arial" w:eastAsia="Arial" w:hAnsi="Arial"/>
                <w:sz w:val="13"/>
                <w:szCs w:val="13"/>
                <w:b w:val="1"/>
                <w:bCs w:val="1"/>
                <w:color w:val="auto"/>
              </w:rPr>
              <w:t>Net</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160" w:type="dxa"/>
            <w:vAlign w:val="bottom"/>
          </w:tcPr>
          <w:p>
            <w:pPr>
              <w:spacing w:after="0"/>
              <w:rPr>
                <w:sz w:val="10"/>
                <w:szCs w:val="10"/>
                <w:color w:val="auto"/>
              </w:rPr>
            </w:pPr>
          </w:p>
        </w:tc>
        <w:tc>
          <w:tcPr>
            <w:tcW w:w="800" w:type="dxa"/>
            <w:vAlign w:val="bottom"/>
          </w:tcPr>
          <w:p>
            <w:pPr>
              <w:jc w:val="center"/>
              <w:ind w:right="66"/>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540" w:type="dxa"/>
            <w:vAlign w:val="bottom"/>
            <w:gridSpan w:val="2"/>
          </w:tcPr>
          <w:p>
            <w:pPr>
              <w:jc w:val="center"/>
              <w:ind w:right="520"/>
              <w:spacing w:after="0" w:line="151" w:lineRule="exact"/>
              <w:rPr>
                <w:sz w:val="20"/>
                <w:szCs w:val="20"/>
                <w:color w:val="auto"/>
              </w:rPr>
            </w:pPr>
            <w:r>
              <w:rPr>
                <w:rFonts w:ascii="Arial" w:cs="Arial" w:eastAsia="Arial" w:hAnsi="Arial"/>
                <w:sz w:val="15"/>
                <w:szCs w:val="15"/>
                <w:b w:val="1"/>
                <w:bCs w:val="1"/>
                <w:color w:val="auto"/>
                <w:w w:val="91"/>
              </w:rPr>
              <w:t>Useful Life</w:t>
            </w:r>
          </w:p>
        </w:tc>
        <w:tc>
          <w:tcPr>
            <w:tcW w:w="140" w:type="dxa"/>
            <w:vAlign w:val="bottom"/>
          </w:tcPr>
          <w:p>
            <w:pPr>
              <w:spacing w:after="0"/>
              <w:rPr>
                <w:sz w:val="13"/>
                <w:szCs w:val="13"/>
                <w:color w:val="auto"/>
              </w:rPr>
            </w:pPr>
          </w:p>
        </w:tc>
        <w:tc>
          <w:tcPr>
            <w:tcW w:w="820" w:type="dxa"/>
            <w:vAlign w:val="bottom"/>
          </w:tcPr>
          <w:p>
            <w:pPr>
              <w:jc w:val="center"/>
              <w:ind w:right="66"/>
              <w:spacing w:after="0" w:line="151" w:lineRule="exact"/>
              <w:rPr>
                <w:sz w:val="20"/>
                <w:szCs w:val="20"/>
                <w:color w:val="auto"/>
              </w:rPr>
            </w:pPr>
            <w:r>
              <w:rPr>
                <w:rFonts w:ascii="Arial" w:cs="Arial" w:eastAsia="Arial" w:hAnsi="Arial"/>
                <w:sz w:val="15"/>
                <w:szCs w:val="15"/>
                <w:b w:val="1"/>
                <w:bCs w:val="1"/>
                <w:color w:val="auto"/>
                <w:w w:val="97"/>
              </w:rPr>
              <w:t>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660"/>
              <w:spacing w:after="0" w:line="151" w:lineRule="exact"/>
              <w:rPr>
                <w:sz w:val="20"/>
                <w:szCs w:val="20"/>
                <w:color w:val="auto"/>
              </w:rPr>
            </w:pPr>
            <w:r>
              <w:rPr>
                <w:rFonts w:ascii="Arial" w:cs="Arial" w:eastAsia="Arial" w:hAnsi="Arial"/>
                <w:sz w:val="15"/>
                <w:szCs w:val="15"/>
                <w:b w:val="1"/>
                <w:bCs w:val="1"/>
                <w:color w:val="auto"/>
                <w:w w:val="97"/>
              </w:rPr>
              <w:t>Carrying</w:t>
            </w: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7"/>
              </w:rPr>
              <w:t>Carrying</w:t>
            </w: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86"/>
              <w:spacing w:after="0" w:line="151" w:lineRule="exact"/>
              <w:rPr>
                <w:sz w:val="20"/>
                <w:szCs w:val="20"/>
                <w:color w:val="auto"/>
              </w:rPr>
            </w:pPr>
            <w:r>
              <w:rPr>
                <w:rFonts w:ascii="Arial" w:cs="Arial" w:eastAsia="Arial" w:hAnsi="Arial"/>
                <w:sz w:val="15"/>
                <w:szCs w:val="15"/>
                <w:b w:val="1"/>
                <w:bCs w:val="1"/>
                <w:color w:val="auto"/>
                <w:w w:val="97"/>
              </w:rPr>
              <w:t>Carrying</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2"/>
              </w:rPr>
              <w:t>(in years)</w:t>
            </w:r>
          </w:p>
        </w:tc>
        <w:tc>
          <w:tcPr>
            <w:tcW w:w="140" w:type="dxa"/>
            <w:vAlign w:val="bottom"/>
          </w:tcPr>
          <w:p>
            <w:pPr>
              <w:spacing w:after="0"/>
              <w:rPr>
                <w:sz w:val="15"/>
                <w:szCs w:val="15"/>
                <w:color w:val="auto"/>
              </w:rPr>
            </w:pPr>
          </w:p>
        </w:tc>
        <w:tc>
          <w:tcPr>
            <w:tcW w:w="820" w:type="dxa"/>
            <w:vAlign w:val="bottom"/>
          </w:tcPr>
          <w:p>
            <w:pPr>
              <w:jc w:val="center"/>
              <w:ind w:right="66"/>
              <w:spacing w:after="0"/>
              <w:rPr>
                <w:sz w:val="20"/>
                <w:szCs w:val="20"/>
                <w:color w:val="auto"/>
              </w:rPr>
            </w:pPr>
            <w:r>
              <w:rPr>
                <w:rFonts w:ascii="Arial" w:cs="Arial" w:eastAsia="Arial" w:hAnsi="Arial"/>
                <w:sz w:val="15"/>
                <w:szCs w:val="15"/>
                <w:b w:val="1"/>
                <w:bCs w:val="1"/>
                <w:color w:val="auto"/>
                <w:w w:val="91"/>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Amortization</w:t>
            </w:r>
          </w:p>
        </w:tc>
        <w:tc>
          <w:tcPr>
            <w:tcW w:w="140" w:type="dxa"/>
            <w:vAlign w:val="bottom"/>
          </w:tcPr>
          <w:p>
            <w:pPr>
              <w:spacing w:after="0"/>
              <w:rPr>
                <w:sz w:val="15"/>
                <w:szCs w:val="15"/>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5"/>
                <w:szCs w:val="15"/>
                <w:b w:val="1"/>
                <w:bCs w:val="1"/>
                <w:color w:val="auto"/>
                <w:w w:val="95"/>
              </w:rPr>
              <w:t>Amount</w:t>
            </w: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Amortization</w:t>
            </w:r>
          </w:p>
        </w:tc>
        <w:tc>
          <w:tcPr>
            <w:tcW w:w="160" w:type="dxa"/>
            <w:vAlign w:val="bottom"/>
          </w:tcPr>
          <w:p>
            <w:pPr>
              <w:spacing w:after="0"/>
              <w:rPr>
                <w:sz w:val="15"/>
                <w:szCs w:val="15"/>
                <w:color w:val="auto"/>
              </w:rPr>
            </w:pPr>
          </w:p>
        </w:tc>
        <w:tc>
          <w:tcPr>
            <w:tcW w:w="800" w:type="dxa"/>
            <w:vAlign w:val="bottom"/>
          </w:tcPr>
          <w:p>
            <w:pPr>
              <w:jc w:val="center"/>
              <w:ind w:right="66"/>
              <w:spacing w:after="0"/>
              <w:rPr>
                <w:sz w:val="20"/>
                <w:szCs w:val="20"/>
                <w:color w:val="auto"/>
              </w:rPr>
            </w:pPr>
            <w:r>
              <w:rPr>
                <w:rFonts w:ascii="Arial" w:cs="Arial" w:eastAsia="Arial" w:hAnsi="Arial"/>
                <w:sz w:val="15"/>
                <w:szCs w:val="15"/>
                <w:b w:val="1"/>
                <w:bCs w:val="1"/>
                <w:color w:val="auto"/>
                <w:w w:val="95"/>
              </w:rPr>
              <w:t>Amount</w:t>
            </w:r>
          </w:p>
        </w:tc>
        <w:tc>
          <w:tcPr>
            <w:tcW w:w="0" w:type="dxa"/>
            <w:vAlign w:val="bottom"/>
          </w:tcPr>
          <w:p>
            <w:pPr>
              <w:spacing w:after="0"/>
              <w:rPr>
                <w:sz w:val="1"/>
                <w:szCs w:val="1"/>
                <w:color w:val="auto"/>
              </w:rPr>
            </w:pPr>
          </w:p>
        </w:tc>
      </w:tr>
      <w:tr>
        <w:trPr>
          <w:trHeight w:val="144"/>
        </w:trPr>
        <w:tc>
          <w:tcPr>
            <w:tcW w:w="2680" w:type="dxa"/>
            <w:vAlign w:val="bottom"/>
            <w:tcBorders>
              <w:top w:val="single" w:sz="8" w:color="CCEEFF"/>
            </w:tcBorders>
            <w:shd w:val="clear" w:color="auto" w:fill="CCEEFF"/>
          </w:tcPr>
          <w:p>
            <w:pPr>
              <w:jc w:val="center"/>
              <w:ind w:right="1244"/>
              <w:spacing w:after="0" w:line="144" w:lineRule="exact"/>
              <w:rPr>
                <w:sz w:val="20"/>
                <w:szCs w:val="20"/>
                <w:color w:val="auto"/>
              </w:rPr>
            </w:pPr>
            <w:r>
              <w:rPr>
                <w:rFonts w:ascii="Arial" w:cs="Arial" w:eastAsia="Arial" w:hAnsi="Arial"/>
                <w:sz w:val="15"/>
                <w:szCs w:val="15"/>
                <w:color w:val="auto"/>
                <w:w w:val="91"/>
              </w:rPr>
              <w:t>Developed technology</w:t>
            </w:r>
          </w:p>
        </w:tc>
        <w:tc>
          <w:tcPr>
            <w:tcW w:w="1020" w:type="dxa"/>
            <w:vAlign w:val="bottom"/>
            <w:tcBorders>
              <w:top w:val="single" w:sz="8" w:color="auto"/>
            </w:tcBorders>
            <w:shd w:val="clear" w:color="auto" w:fill="CCEEFF"/>
          </w:tcPr>
          <w:p>
            <w:pPr>
              <w:jc w:val="right"/>
              <w:ind w:right="364"/>
              <w:spacing w:after="0" w:line="144" w:lineRule="exact"/>
              <w:rPr>
                <w:sz w:val="20"/>
                <w:szCs w:val="20"/>
                <w:color w:val="auto"/>
              </w:rPr>
            </w:pPr>
            <w:r>
              <w:rPr>
                <w:rFonts w:ascii="Arial" w:cs="Arial" w:eastAsia="Arial" w:hAnsi="Arial"/>
                <w:sz w:val="15"/>
                <w:szCs w:val="15"/>
                <w:color w:val="auto"/>
              </w:rPr>
              <w:t>15</w:t>
            </w:r>
          </w:p>
        </w:tc>
        <w:tc>
          <w:tcPr>
            <w:tcW w:w="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26"/>
              <w:spacing w:after="0" w:line="144" w:lineRule="exact"/>
              <w:rPr>
                <w:sz w:val="20"/>
                <w:szCs w:val="20"/>
                <w:color w:val="auto"/>
              </w:rPr>
            </w:pPr>
            <w:r>
              <w:rPr>
                <w:rFonts w:ascii="Arial" w:cs="Arial" w:eastAsia="Arial" w:hAnsi="Arial"/>
                <w:sz w:val="15"/>
                <w:szCs w:val="15"/>
                <w:color w:val="auto"/>
              </w:rPr>
              <w:t>11,000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(672)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26"/>
              <w:spacing w:after="0" w:line="144" w:lineRule="exact"/>
              <w:rPr>
                <w:sz w:val="20"/>
                <w:szCs w:val="20"/>
                <w:color w:val="auto"/>
              </w:rPr>
            </w:pPr>
            <w:r>
              <w:rPr>
                <w:rFonts w:ascii="Arial" w:cs="Arial" w:eastAsia="Arial" w:hAnsi="Arial"/>
                <w:sz w:val="15"/>
                <w:szCs w:val="15"/>
                <w:color w:val="auto"/>
              </w:rPr>
              <w:t>10,328</w:t>
            </w:r>
          </w:p>
        </w:tc>
        <w:tc>
          <w:tcPr>
            <w:tcW w:w="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26"/>
              <w:spacing w:after="0" w:line="144" w:lineRule="exact"/>
              <w:rPr>
                <w:sz w:val="20"/>
                <w:szCs w:val="20"/>
                <w:color w:val="auto"/>
              </w:rPr>
            </w:pPr>
            <w:r>
              <w:rPr>
                <w:rFonts w:ascii="Arial" w:cs="Arial" w:eastAsia="Arial" w:hAnsi="Arial"/>
                <w:sz w:val="15"/>
                <w:szCs w:val="15"/>
                <w:color w:val="auto"/>
              </w:rPr>
              <w:t>11,000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(306)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26"/>
              <w:spacing w:after="0" w:line="144" w:lineRule="exact"/>
              <w:rPr>
                <w:sz w:val="20"/>
                <w:szCs w:val="20"/>
                <w:color w:val="auto"/>
              </w:rPr>
            </w:pPr>
            <w:r>
              <w:rPr>
                <w:rFonts w:ascii="Arial" w:cs="Arial" w:eastAsia="Arial" w:hAnsi="Arial"/>
                <w:sz w:val="15"/>
                <w:szCs w:val="15"/>
                <w:color w:val="auto"/>
              </w:rPr>
              <w:t>10,694</w:t>
            </w:r>
          </w:p>
        </w:tc>
        <w:tc>
          <w:tcPr>
            <w:tcW w:w="0" w:type="dxa"/>
            <w:vAlign w:val="bottom"/>
          </w:tcPr>
          <w:p>
            <w:pPr>
              <w:spacing w:after="0"/>
              <w:rPr>
                <w:sz w:val="1"/>
                <w:szCs w:val="1"/>
                <w:color w:val="auto"/>
              </w:rPr>
            </w:pPr>
          </w:p>
        </w:tc>
      </w:tr>
      <w:tr>
        <w:trPr>
          <w:trHeight w:val="152"/>
        </w:trPr>
        <w:tc>
          <w:tcPr>
            <w:tcW w:w="2680" w:type="dxa"/>
            <w:vAlign w:val="bottom"/>
            <w:tcBorders>
              <w:bottom w:val="single" w:sz="8" w:color="CCEEFF"/>
            </w:tcBorders>
          </w:tcPr>
          <w:p>
            <w:pPr>
              <w:jc w:val="center"/>
              <w:ind w:right="1204"/>
              <w:spacing w:after="0" w:line="151" w:lineRule="exact"/>
              <w:rPr>
                <w:sz w:val="20"/>
                <w:szCs w:val="20"/>
                <w:color w:val="auto"/>
              </w:rPr>
            </w:pPr>
            <w:r>
              <w:rPr>
                <w:rFonts w:ascii="Arial" w:cs="Arial" w:eastAsia="Arial" w:hAnsi="Arial"/>
                <w:sz w:val="15"/>
                <w:szCs w:val="15"/>
                <w:color w:val="auto"/>
                <w:w w:val="91"/>
              </w:rPr>
              <w:t>Customer relationships</w:t>
            </w:r>
          </w:p>
        </w:tc>
        <w:tc>
          <w:tcPr>
            <w:tcW w:w="1020" w:type="dxa"/>
            <w:vAlign w:val="bottom"/>
            <w:tcBorders>
              <w:bottom w:val="single" w:sz="8" w:color="CCEEFF"/>
            </w:tcBorders>
          </w:tcPr>
          <w:p>
            <w:pPr>
              <w:jc w:val="right"/>
              <w:ind w:right="404"/>
              <w:spacing w:after="0" w:line="151" w:lineRule="exact"/>
              <w:rPr>
                <w:sz w:val="20"/>
                <w:szCs w:val="20"/>
                <w:color w:val="auto"/>
              </w:rPr>
            </w:pPr>
            <w:r>
              <w:rPr>
                <w:rFonts w:ascii="Arial" w:cs="Arial" w:eastAsia="Arial" w:hAnsi="Arial"/>
                <w:sz w:val="15"/>
                <w:szCs w:val="15"/>
                <w:color w:val="auto"/>
              </w:rPr>
              <w:t>2</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
              <w:spacing w:after="0" w:line="151" w:lineRule="exact"/>
              <w:rPr>
                <w:sz w:val="20"/>
                <w:szCs w:val="20"/>
                <w:color w:val="auto"/>
              </w:rPr>
            </w:pPr>
            <w:r>
              <w:rPr>
                <w:rFonts w:ascii="Arial" w:cs="Arial" w:eastAsia="Arial" w:hAnsi="Arial"/>
                <w:sz w:val="15"/>
                <w:szCs w:val="15"/>
                <w:color w:val="auto"/>
              </w:rPr>
              <w:t>360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4"/>
              <w:spacing w:after="0" w:line="151" w:lineRule="exact"/>
              <w:rPr>
                <w:sz w:val="20"/>
                <w:szCs w:val="20"/>
                <w:color w:val="auto"/>
              </w:rPr>
            </w:pPr>
            <w:r>
              <w:rPr>
                <w:rFonts w:ascii="Arial" w:cs="Arial" w:eastAsia="Arial" w:hAnsi="Arial"/>
                <w:sz w:val="15"/>
                <w:szCs w:val="15"/>
                <w:color w:val="auto"/>
              </w:rPr>
              <w:t>(165)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
              <w:spacing w:after="0" w:line="151" w:lineRule="exact"/>
              <w:rPr>
                <w:sz w:val="20"/>
                <w:szCs w:val="20"/>
                <w:color w:val="auto"/>
              </w:rPr>
            </w:pPr>
            <w:r>
              <w:rPr>
                <w:rFonts w:ascii="Arial" w:cs="Arial" w:eastAsia="Arial" w:hAnsi="Arial"/>
                <w:sz w:val="15"/>
                <w:szCs w:val="15"/>
                <w:color w:val="auto"/>
              </w:rPr>
              <w:t>195</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
              <w:spacing w:after="0" w:line="151" w:lineRule="exact"/>
              <w:rPr>
                <w:sz w:val="20"/>
                <w:szCs w:val="20"/>
                <w:color w:val="auto"/>
              </w:rPr>
            </w:pPr>
            <w:r>
              <w:rPr>
                <w:rFonts w:ascii="Arial" w:cs="Arial" w:eastAsia="Arial" w:hAnsi="Arial"/>
                <w:sz w:val="15"/>
                <w:szCs w:val="15"/>
                <w:color w:val="auto"/>
              </w:rPr>
              <w:t>360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
              <w:spacing w:after="0" w:line="151" w:lineRule="exact"/>
              <w:rPr>
                <w:sz w:val="20"/>
                <w:szCs w:val="20"/>
                <w:color w:val="auto"/>
              </w:rPr>
            </w:pPr>
            <w:r>
              <w:rPr>
                <w:rFonts w:ascii="Arial" w:cs="Arial" w:eastAsia="Arial" w:hAnsi="Arial"/>
                <w:sz w:val="15"/>
                <w:szCs w:val="15"/>
                <w:color w:val="auto"/>
              </w:rPr>
              <w:t>(75)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
              <w:spacing w:after="0" w:line="151" w:lineRule="exact"/>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44"/>
        </w:trPr>
        <w:tc>
          <w:tcPr>
            <w:tcW w:w="2680" w:type="dxa"/>
            <w:vAlign w:val="bottom"/>
            <w:tcBorders>
              <w:bottom w:val="single" w:sz="8" w:color="CCEEFF"/>
            </w:tcBorders>
            <w:shd w:val="clear" w:color="auto" w:fill="CCEEFF"/>
          </w:tcPr>
          <w:p>
            <w:pPr>
              <w:jc w:val="center"/>
              <w:ind w:right="1264"/>
              <w:spacing w:after="0" w:line="144" w:lineRule="exact"/>
              <w:rPr>
                <w:sz w:val="20"/>
                <w:szCs w:val="20"/>
                <w:color w:val="auto"/>
              </w:rPr>
            </w:pPr>
            <w:r>
              <w:rPr>
                <w:rFonts w:ascii="Arial" w:cs="Arial" w:eastAsia="Arial" w:hAnsi="Arial"/>
                <w:sz w:val="15"/>
                <w:szCs w:val="15"/>
                <w:color w:val="auto"/>
                <w:w w:val="89"/>
              </w:rPr>
              <w:t>Total</w:t>
            </w:r>
          </w:p>
        </w:tc>
        <w:tc>
          <w:tcPr>
            <w:tcW w:w="10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26"/>
              <w:spacing w:after="0" w:line="144" w:lineRule="exact"/>
              <w:rPr>
                <w:sz w:val="20"/>
                <w:szCs w:val="20"/>
                <w:color w:val="auto"/>
              </w:rPr>
            </w:pPr>
            <w:r>
              <w:rPr>
                <w:rFonts w:ascii="Arial" w:cs="Arial" w:eastAsia="Arial" w:hAnsi="Arial"/>
                <w:sz w:val="15"/>
                <w:szCs w:val="15"/>
                <w:color w:val="auto"/>
              </w:rPr>
              <w:t>11,360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(837)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26"/>
              <w:spacing w:after="0" w:line="144" w:lineRule="exact"/>
              <w:rPr>
                <w:sz w:val="20"/>
                <w:szCs w:val="20"/>
                <w:color w:val="auto"/>
              </w:rPr>
            </w:pPr>
            <w:r>
              <w:rPr>
                <w:rFonts w:ascii="Arial" w:cs="Arial" w:eastAsia="Arial" w:hAnsi="Arial"/>
                <w:sz w:val="15"/>
                <w:szCs w:val="15"/>
                <w:color w:val="auto"/>
              </w:rPr>
              <w:t>10,523</w:t>
            </w: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26"/>
              <w:spacing w:after="0" w:line="144" w:lineRule="exact"/>
              <w:rPr>
                <w:sz w:val="20"/>
                <w:szCs w:val="20"/>
                <w:color w:val="auto"/>
              </w:rPr>
            </w:pPr>
            <w:r>
              <w:rPr>
                <w:rFonts w:ascii="Arial" w:cs="Arial" w:eastAsia="Arial" w:hAnsi="Arial"/>
                <w:sz w:val="15"/>
                <w:szCs w:val="15"/>
                <w:color w:val="auto"/>
              </w:rPr>
              <w:t>11,360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(381)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26"/>
              <w:spacing w:after="0" w:line="144" w:lineRule="exact"/>
              <w:rPr>
                <w:sz w:val="20"/>
                <w:szCs w:val="20"/>
                <w:color w:val="auto"/>
              </w:rPr>
            </w:pPr>
            <w:r>
              <w:rPr>
                <w:rFonts w:ascii="Arial" w:cs="Arial" w:eastAsia="Arial" w:hAnsi="Arial"/>
                <w:sz w:val="15"/>
                <w:szCs w:val="15"/>
                <w:color w:val="auto"/>
              </w:rPr>
              <w:t>10,979</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future amortization expense of acquisition-related intangible assets with definite lives is estimated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(in thousands)</w:t>
            </w:r>
          </w:p>
        </w:tc>
      </w:tr>
      <w:tr>
        <w:trPr>
          <w:trHeight w:val="144"/>
        </w:trPr>
        <w:tc>
          <w:tcPr>
            <w:tcW w:w="888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Remainder of 2022</w:t>
            </w:r>
          </w:p>
        </w:tc>
        <w:tc>
          <w:tcPr>
            <w:tcW w:w="44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w:t>
            </w:r>
          </w:p>
        </w:tc>
        <w:tc>
          <w:tcPr>
            <w:tcW w:w="19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457</w:t>
            </w:r>
          </w:p>
        </w:tc>
      </w:tr>
      <w:tr>
        <w:trPr>
          <w:trHeight w:val="152"/>
        </w:trPr>
        <w:tc>
          <w:tcPr>
            <w:tcW w:w="8880" w:type="dxa"/>
            <w:vAlign w:val="bottom"/>
          </w:tcPr>
          <w:p>
            <w:pPr>
              <w:spacing w:after="0" w:line="151" w:lineRule="exact"/>
              <w:rPr>
                <w:sz w:val="20"/>
                <w:szCs w:val="20"/>
                <w:color w:val="auto"/>
              </w:rPr>
            </w:pPr>
            <w:r>
              <w:rPr>
                <w:rFonts w:ascii="Arial" w:cs="Arial" w:eastAsia="Arial" w:hAnsi="Arial"/>
                <w:sz w:val="15"/>
                <w:szCs w:val="15"/>
                <w:color w:val="auto"/>
              </w:rPr>
              <w:t>2023</w:t>
            </w:r>
          </w:p>
        </w:tc>
        <w:tc>
          <w:tcPr>
            <w:tcW w:w="440" w:type="dxa"/>
            <w:vAlign w:val="bottom"/>
          </w:tcPr>
          <w:p>
            <w:pPr>
              <w:spacing w:after="0"/>
              <w:rPr>
                <w:sz w:val="13"/>
                <w:szCs w:val="13"/>
                <w:color w:val="auto"/>
              </w:rPr>
            </w:pPr>
          </w:p>
        </w:tc>
        <w:tc>
          <w:tcPr>
            <w:tcW w:w="1920" w:type="dxa"/>
            <w:vAlign w:val="bottom"/>
          </w:tcPr>
          <w:p>
            <w:pPr>
              <w:jc w:val="right"/>
              <w:spacing w:after="0" w:line="151" w:lineRule="exact"/>
              <w:rPr>
                <w:sz w:val="20"/>
                <w:szCs w:val="20"/>
                <w:color w:val="auto"/>
              </w:rPr>
            </w:pPr>
            <w:r>
              <w:rPr>
                <w:rFonts w:ascii="Arial" w:cs="Arial" w:eastAsia="Arial" w:hAnsi="Arial"/>
                <w:sz w:val="15"/>
                <w:szCs w:val="15"/>
                <w:color w:val="auto"/>
              </w:rPr>
              <w:t>838</w:t>
            </w:r>
          </w:p>
        </w:tc>
      </w:tr>
      <w:tr>
        <w:trPr>
          <w:trHeight w:val="152"/>
        </w:trPr>
        <w:tc>
          <w:tcPr>
            <w:tcW w:w="888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2024</w:t>
            </w:r>
          </w:p>
        </w:tc>
        <w:tc>
          <w:tcPr>
            <w:tcW w:w="44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733</w:t>
            </w:r>
          </w:p>
        </w:tc>
      </w:tr>
      <w:tr>
        <w:trPr>
          <w:trHeight w:val="152"/>
        </w:trPr>
        <w:tc>
          <w:tcPr>
            <w:tcW w:w="8880" w:type="dxa"/>
            <w:vAlign w:val="bottom"/>
          </w:tcPr>
          <w:p>
            <w:pPr>
              <w:spacing w:after="0" w:line="151" w:lineRule="exact"/>
              <w:rPr>
                <w:sz w:val="20"/>
                <w:szCs w:val="20"/>
                <w:color w:val="auto"/>
              </w:rPr>
            </w:pPr>
            <w:r>
              <w:rPr>
                <w:rFonts w:ascii="Arial" w:cs="Arial" w:eastAsia="Arial" w:hAnsi="Arial"/>
                <w:sz w:val="15"/>
                <w:szCs w:val="15"/>
                <w:color w:val="auto"/>
              </w:rPr>
              <w:t>2025</w:t>
            </w:r>
          </w:p>
        </w:tc>
        <w:tc>
          <w:tcPr>
            <w:tcW w:w="440" w:type="dxa"/>
            <w:vAlign w:val="bottom"/>
          </w:tcPr>
          <w:p>
            <w:pPr>
              <w:spacing w:after="0"/>
              <w:rPr>
                <w:sz w:val="13"/>
                <w:szCs w:val="13"/>
                <w:color w:val="auto"/>
              </w:rPr>
            </w:pPr>
          </w:p>
        </w:tc>
        <w:tc>
          <w:tcPr>
            <w:tcW w:w="1920" w:type="dxa"/>
            <w:vAlign w:val="bottom"/>
          </w:tcPr>
          <w:p>
            <w:pPr>
              <w:jc w:val="right"/>
              <w:spacing w:after="0" w:line="151" w:lineRule="exact"/>
              <w:rPr>
                <w:sz w:val="20"/>
                <w:szCs w:val="20"/>
                <w:color w:val="auto"/>
              </w:rPr>
            </w:pPr>
            <w:r>
              <w:rPr>
                <w:rFonts w:ascii="Arial" w:cs="Arial" w:eastAsia="Arial" w:hAnsi="Arial"/>
                <w:sz w:val="15"/>
                <w:szCs w:val="15"/>
                <w:color w:val="auto"/>
              </w:rPr>
              <w:t>733</w:t>
            </w:r>
          </w:p>
        </w:tc>
      </w:tr>
      <w:tr>
        <w:trPr>
          <w:trHeight w:val="152"/>
        </w:trPr>
        <w:tc>
          <w:tcPr>
            <w:tcW w:w="888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2026</w:t>
            </w:r>
          </w:p>
        </w:tc>
        <w:tc>
          <w:tcPr>
            <w:tcW w:w="44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733</w:t>
            </w:r>
          </w:p>
        </w:tc>
      </w:tr>
      <w:tr>
        <w:trPr>
          <w:trHeight w:val="152"/>
        </w:trPr>
        <w:tc>
          <w:tcPr>
            <w:tcW w:w="8880" w:type="dxa"/>
            <w:vAlign w:val="bottom"/>
            <w:tcBorders>
              <w:bottom w:val="single" w:sz="8" w:color="CCEEFF"/>
            </w:tcBorders>
          </w:tcPr>
          <w:p>
            <w:pPr>
              <w:spacing w:after="0" w:line="151" w:lineRule="exact"/>
              <w:rPr>
                <w:sz w:val="20"/>
                <w:szCs w:val="20"/>
                <w:color w:val="auto"/>
              </w:rPr>
            </w:pPr>
            <w:r>
              <w:rPr>
                <w:rFonts w:ascii="Arial" w:cs="Arial" w:eastAsia="Arial" w:hAnsi="Arial"/>
                <w:sz w:val="15"/>
                <w:szCs w:val="15"/>
                <w:color w:val="auto"/>
              </w:rPr>
              <w:t>2027 and thereafter</w:t>
            </w:r>
          </w:p>
        </w:tc>
        <w:tc>
          <w:tcPr>
            <w:tcW w:w="4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7,029</w:t>
            </w:r>
          </w:p>
        </w:tc>
      </w:tr>
      <w:tr>
        <w:trPr>
          <w:trHeight w:val="144"/>
        </w:trPr>
        <w:tc>
          <w:tcPr>
            <w:tcW w:w="8880" w:type="dxa"/>
            <w:vAlign w:val="bottom"/>
            <w:tcBorders>
              <w:bottom w:val="single" w:sz="8" w:color="CCEEFF"/>
            </w:tcBorders>
            <w:shd w:val="clear" w:color="auto" w:fill="CCEEFF"/>
          </w:tcPr>
          <w:p>
            <w:pPr>
              <w:ind w:left="300"/>
              <w:spacing w:after="0" w:line="144" w:lineRule="exact"/>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5"/>
                <w:szCs w:val="15"/>
                <w:color w:val="auto"/>
              </w:rPr>
              <w:t>$</w:t>
            </w:r>
          </w:p>
        </w:tc>
        <w:tc>
          <w:tcPr>
            <w:tcW w:w="19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10,523</w:t>
            </w:r>
          </w:p>
        </w:tc>
      </w:tr>
      <w:tr>
        <w:trPr>
          <w:trHeight w:val="20"/>
        </w:trPr>
        <w:tc>
          <w:tcPr>
            <w:tcW w:w="8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review definite-lived intangible assets for impairment when indication of potential impairment exists, such as a significant reduction in cash flows associated with the assets.</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7"/>
          <w:szCs w:val="17"/>
          <w:color w:val="auto"/>
        </w:rPr>
        <w:t>Goodwill is reviewed for impairment at least annually during the second quarter, or more frequently if an event occurs indicating the potential for impairment. We performed our annual assessment for goodwill impairment in the second quarter of 2022, noting no impairment.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84" w:lineRule="exact"/>
        <w:rPr>
          <w:sz w:val="20"/>
          <w:szCs w:val="20"/>
          <w:color w:val="auto"/>
        </w:rPr>
      </w:pPr>
    </w:p>
    <w:p>
      <w:pPr>
        <w:jc w:val="both"/>
        <w:spacing w:after="0"/>
        <w:rPr>
          <w:rFonts w:ascii="Arial" w:cs="Arial" w:eastAsia="Arial" w:hAnsi="Arial"/>
          <w:sz w:val="16"/>
          <w:szCs w:val="16"/>
          <w:color w:val="auto"/>
        </w:rPr>
      </w:pPr>
      <w:r>
        <w:rPr>
          <w:rFonts w:ascii="Arial" w:cs="Arial" w:eastAsia="Arial" w:hAnsi="Arial"/>
          <w:sz w:val="16"/>
          <w:szCs w:val="16"/>
          <w:color w:val="auto"/>
        </w:rPr>
        <w:t xml:space="preserve">As of June 30, 2022, we had a total of $33.9 million of deferred revenue, $32.1 million of which was recorded as deferred revenue, current, and primarily relates to future performance obligations under the Amended and Restated Agreement with Invitae as described in </w:t>
      </w:r>
      <w:hyperlink w:anchor="page10">
        <w:r>
          <w:rPr>
            <w:rFonts w:ascii="Arial" w:cs="Arial" w:eastAsia="Arial" w:hAnsi="Arial"/>
            <w:sz w:val="16"/>
            <w:szCs w:val="16"/>
            <w:i w:val="1"/>
            <w:iCs w:val="1"/>
            <w:u w:val="single" w:color="auto"/>
            <w:color w:val="0000FF"/>
          </w:rPr>
          <w:t>Note 3. Invitae Collaboration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Part I, Item 1 of this Quarterly Report on Form 10-Q. The deferred revenue, non-current balance of $1.8 million primarily relates to deferred service contract revenues and is scheduled to be recognized in the next 5 years. Revenue recorded in the six months ended June 30, 2022 includes $9.2 million of previously deferred revenue that was included in deferred revenue as of December 31, 2021. Contract assets as of June 30, 2022 and December 31, 2021 were not material.</w:t>
      </w:r>
    </w:p>
    <w:p>
      <w:pPr>
        <w:spacing w:after="0" w:line="16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As of June 30, 2022, we had a total of $0.6 million of deferred commissions included in prepaid expenses and other current assets which is recognized as sales, general and administrative expense as the related revenue is recognized. Costs to obtain a contract are expensed as incurred if the amortization period would have been a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Warranty expense is recorded as a component of cost of product revenue. There were no material changes in estimates for the periods presented below.</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product warranties were as follows for the periods indicated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6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310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5"/>
                <w:szCs w:val="15"/>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44"/>
        </w:trPr>
        <w:tc>
          <w:tcPr>
            <w:tcW w:w="3860" w:type="dxa"/>
            <w:vAlign w:val="bottom"/>
            <w:tcBorders>
              <w:bottom w:val="single" w:sz="8" w:color="CCEEFF"/>
            </w:tcBorders>
            <w:vMerge w:val="continue"/>
          </w:tcPr>
          <w:p>
            <w:pPr>
              <w:spacing w:after="0"/>
              <w:rPr>
                <w:sz w:val="12"/>
                <w:szCs w:val="12"/>
                <w:color w:val="auto"/>
              </w:rPr>
            </w:pPr>
          </w:p>
        </w:tc>
        <w:tc>
          <w:tcPr>
            <w:tcW w:w="1180" w:type="dxa"/>
            <w:vAlign w:val="bottom"/>
            <w:tcBorders>
              <w:bottom w:val="single" w:sz="8" w:color="auto"/>
            </w:tcBorders>
          </w:tcPr>
          <w:p>
            <w:pPr>
              <w:jc w:val="right"/>
              <w:ind w:right="104"/>
              <w:spacing w:after="0" w:line="144" w:lineRule="exact"/>
              <w:rPr>
                <w:sz w:val="20"/>
                <w:szCs w:val="20"/>
                <w:color w:val="auto"/>
              </w:rPr>
            </w:pPr>
            <w:r>
              <w:rPr>
                <w:rFonts w:ascii="Arial" w:cs="Arial" w:eastAsia="Arial" w:hAnsi="Arial"/>
                <w:sz w:val="15"/>
                <w:szCs w:val="15"/>
                <w:b w:val="1"/>
                <w:bCs w:val="1"/>
                <w:color w:val="auto"/>
              </w:rPr>
              <w:t>2022</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04"/>
              <w:spacing w:after="0" w:line="144" w:lineRule="exact"/>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04"/>
              <w:spacing w:after="0" w:line="144" w:lineRule="exact"/>
              <w:rPr>
                <w:sz w:val="20"/>
                <w:szCs w:val="20"/>
                <w:color w:val="auto"/>
              </w:rPr>
            </w:pPr>
            <w:r>
              <w:rPr>
                <w:rFonts w:ascii="Arial" w:cs="Arial" w:eastAsia="Arial" w:hAnsi="Arial"/>
                <w:sz w:val="15"/>
                <w:szCs w:val="15"/>
                <w:b w:val="1"/>
                <w:bCs w:val="1"/>
                <w:color w:val="auto"/>
              </w:rPr>
              <w:t>2022</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84"/>
              <w:spacing w:after="0" w:line="144" w:lineRule="exact"/>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Balance at beginning of period</w:t>
            </w:r>
          </w:p>
        </w:tc>
        <w:tc>
          <w:tcPr>
            <w:tcW w:w="1180" w:type="dxa"/>
            <w:vAlign w:val="bottom"/>
            <w:shd w:val="clear" w:color="auto" w:fill="CCEEFF"/>
          </w:tcPr>
          <w:p>
            <w:pPr>
              <w:jc w:val="right"/>
              <w:ind w:right="1024"/>
              <w:spacing w:after="0" w:line="144" w:lineRule="exact"/>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1,174</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24"/>
              <w:spacing w:after="0" w:line="144" w:lineRule="exact"/>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179</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4"/>
              <w:spacing w:after="0" w:line="144" w:lineRule="exact"/>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594</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4"/>
              <w:spacing w:after="0" w:line="144"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52"/>
        </w:trPr>
        <w:tc>
          <w:tcPr>
            <w:tcW w:w="3860" w:type="dxa"/>
            <w:vAlign w:val="bottom"/>
          </w:tcPr>
          <w:p>
            <w:pPr>
              <w:spacing w:after="0" w:line="151" w:lineRule="exact"/>
              <w:rPr>
                <w:sz w:val="20"/>
                <w:szCs w:val="20"/>
                <w:color w:val="auto"/>
              </w:rPr>
            </w:pPr>
            <w:r>
              <w:rPr>
                <w:rFonts w:ascii="Arial" w:cs="Arial" w:eastAsia="Arial" w:hAnsi="Arial"/>
                <w:sz w:val="15"/>
                <w:szCs w:val="15"/>
                <w:color w:val="auto"/>
              </w:rPr>
              <w:t>Additions charged to cost of product revenue</w:t>
            </w:r>
          </w:p>
        </w:tc>
        <w:tc>
          <w:tcPr>
            <w:tcW w:w="118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5"/>
                <w:szCs w:val="15"/>
                <w:color w:val="auto"/>
              </w:rPr>
              <w:t>912</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5"/>
                <w:szCs w:val="15"/>
                <w:color w:val="auto"/>
              </w:rPr>
              <w:t>412</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spacing w:after="0" w:line="151" w:lineRule="exact"/>
              <w:rPr>
                <w:sz w:val="20"/>
                <w:szCs w:val="20"/>
                <w:color w:val="auto"/>
              </w:rPr>
            </w:pPr>
            <w:r>
              <w:rPr>
                <w:rFonts w:ascii="Arial" w:cs="Arial" w:eastAsia="Arial" w:hAnsi="Arial"/>
                <w:sz w:val="15"/>
                <w:szCs w:val="15"/>
                <w:color w:val="auto"/>
              </w:rPr>
              <w:t>1,865</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line="151" w:lineRule="exact"/>
              <w:rPr>
                <w:sz w:val="20"/>
                <w:szCs w:val="20"/>
                <w:color w:val="auto"/>
              </w:rPr>
            </w:pPr>
            <w:r>
              <w:rPr>
                <w:rFonts w:ascii="Arial" w:cs="Arial" w:eastAsia="Arial" w:hAnsi="Arial"/>
                <w:sz w:val="15"/>
                <w:szCs w:val="15"/>
                <w:color w:val="auto"/>
              </w:rPr>
              <w:t>615</w:t>
            </w:r>
          </w:p>
        </w:tc>
        <w:tc>
          <w:tcPr>
            <w:tcW w:w="0" w:type="dxa"/>
            <w:vAlign w:val="bottom"/>
          </w:tcPr>
          <w:p>
            <w:pPr>
              <w:spacing w:after="0"/>
              <w:rPr>
                <w:sz w:val="1"/>
                <w:szCs w:val="1"/>
                <w:color w:val="auto"/>
              </w:rPr>
            </w:pPr>
          </w:p>
        </w:tc>
      </w:tr>
      <w:tr>
        <w:trPr>
          <w:trHeight w:val="152"/>
        </w:trPr>
        <w:tc>
          <w:tcPr>
            <w:tcW w:w="386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Repairs and replacements</w:t>
            </w:r>
          </w:p>
        </w:tc>
        <w:tc>
          <w:tcPr>
            <w:tcW w:w="1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(477)</w:t>
            </w:r>
          </w:p>
        </w:tc>
        <w:tc>
          <w:tcPr>
            <w:tcW w:w="22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(320)</w:t>
            </w:r>
          </w:p>
        </w:tc>
        <w:tc>
          <w:tcPr>
            <w:tcW w:w="2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(850)</w:t>
            </w:r>
          </w:p>
        </w:tc>
        <w:tc>
          <w:tcPr>
            <w:tcW w:w="2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144"/>
        </w:trPr>
        <w:tc>
          <w:tcPr>
            <w:tcW w:w="3860" w:type="dxa"/>
            <w:vAlign w:val="bottom"/>
          </w:tcPr>
          <w:p>
            <w:pPr>
              <w:spacing w:after="0" w:line="144" w:lineRule="exact"/>
              <w:rPr>
                <w:sz w:val="20"/>
                <w:szCs w:val="20"/>
                <w:color w:val="auto"/>
              </w:rPr>
            </w:pPr>
            <w:r>
              <w:rPr>
                <w:rFonts w:ascii="Arial" w:cs="Arial" w:eastAsia="Arial" w:hAnsi="Arial"/>
                <w:sz w:val="15"/>
                <w:szCs w:val="15"/>
                <w:color w:val="auto"/>
              </w:rPr>
              <w:t>Balance at end of period</w:t>
            </w:r>
          </w:p>
        </w:tc>
        <w:tc>
          <w:tcPr>
            <w:tcW w:w="1180" w:type="dxa"/>
            <w:vAlign w:val="bottom"/>
            <w:tcBorders>
              <w:bottom w:val="single" w:sz="8" w:color="auto"/>
            </w:tcBorders>
          </w:tcPr>
          <w:p>
            <w:pPr>
              <w:jc w:val="right"/>
              <w:ind w:right="1024"/>
              <w:spacing w:after="0" w:line="144"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1,609</w:t>
            </w: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ind w:right="1024"/>
              <w:spacing w:after="0" w:line="144"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271</w:t>
            </w:r>
          </w:p>
        </w:tc>
        <w:tc>
          <w:tcPr>
            <w:tcW w:w="220" w:type="dxa"/>
            <w:vAlign w:val="bottom"/>
          </w:tcPr>
          <w:p>
            <w:pPr>
              <w:spacing w:after="0"/>
              <w:rPr>
                <w:sz w:val="12"/>
                <w:szCs w:val="12"/>
                <w:color w:val="auto"/>
              </w:rPr>
            </w:pPr>
          </w:p>
        </w:tc>
        <w:tc>
          <w:tcPr>
            <w:tcW w:w="380" w:type="dxa"/>
            <w:vAlign w:val="bottom"/>
            <w:tcBorders>
              <w:bottom w:val="single" w:sz="8" w:color="auto"/>
            </w:tcBorders>
          </w:tcPr>
          <w:p>
            <w:pPr>
              <w:jc w:val="right"/>
              <w:ind w:right="224"/>
              <w:spacing w:after="0" w:line="144"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1,609</w:t>
            </w:r>
          </w:p>
        </w:tc>
        <w:tc>
          <w:tcPr>
            <w:tcW w:w="220" w:type="dxa"/>
            <w:vAlign w:val="bottom"/>
          </w:tcPr>
          <w:p>
            <w:pPr>
              <w:spacing w:after="0"/>
              <w:rPr>
                <w:sz w:val="12"/>
                <w:szCs w:val="12"/>
                <w:color w:val="auto"/>
              </w:rPr>
            </w:pPr>
          </w:p>
        </w:tc>
        <w:tc>
          <w:tcPr>
            <w:tcW w:w="380" w:type="dxa"/>
            <w:vAlign w:val="bottom"/>
            <w:tcBorders>
              <w:bottom w:val="single" w:sz="8" w:color="auto"/>
            </w:tcBorders>
          </w:tcPr>
          <w:p>
            <w:pPr>
              <w:jc w:val="right"/>
              <w:ind w:right="224"/>
              <w:spacing w:after="0" w:line="144"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loans</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connection with the acquisition of Omniome, we acquired $1.3 million in short-term debt and $3.0 million in long-term debt relating to a term loan facility that Omniome obtained in April 2020. Borrowings on the term loan facility were used to fund Omniome’s purchases of equipment, which serves as collateral. Each term loan has a term of 43</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months and bears a fixed interest rate of approximately 17% annually. The fee for the elective option to prepay all, but not less than all, of the borrowed amounts at</w:t>
      </w:r>
    </w:p>
    <w:p>
      <w:pPr>
        <w:spacing w:after="0" w:line="42" w:lineRule="exact"/>
        <w:rPr>
          <w:sz w:val="20"/>
          <w:szCs w:val="20"/>
          <w:color w:val="auto"/>
        </w:rPr>
      </w:pPr>
    </w:p>
    <w:p>
      <w:pPr>
        <w:jc w:val="both"/>
        <w:spacing w:after="0" w:line="193" w:lineRule="auto"/>
        <w:rPr>
          <w:sz w:val="20"/>
          <w:szCs w:val="20"/>
          <w:color w:val="auto"/>
        </w:rPr>
      </w:pPr>
      <w:r>
        <w:rPr>
          <w:rFonts w:ascii="Arial" w:cs="Arial" w:eastAsia="Arial" w:hAnsi="Arial"/>
          <w:sz w:val="17"/>
          <w:szCs w:val="17"/>
          <w:color w:val="auto"/>
        </w:rPr>
        <w:t>any time after the 24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month and before the 43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month after the commencement date, is 4% of the outstanding loan balance. Payments are made in equal monthly installments including principal and interest.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future principal payments on the term loans: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Pr>
          <w:p>
            <w:pPr>
              <w:spacing w:after="0"/>
              <w:rPr>
                <w:sz w:val="20"/>
                <w:szCs w:val="20"/>
                <w:color w:val="auto"/>
              </w:rPr>
            </w:pPr>
            <w:r>
              <w:rPr>
                <w:rFonts w:ascii="Arial" w:cs="Arial" w:eastAsia="Arial" w:hAnsi="Arial"/>
                <w:sz w:val="15"/>
                <w:szCs w:val="15"/>
                <w:b w:val="1"/>
                <w:bCs w:val="1"/>
                <w:color w:val="auto"/>
              </w:rPr>
              <w:t>(in thousands)</w:t>
            </w:r>
          </w:p>
        </w:tc>
        <w:tc>
          <w:tcPr>
            <w:tcW w:w="17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52"/>
        </w:trPr>
        <w:tc>
          <w:tcPr>
            <w:tcW w:w="74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Remainder of 2022</w:t>
            </w:r>
          </w:p>
        </w:tc>
        <w:tc>
          <w:tcPr>
            <w:tcW w:w="176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20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838</w:t>
            </w:r>
          </w:p>
        </w:tc>
      </w:tr>
      <w:tr>
        <w:trPr>
          <w:trHeight w:val="152"/>
        </w:trPr>
        <w:tc>
          <w:tcPr>
            <w:tcW w:w="7440" w:type="dxa"/>
            <w:vAlign w:val="bottom"/>
          </w:tcPr>
          <w:p>
            <w:pPr>
              <w:spacing w:after="0" w:line="151" w:lineRule="exact"/>
              <w:rPr>
                <w:sz w:val="20"/>
                <w:szCs w:val="20"/>
                <w:color w:val="auto"/>
              </w:rPr>
            </w:pPr>
            <w:r>
              <w:rPr>
                <w:rFonts w:ascii="Arial" w:cs="Arial" w:eastAsia="Arial" w:hAnsi="Arial"/>
                <w:sz w:val="15"/>
                <w:szCs w:val="15"/>
                <w:color w:val="auto"/>
              </w:rPr>
              <w:t>2023</w:t>
            </w:r>
          </w:p>
        </w:tc>
        <w:tc>
          <w:tcPr>
            <w:tcW w:w="1760" w:type="dxa"/>
            <w:vAlign w:val="bottom"/>
          </w:tcPr>
          <w:p>
            <w:pPr>
              <w:spacing w:after="0"/>
              <w:rPr>
                <w:sz w:val="13"/>
                <w:szCs w:val="13"/>
                <w:color w:val="auto"/>
              </w:rPr>
            </w:pPr>
          </w:p>
        </w:tc>
        <w:tc>
          <w:tcPr>
            <w:tcW w:w="2040" w:type="dxa"/>
            <w:vAlign w:val="bottom"/>
          </w:tcPr>
          <w:p>
            <w:pPr>
              <w:jc w:val="right"/>
              <w:spacing w:after="0" w:line="151" w:lineRule="exact"/>
              <w:rPr>
                <w:sz w:val="20"/>
                <w:szCs w:val="20"/>
                <w:color w:val="auto"/>
              </w:rPr>
            </w:pPr>
            <w:r>
              <w:rPr>
                <w:rFonts w:ascii="Arial" w:cs="Arial" w:eastAsia="Arial" w:hAnsi="Arial"/>
                <w:sz w:val="15"/>
                <w:szCs w:val="15"/>
                <w:color w:val="auto"/>
              </w:rPr>
              <w:t>1,842</w:t>
            </w:r>
          </w:p>
        </w:tc>
      </w:tr>
      <w:tr>
        <w:trPr>
          <w:trHeight w:val="152"/>
        </w:trPr>
        <w:tc>
          <w:tcPr>
            <w:tcW w:w="74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2024</w:t>
            </w:r>
          </w:p>
        </w:tc>
        <w:tc>
          <w:tcPr>
            <w:tcW w:w="176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490</w:t>
            </w:r>
          </w:p>
        </w:tc>
      </w:tr>
      <w:tr>
        <w:trPr>
          <w:trHeight w:val="144"/>
        </w:trPr>
        <w:tc>
          <w:tcPr>
            <w:tcW w:w="7440" w:type="dxa"/>
            <w:vAlign w:val="bottom"/>
          </w:tcPr>
          <w:p>
            <w:pPr>
              <w:ind w:left="300"/>
              <w:spacing w:after="0" w:line="144" w:lineRule="exact"/>
              <w:rPr>
                <w:sz w:val="20"/>
                <w:szCs w:val="20"/>
                <w:color w:val="auto"/>
              </w:rPr>
            </w:pPr>
            <w:r>
              <w:rPr>
                <w:rFonts w:ascii="Arial" w:cs="Arial" w:eastAsia="Arial" w:hAnsi="Arial"/>
                <w:sz w:val="15"/>
                <w:szCs w:val="15"/>
                <w:color w:val="auto"/>
              </w:rPr>
              <w:t>Total</w:t>
            </w:r>
          </w:p>
        </w:tc>
        <w:tc>
          <w:tcPr>
            <w:tcW w:w="1760" w:type="dxa"/>
            <w:vAlign w:val="bottom"/>
            <w:tcBorders>
              <w:bottom w:val="single" w:sz="8" w:color="auto"/>
            </w:tcBorders>
          </w:tcPr>
          <w:p>
            <w:pPr>
              <w:spacing w:after="0" w:line="144" w:lineRule="exact"/>
              <w:rPr>
                <w:sz w:val="20"/>
                <w:szCs w:val="20"/>
                <w:color w:val="auto"/>
              </w:rPr>
            </w:pPr>
            <w:r>
              <w:rPr>
                <w:rFonts w:ascii="Arial" w:cs="Arial" w:eastAsia="Arial" w:hAnsi="Arial"/>
                <w:sz w:val="15"/>
                <w:szCs w:val="15"/>
                <w:color w:val="auto"/>
              </w:rPr>
              <w:t>$</w:t>
            </w:r>
          </w:p>
        </w:tc>
        <w:tc>
          <w:tcPr>
            <w:tcW w:w="20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3,170</w:t>
            </w:r>
          </w:p>
        </w:tc>
      </w:tr>
      <w:tr>
        <w:trPr>
          <w:trHeight w:val="20"/>
        </w:trPr>
        <w:tc>
          <w:tcPr>
            <w:tcW w:w="7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CONVERTIBLE SENIOR NOTES</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February 9, 2021, we entered into an investment agreement (the “Investment Agreement”) with SB Northstar LP (the “Purchaser”), a subsidiary of SoftBank Group Corp., relating to the issuance and sale to the Purchaser of $900 million in aggregate principal amount of our 1.50% Convertible Senior Notes (the “Notes”). The Notes were issued on February 16, 2021.</w:t>
      </w:r>
    </w:p>
    <w:p>
      <w:pPr>
        <w:spacing w:after="0" w:line="16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Notes are governed by an indenture (the “Indenture”) between the Company and U.S. Bank National Association, as trustee. The Notes bear interest at a rate of 1.50% per annum. Interest on the Notes is payable semi-annually in arrears on February 15 and August 15 and commenced on August 15, 2021. The Notes will mature on February 15, 2028, subject to earlier conversion, redemption or repurchase.</w:t>
      </w:r>
    </w:p>
    <w:p>
      <w:pPr>
        <w:spacing w:after="0" w:line="166"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Notes are convertible at the option of the holder at any time until the second scheduled trading day prior to the maturity date, including in connection with a redemption by the Company. The Notes are convertible into shares of our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On or after February 20, 2026, the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Notes, plus accrued and unpaid interest up to, but excluding, the redemption date.</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With certain exceptions, upon a change of control of the Company or the failure of our common stock to be listed on certain stock exchanges (a “Fundamental Change”), the holders of the Notes may require that we repurchase all or part of the principal amount of the Notes at a purchase price of par plus unpaid interest up to, but excluding, the maturity date.</w:t>
      </w:r>
    </w:p>
    <w:p>
      <w:pPr>
        <w:spacing w:after="0" w:line="166"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Notes at a rate equal to (i) 0.25% per annum of the principal amount of the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Indenture). On the 361st day after such event of default (if the event of default relating to our failure to comply with its obligations is not cured or waived prior to such 361st day), the Notes shall be subject to acceleration as provided for in the Indenture.</w:t>
      </w:r>
    </w:p>
    <w:p>
      <w:pPr>
        <w:spacing w:after="0" w:line="170"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Notes is not accounted for as an embedded derivative because it is considered to be indexed to our common stock, and the Notes were not issued at a premium; therefore, the Notes are accounted for in their entirety as a liability. Because we may elect to settle any conversions entirely in shares, and because settlement in shares is the default settlement method, the liability is classified as non-current.</w:t>
      </w:r>
    </w:p>
    <w:p>
      <w:pPr>
        <w:spacing w:after="0" w:line="16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The requirement to repurchase the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a Fundamental Change occurring during the applicable periods, the value of the embedded derivative is immaterial.</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14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incurred issuance costs related to the Notes of approximately $4.5 million, which were recorded as debt issuance cost and are presented as a reduction to the Notes on our Consolidated Balance Sheets and are amortized to interest expense using the effective interest method over the term of the Notes, resulting in an effective interest rate of 1.6%.</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of June 30, 2022 and December 31, 2021, the net carrying amount of the liability for the Notes is recorded as convertible senior notes, net, in the Condensed Consolidated Balance Sheets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June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4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65"/>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2022</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524"/>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44"/>
        </w:trPr>
        <w:tc>
          <w:tcPr>
            <w:tcW w:w="8020" w:type="dxa"/>
            <w:vAlign w:val="bottom"/>
            <w:tcBorders>
              <w:bottom w:val="single" w:sz="8" w:color="CCEEFF"/>
            </w:tcBorders>
            <w:vMerge w:val="continue"/>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Principal amount</w:t>
            </w:r>
          </w:p>
        </w:tc>
        <w:tc>
          <w:tcPr>
            <w:tcW w:w="1060" w:type="dxa"/>
            <w:vAlign w:val="bottom"/>
            <w:shd w:val="clear" w:color="auto" w:fill="CCEEFF"/>
          </w:tcPr>
          <w:p>
            <w:pPr>
              <w:jc w:val="right"/>
              <w:ind w:right="884"/>
              <w:spacing w:after="0" w:line="144" w:lineRule="exact"/>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88"/>
              </w:rPr>
              <w:t>900,000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4"/>
              <w:spacing w:after="0" w:line="144"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900,000</w:t>
            </w:r>
          </w:p>
        </w:tc>
        <w:tc>
          <w:tcPr>
            <w:tcW w:w="0" w:type="dxa"/>
            <w:vAlign w:val="bottom"/>
          </w:tcPr>
          <w:p>
            <w:pPr>
              <w:spacing w:after="0"/>
              <w:rPr>
                <w:sz w:val="1"/>
                <w:szCs w:val="1"/>
                <w:color w:val="auto"/>
              </w:rPr>
            </w:pPr>
          </w:p>
        </w:tc>
      </w:tr>
      <w:tr>
        <w:trPr>
          <w:trHeight w:val="265"/>
        </w:trPr>
        <w:tc>
          <w:tcPr>
            <w:tcW w:w="80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Unamortized debt issuance costs</w:t>
            </w:r>
          </w:p>
        </w:tc>
        <w:tc>
          <w:tcPr>
            <w:tcW w:w="10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(3,933)</w:t>
            </w:r>
          </w:p>
        </w:tc>
        <w:tc>
          <w:tcPr>
            <w:tcW w:w="0" w:type="dxa"/>
            <w:vAlign w:val="bottom"/>
          </w:tcPr>
          <w:p>
            <w:pPr>
              <w:spacing w:after="0"/>
              <w:rPr>
                <w:sz w:val="1"/>
                <w:szCs w:val="1"/>
                <w:color w:val="auto"/>
              </w:rPr>
            </w:pPr>
          </w:p>
        </w:tc>
      </w:tr>
      <w:tr>
        <w:trPr>
          <w:trHeight w:val="233"/>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carrying amount</w:t>
            </w: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896,374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896,067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2022, interest expense for the Notes was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380" w:type="dxa"/>
            <w:vAlign w:val="bottom"/>
          </w:tcPr>
          <w:p>
            <w:pPr>
              <w:spacing w:after="0"/>
              <w:rPr>
                <w:sz w:val="15"/>
                <w:szCs w:val="15"/>
                <w:color w:val="auto"/>
              </w:rPr>
            </w:pPr>
          </w:p>
        </w:tc>
        <w:tc>
          <w:tcPr>
            <w:tcW w:w="3300" w:type="dxa"/>
            <w:vAlign w:val="bottom"/>
            <w:gridSpan w:val="5"/>
          </w:tcPr>
          <w:p>
            <w:pPr>
              <w:ind w:left="340"/>
              <w:spacing w:after="0"/>
              <w:rPr>
                <w:sz w:val="20"/>
                <w:szCs w:val="20"/>
                <w:color w:val="auto"/>
              </w:rPr>
            </w:pPr>
            <w:r>
              <w:rPr>
                <w:rFonts w:ascii="Arial" w:cs="Arial" w:eastAsia="Arial" w:hAnsi="Arial"/>
                <w:sz w:val="15"/>
                <w:szCs w:val="15"/>
                <w:b w:val="1"/>
                <w:bCs w:val="1"/>
                <w:color w:val="auto"/>
              </w:rPr>
              <w:t>Three Months Ended June 30,</w:t>
            </w:r>
          </w:p>
        </w:tc>
        <w:tc>
          <w:tcPr>
            <w:tcW w:w="380" w:type="dxa"/>
            <w:vAlign w:val="bottom"/>
          </w:tcPr>
          <w:p>
            <w:pPr>
              <w:spacing w:after="0"/>
              <w:rPr>
                <w:sz w:val="15"/>
                <w:szCs w:val="15"/>
                <w:color w:val="auto"/>
              </w:rPr>
            </w:pPr>
          </w:p>
        </w:tc>
        <w:tc>
          <w:tcPr>
            <w:tcW w:w="3060" w:type="dxa"/>
            <w:vAlign w:val="bottom"/>
            <w:gridSpan w:val="4"/>
          </w:tcPr>
          <w:p>
            <w:pPr>
              <w:jc w:val="right"/>
              <w:ind w:right="764"/>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44"/>
        </w:trPr>
        <w:tc>
          <w:tcPr>
            <w:tcW w:w="4120" w:type="dxa"/>
            <w:vAlign w:val="bottom"/>
            <w:tcBorders>
              <w:bottom w:val="single" w:sz="8" w:color="CCEEFF"/>
            </w:tcBorders>
            <w:vMerge w:val="continue"/>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04"/>
              <w:spacing w:after="0" w:line="144" w:lineRule="exact"/>
              <w:rPr>
                <w:sz w:val="20"/>
                <w:szCs w:val="20"/>
                <w:color w:val="auto"/>
              </w:rPr>
            </w:pPr>
            <w:r>
              <w:rPr>
                <w:rFonts w:ascii="Arial" w:cs="Arial" w:eastAsia="Arial" w:hAnsi="Arial"/>
                <w:sz w:val="15"/>
                <w:szCs w:val="15"/>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84"/>
              <w:spacing w:after="0" w:line="144" w:lineRule="exact"/>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84"/>
              <w:spacing w:after="0" w:line="144" w:lineRule="exact"/>
              <w:rPr>
                <w:sz w:val="20"/>
                <w:szCs w:val="20"/>
                <w:color w:val="auto"/>
              </w:rPr>
            </w:pPr>
            <w:r>
              <w:rPr>
                <w:rFonts w:ascii="Arial" w:cs="Arial" w:eastAsia="Arial" w:hAnsi="Arial"/>
                <w:sz w:val="15"/>
                <w:szCs w:val="15"/>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64"/>
              <w:spacing w:after="0" w:line="144" w:lineRule="exact"/>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44"/>
        </w:trPr>
        <w:tc>
          <w:tcPr>
            <w:tcW w:w="412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Contractual interest expense</w:t>
            </w:r>
          </w:p>
        </w:tc>
        <w:tc>
          <w:tcPr>
            <w:tcW w:w="380" w:type="dxa"/>
            <w:vAlign w:val="bottom"/>
            <w:shd w:val="clear" w:color="auto" w:fill="CCEEFF"/>
          </w:tcPr>
          <w:p>
            <w:pPr>
              <w:jc w:val="right"/>
              <w:ind w:right="224"/>
              <w:spacing w:after="0" w:line="144"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3,375</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4"/>
              <w:spacing w:after="0" w:line="144" w:lineRule="exact"/>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3,375</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4"/>
              <w:spacing w:after="0" w:line="144"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6,750</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04"/>
              <w:spacing w:after="0" w:line="144" w:lineRule="exact"/>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5,063</w:t>
            </w:r>
          </w:p>
        </w:tc>
        <w:tc>
          <w:tcPr>
            <w:tcW w:w="0" w:type="dxa"/>
            <w:vAlign w:val="bottom"/>
          </w:tcPr>
          <w:p>
            <w:pPr>
              <w:spacing w:after="0"/>
              <w:rPr>
                <w:sz w:val="1"/>
                <w:szCs w:val="1"/>
                <w:color w:val="auto"/>
              </w:rPr>
            </w:pPr>
          </w:p>
        </w:tc>
      </w:tr>
      <w:tr>
        <w:trPr>
          <w:trHeight w:val="152"/>
        </w:trPr>
        <w:tc>
          <w:tcPr>
            <w:tcW w:w="4120" w:type="dxa"/>
            <w:vAlign w:val="bottom"/>
            <w:tcBorders>
              <w:bottom w:val="single" w:sz="8" w:color="CCEEFF"/>
            </w:tcBorders>
          </w:tcPr>
          <w:p>
            <w:pPr>
              <w:spacing w:after="0" w:line="151" w:lineRule="exact"/>
              <w:rPr>
                <w:sz w:val="20"/>
                <w:szCs w:val="20"/>
                <w:color w:val="auto"/>
              </w:rPr>
            </w:pPr>
            <w:r>
              <w:rPr>
                <w:rFonts w:ascii="Arial" w:cs="Arial" w:eastAsia="Arial" w:hAnsi="Arial"/>
                <w:sz w:val="15"/>
                <w:szCs w:val="15"/>
                <w:color w:val="auto"/>
              </w:rPr>
              <w:t>Amortization of debt issuance costs</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154</w:t>
            </w:r>
          </w:p>
        </w:tc>
        <w:tc>
          <w:tcPr>
            <w:tcW w:w="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151</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307</w:t>
            </w:r>
          </w:p>
        </w:tc>
        <w:tc>
          <w:tcPr>
            <w:tcW w:w="2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44"/>
        </w:trPr>
        <w:tc>
          <w:tcPr>
            <w:tcW w:w="412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5"/>
                <w:szCs w:val="15"/>
                <w:color w:val="auto"/>
              </w:rPr>
              <w:t>Total interest expense</w:t>
            </w:r>
          </w:p>
        </w:tc>
        <w:tc>
          <w:tcPr>
            <w:tcW w:w="380" w:type="dxa"/>
            <w:vAlign w:val="bottom"/>
            <w:tcBorders>
              <w:bottom w:val="single" w:sz="8" w:color="auto"/>
            </w:tcBorders>
            <w:shd w:val="clear" w:color="auto" w:fill="CCEEFF"/>
          </w:tcPr>
          <w:p>
            <w:pPr>
              <w:jc w:val="right"/>
              <w:ind w:right="224"/>
              <w:spacing w:after="0" w:line="144"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3,529</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04"/>
              <w:spacing w:after="0" w:line="144"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3,526</w:t>
            </w:r>
          </w:p>
        </w:tc>
        <w:tc>
          <w:tcPr>
            <w:tcW w:w="2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24"/>
              <w:spacing w:after="0" w:line="144"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7,057</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04"/>
              <w:spacing w:after="0" w:line="144" w:lineRule="exact"/>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5,290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of June 30, 2022, the estimated fair value (Level 2) of the Notes was $559.8 million. The fair value of the Notes is estimated using a pricing model that is primarily affected by the trading price of our common stock and market interest rates.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COMMITMENTS AND CONTINGENCIES</w:t>
      </w:r>
    </w:p>
    <w:p>
      <w:pPr>
        <w:spacing w:after="0" w:line="2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has entered into various operating lease agreements, primarily relating to our corporate offices. See </w:t>
      </w:r>
      <w:r>
        <w:rPr>
          <w:rFonts w:ascii="Arial" w:cs="Arial" w:eastAsia="Arial" w:hAnsi="Arial"/>
          <w:sz w:val="17"/>
          <w:szCs w:val="17"/>
          <w:i w:val="1"/>
          <w:iCs w:val="1"/>
          <w:color w:val="auto"/>
        </w:rPr>
        <w:t>Note 8 – Commitments and Contingencies</w:t>
      </w:r>
      <w:r>
        <w:rPr>
          <w:rFonts w:ascii="Arial" w:cs="Arial" w:eastAsia="Arial" w:hAnsi="Arial"/>
          <w:sz w:val="17"/>
          <w:szCs w:val="17"/>
          <w:color w:val="auto"/>
        </w:rPr>
        <w:t>, subsection titled “Leases”, in Part II, Item 8 of the Annual Report on Form 10-K for the year ended December 31, 2021 for information regarding the Company’s maturity of lease liabilities under its lease agreements.</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Contingencies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District Court Proceedings</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spacing w:after="0" w:line="167"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are instituted on all grounds presented. On January 18, 2022, the Board issued decisions on the two IPRs. In one IPR, all challenged claims were found unpatentable including PGI’s core device claims. In the second IPR, the board did not find the disputed claims unpatentable. We are appealing the decision in the second IPR to the U.S. Court of Appeals for the Federal Circuit.</w:t>
      </w:r>
    </w:p>
    <w:p>
      <w:pPr>
        <w:spacing w:after="0" w:line="16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August 19, 2020, the court ordered a stay of the PGI District Court matter based on a joint stipulation by the parties pending a final written decision on the IPRs. Following the final decision on the IPRs described above, on February 2, 2022, the judge ordered that the PGI District Court matter be reopened. We plan to vigorously defend against the remaining claims.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Proceedings in China</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We filed a petition with the Wuhan Intermediate People’s court requesting dismissal of the infringement action based on the CNIPA invalidation decision, and PGI filed a petition to withdraw its complaint. The Wuhan Intermediate People’s court granted PGI’s petition and dismissed the infringement action in May 2022.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Proceedings</w:t>
      </w:r>
    </w:p>
    <w:p>
      <w:pPr>
        <w:spacing w:after="0" w:line="184"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arise in the normal course of our business. In addition, third parties may, from time to time, assert claims against us in the form of letters and other communications.</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84" w:lineRule="exact"/>
        <w:rPr>
          <w:sz w:val="20"/>
          <w:szCs w:val="20"/>
          <w:color w:val="auto"/>
        </w:rPr>
      </w:pPr>
    </w:p>
    <w:p>
      <w:pPr>
        <w:jc w:val="both"/>
        <w:ind w:firstLine="412"/>
        <w:spacing w:after="0" w:line="235" w:lineRule="auto"/>
        <w:rPr>
          <w:sz w:val="20"/>
          <w:szCs w:val="20"/>
          <w:color w:val="auto"/>
        </w:rPr>
      </w:pPr>
      <w:r>
        <w:rPr>
          <w:rFonts w:ascii="Arial" w:cs="Arial" w:eastAsia="Arial" w:hAnsi="Arial"/>
          <w:sz w:val="16"/>
          <w:szCs w:val="16"/>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June 30, 2022 and December 31, 2021.</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N</w:t>
      </w:r>
      <w:r>
        <w:rPr>
          <w:rFonts w:ascii="Arial" w:cs="Arial" w:eastAsia="Arial" w:hAnsi="Arial"/>
          <w:sz w:val="17"/>
          <w:szCs w:val="17"/>
          <w:b w:val="1"/>
          <w:bCs w:val="1"/>
          <w:color w:val="auto"/>
        </w:rPr>
        <w:t>OTE 9.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Plans</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2020 Equity Incentive Plan (the “2020 Plan”), the 2020 Inducement Equity Incentive Plan (the “Inducement Plan”) and the 2021 adopted Omniome Equity Incentive Plan of Pacific Biosciences of California, Inc. (the “Omniome Plan”) allow for the issuance of stock options, restricted units and awards and performance-based awards.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August 4, 2020, stockholders approved the 2020 Plan and reserved 11,000,000 shares of our common stock for issuance pursuant to equity awards granted under the 2020 Plan.</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December 2, 2020, the Board of Directors (the “Board”) adopted the Inducement Plan and reserved 2,500,000 shares of our common stock for issuance pursuant to equity awards granted under the Inducement Plan. On April 18, 2021 and November 22, 2021, the Board amended the Inducement Plan to reserve an additional 750,000 and 360,000 shares, respectively.</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On September 20, 2021, in connection with the acquisition of Omniome, we adopted the Omniome Equity Incentive Plan of Pacific Biosciences of California, Inc. (the “Omniome Plan”). Under the Omniome Merger Agreement, each unvested option to purchase Omniome common stock, granted under the Omniome Plan held by employees continuing with us, were assumed by PacBio and converted into an option to purchase shares of our common stock. The terms and conditions of the converted options are substantially the same (including vesting and exercisability), except that (A) the assumed options cover shares of PacBio’s common stock; (B) the number of shares of our common stock subject to the assumed option is equal to the product of (i) the number of shares of Omniome common stock subject to the corresponding unvested option, multiplied by (ii) the exchange ratio (as defined below), with any resulting fractional share rounded down to the nearest whole share; and (C) the exercise price per share of the assumed options is equal to the quotient of (i) the exercise price per share of the corresponding unvested option to purchase shares of Omniome common stock, divided by (ii) the exchange ratio (as defined below), with any resulting fractional cent rounded up to the nearest whole cent. The exchange ratio was equal to 0.259204639. We reserved 2,494,128 shares of our common stock for issuance pursuant to equity awards under the Omniome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On May 25, 2022, stockholders approved an amendment to the 2020 Plan and we reserved an additional 18,000,000 shares of our common stock for issuance pursuant to equity awards granted under the 2020 Plan.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we had 19.5 million shares remaining and available for future issuance under the 2020 Plan, Inducement Plan, and the Omniome Plan.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Time-based 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 activity for time-based awards for the six months ended June 30, 2022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w w:val="90"/>
              </w:rPr>
              <w:t>Stock Options Outstanding</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440" w:type="dxa"/>
            <w:vAlign w:val="bottom"/>
          </w:tcPr>
          <w:p>
            <w:pPr>
              <w:spacing w:after="0"/>
              <w:rPr>
                <w:sz w:val="10"/>
                <w:szCs w:val="10"/>
                <w:color w:val="auto"/>
              </w:rPr>
            </w:pPr>
          </w:p>
        </w:tc>
        <w:tc>
          <w:tcPr>
            <w:tcW w:w="122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jc w:val="center"/>
              <w:ind w:right="206"/>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Exercise price</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jc w:val="center"/>
              <w:ind w:right="206"/>
              <w:spacing w:after="0" w:line="151" w:lineRule="exact"/>
              <w:rPr>
                <w:sz w:val="20"/>
                <w:szCs w:val="20"/>
                <w:color w:val="auto"/>
              </w:rPr>
            </w:pPr>
            <w:r>
              <w:rPr>
                <w:rFonts w:ascii="Arial" w:cs="Arial" w:eastAsia="Arial" w:hAnsi="Arial"/>
                <w:sz w:val="15"/>
                <w:szCs w:val="15"/>
                <w:b w:val="1"/>
                <w:bCs w:val="1"/>
                <w:color w:val="auto"/>
                <w:w w:val="88"/>
              </w:rPr>
              <w:t>average</w:t>
            </w:r>
          </w:p>
        </w:tc>
        <w:tc>
          <w:tcPr>
            <w:tcW w:w="0" w:type="dxa"/>
            <w:vAlign w:val="bottom"/>
          </w:tcPr>
          <w:p>
            <w:pPr>
              <w:spacing w:after="0"/>
              <w:rPr>
                <w:sz w:val="1"/>
                <w:szCs w:val="1"/>
                <w:color w:val="auto"/>
              </w:rPr>
            </w:pPr>
          </w:p>
        </w:tc>
      </w:tr>
      <w:tr>
        <w:trPr>
          <w:trHeight w:val="176"/>
        </w:trPr>
        <w:tc>
          <w:tcPr>
            <w:tcW w:w="54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w w:val="86"/>
              </w:rPr>
              <w:t>of shares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226"/>
              <w:spacing w:after="0"/>
              <w:rPr>
                <w:sz w:val="20"/>
                <w:szCs w:val="20"/>
                <w:color w:val="auto"/>
              </w:rPr>
            </w:pPr>
            <w:r>
              <w:rPr>
                <w:rFonts w:ascii="Arial" w:cs="Arial" w:eastAsia="Arial" w:hAnsi="Arial"/>
                <w:sz w:val="15"/>
                <w:szCs w:val="15"/>
                <w:b w:val="1"/>
                <w:bCs w:val="1"/>
                <w:color w:val="auto"/>
                <w:w w:val="87"/>
              </w:rPr>
              <w:t>exercise price</w:t>
            </w:r>
          </w:p>
        </w:tc>
        <w:tc>
          <w:tcPr>
            <w:tcW w:w="0" w:type="dxa"/>
            <w:vAlign w:val="bottom"/>
          </w:tcPr>
          <w:p>
            <w:pPr>
              <w:spacing w:after="0"/>
              <w:rPr>
                <w:sz w:val="1"/>
                <w:szCs w:val="1"/>
                <w:color w:val="auto"/>
              </w:rPr>
            </w:pPr>
          </w:p>
        </w:tc>
      </w:tr>
      <w:tr>
        <w:trPr>
          <w:trHeight w:val="144"/>
        </w:trPr>
        <w:tc>
          <w:tcPr>
            <w:tcW w:w="544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Outstanding at December 31, 2021</w:t>
            </w:r>
          </w:p>
        </w:tc>
        <w:tc>
          <w:tcPr>
            <w:tcW w:w="1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
              <w:spacing w:after="0" w:line="144" w:lineRule="exact"/>
              <w:rPr>
                <w:sz w:val="20"/>
                <w:szCs w:val="20"/>
                <w:color w:val="auto"/>
              </w:rPr>
            </w:pPr>
            <w:r>
              <w:rPr>
                <w:rFonts w:ascii="Arial" w:cs="Arial" w:eastAsia="Arial" w:hAnsi="Arial"/>
                <w:sz w:val="15"/>
                <w:szCs w:val="15"/>
                <w:color w:val="auto"/>
              </w:rPr>
              <w:t>12,159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1.16</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87"/>
              </w:rPr>
              <w:t>– 46.37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4"/>
              <w:spacing w:after="0" w:line="144" w:lineRule="exact"/>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ind w:right="426"/>
              <w:spacing w:after="0" w:line="144" w:lineRule="exact"/>
              <w:rPr>
                <w:sz w:val="20"/>
                <w:szCs w:val="20"/>
                <w:color w:val="auto"/>
              </w:rPr>
            </w:pPr>
            <w:r>
              <w:rPr>
                <w:rFonts w:ascii="Arial" w:cs="Arial" w:eastAsia="Arial" w:hAnsi="Arial"/>
                <w:sz w:val="15"/>
                <w:szCs w:val="15"/>
                <w:color w:val="auto"/>
              </w:rPr>
              <w:t>11.38</w:t>
            </w:r>
          </w:p>
        </w:tc>
        <w:tc>
          <w:tcPr>
            <w:tcW w:w="0" w:type="dxa"/>
            <w:vAlign w:val="bottom"/>
          </w:tcPr>
          <w:p>
            <w:pPr>
              <w:spacing w:after="0"/>
              <w:rPr>
                <w:sz w:val="1"/>
                <w:szCs w:val="1"/>
                <w:color w:val="auto"/>
              </w:rPr>
            </w:pPr>
          </w:p>
        </w:tc>
      </w:tr>
      <w:tr>
        <w:trPr>
          <w:trHeight w:val="152"/>
        </w:trPr>
        <w:tc>
          <w:tcPr>
            <w:tcW w:w="666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560" w:type="dxa"/>
            <w:vAlign w:val="bottom"/>
          </w:tcPr>
          <w:p>
            <w:pPr>
              <w:jc w:val="right"/>
              <w:ind w:right="4"/>
              <w:spacing w:after="0" w:line="151" w:lineRule="exact"/>
              <w:rPr>
                <w:sz w:val="20"/>
                <w:szCs w:val="20"/>
                <w:color w:val="auto"/>
              </w:rPr>
            </w:pPr>
            <w:r>
              <w:rPr>
                <w:rFonts w:ascii="Arial" w:cs="Arial" w:eastAsia="Arial" w:hAnsi="Arial"/>
                <w:sz w:val="15"/>
                <w:szCs w:val="15"/>
                <w:color w:val="auto"/>
              </w:rPr>
              <w:t>4,611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line="151" w:lineRule="exact"/>
              <w:rPr>
                <w:sz w:val="20"/>
                <w:szCs w:val="20"/>
                <w:color w:val="auto"/>
              </w:rPr>
            </w:pPr>
            <w:r>
              <w:rPr>
                <w:rFonts w:ascii="Arial" w:cs="Arial" w:eastAsia="Arial" w:hAnsi="Arial"/>
                <w:sz w:val="15"/>
                <w:szCs w:val="15"/>
                <w:color w:val="auto"/>
              </w:rPr>
              <w:t>4.61</w:t>
            </w:r>
          </w:p>
        </w:tc>
        <w:tc>
          <w:tcPr>
            <w:tcW w:w="520" w:type="dxa"/>
            <w:vAlign w:val="bottom"/>
            <w:gridSpan w:val="2"/>
          </w:tcPr>
          <w:p>
            <w:pPr>
              <w:jc w:val="right"/>
              <w:ind w:right="60"/>
              <w:spacing w:after="0" w:line="151" w:lineRule="exact"/>
              <w:rPr>
                <w:sz w:val="20"/>
                <w:szCs w:val="20"/>
                <w:color w:val="auto"/>
              </w:rPr>
            </w:pPr>
            <w:r>
              <w:rPr>
                <w:rFonts w:ascii="Arial" w:cs="Arial" w:eastAsia="Arial" w:hAnsi="Arial"/>
                <w:sz w:val="15"/>
                <w:szCs w:val="15"/>
                <w:color w:val="auto"/>
                <w:w w:val="87"/>
              </w:rPr>
              <w:t>– 16.58</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jc w:val="right"/>
              <w:ind w:right="426"/>
              <w:spacing w:after="0" w:line="151" w:lineRule="exact"/>
              <w:rPr>
                <w:sz w:val="20"/>
                <w:szCs w:val="20"/>
                <w:color w:val="auto"/>
              </w:rPr>
            </w:pPr>
            <w:r>
              <w:rPr>
                <w:rFonts w:ascii="Arial" w:cs="Arial" w:eastAsia="Arial" w:hAnsi="Arial"/>
                <w:sz w:val="15"/>
                <w:szCs w:val="15"/>
                <w:color w:val="auto"/>
              </w:rPr>
              <w:t>10.65</w:t>
            </w:r>
          </w:p>
        </w:tc>
        <w:tc>
          <w:tcPr>
            <w:tcW w:w="0" w:type="dxa"/>
            <w:vAlign w:val="bottom"/>
          </w:tcPr>
          <w:p>
            <w:pPr>
              <w:spacing w:after="0"/>
              <w:rPr>
                <w:sz w:val="1"/>
                <w:szCs w:val="1"/>
                <w:color w:val="auto"/>
              </w:rPr>
            </w:pPr>
          </w:p>
        </w:tc>
      </w:tr>
      <w:tr>
        <w:trPr>
          <w:trHeight w:val="152"/>
        </w:trPr>
        <w:tc>
          <w:tcPr>
            <w:tcW w:w="666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Exercised</w:t>
            </w:r>
          </w:p>
        </w:tc>
        <w:tc>
          <w:tcPr>
            <w:tcW w:w="56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rPr>
              <w:t>(421)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gridSpan w:val="3"/>
            <w:shd w:val="clear" w:color="auto" w:fill="CCEEFF"/>
          </w:tcPr>
          <w:p>
            <w:pPr>
              <w:jc w:val="right"/>
              <w:ind w:right="60"/>
              <w:spacing w:after="0" w:line="151" w:lineRule="exact"/>
              <w:rPr>
                <w:sz w:val="20"/>
                <w:szCs w:val="20"/>
                <w:color w:val="auto"/>
              </w:rPr>
            </w:pPr>
            <w:r>
              <w:rPr>
                <w:rFonts w:ascii="Arial" w:cs="Arial" w:eastAsia="Arial" w:hAnsi="Arial"/>
                <w:sz w:val="15"/>
                <w:szCs w:val="15"/>
                <w:color w:val="auto"/>
              </w:rPr>
              <w:t>1.16 – 8.90</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426"/>
              <w:spacing w:after="0" w:line="151" w:lineRule="exact"/>
              <w:rPr>
                <w:sz w:val="20"/>
                <w:szCs w:val="20"/>
                <w:color w:val="auto"/>
              </w:rPr>
            </w:pPr>
            <w:r>
              <w:rPr>
                <w:rFonts w:ascii="Arial" w:cs="Arial" w:eastAsia="Arial" w:hAnsi="Arial"/>
                <w:sz w:val="15"/>
                <w:szCs w:val="15"/>
                <w:color w:val="auto"/>
              </w:rPr>
              <w:t>4.21</w:t>
            </w:r>
          </w:p>
        </w:tc>
        <w:tc>
          <w:tcPr>
            <w:tcW w:w="0" w:type="dxa"/>
            <w:vAlign w:val="bottom"/>
          </w:tcPr>
          <w:p>
            <w:pPr>
              <w:spacing w:after="0"/>
              <w:rPr>
                <w:sz w:val="1"/>
                <w:szCs w:val="1"/>
                <w:color w:val="auto"/>
              </w:rPr>
            </w:pPr>
          </w:p>
        </w:tc>
      </w:tr>
      <w:tr>
        <w:trPr>
          <w:trHeight w:val="152"/>
        </w:trPr>
        <w:tc>
          <w:tcPr>
            <w:tcW w:w="6660" w:type="dxa"/>
            <w:vAlign w:val="bottom"/>
            <w:gridSpan w:val="2"/>
          </w:tcPr>
          <w:p>
            <w:pPr>
              <w:spacing w:after="0" w:line="151" w:lineRule="exact"/>
              <w:rPr>
                <w:sz w:val="20"/>
                <w:szCs w:val="20"/>
                <w:color w:val="auto"/>
              </w:rPr>
            </w:pPr>
            <w:r>
              <w:rPr>
                <w:rFonts w:ascii="Arial" w:cs="Arial" w:eastAsia="Arial" w:hAnsi="Arial"/>
                <w:sz w:val="15"/>
                <w:szCs w:val="15"/>
                <w:color w:val="auto"/>
              </w:rPr>
              <w:t>Canceled</w:t>
            </w:r>
          </w:p>
        </w:tc>
        <w:tc>
          <w:tcPr>
            <w:tcW w:w="560" w:type="dxa"/>
            <w:vAlign w:val="bottom"/>
          </w:tcPr>
          <w:p>
            <w:pPr>
              <w:jc w:val="right"/>
              <w:ind w:right="4"/>
              <w:spacing w:after="0" w:line="151" w:lineRule="exact"/>
              <w:rPr>
                <w:sz w:val="20"/>
                <w:szCs w:val="20"/>
                <w:color w:val="auto"/>
              </w:rPr>
            </w:pPr>
            <w:r>
              <w:rPr>
                <w:rFonts w:ascii="Arial" w:cs="Arial" w:eastAsia="Arial" w:hAnsi="Arial"/>
                <w:sz w:val="15"/>
                <w:szCs w:val="15"/>
                <w:color w:val="auto"/>
                <w:w w:val="96"/>
              </w:rPr>
              <w:t>(1,050)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spacing w:after="0" w:line="151" w:lineRule="exact"/>
              <w:rPr>
                <w:sz w:val="20"/>
                <w:szCs w:val="20"/>
                <w:color w:val="auto"/>
              </w:rPr>
            </w:pPr>
            <w:r>
              <w:rPr>
                <w:rFonts w:ascii="Arial" w:cs="Arial" w:eastAsia="Arial" w:hAnsi="Arial"/>
                <w:sz w:val="15"/>
                <w:szCs w:val="15"/>
                <w:color w:val="auto"/>
              </w:rPr>
              <w:t>2.47</w:t>
            </w:r>
          </w:p>
        </w:tc>
        <w:tc>
          <w:tcPr>
            <w:tcW w:w="520" w:type="dxa"/>
            <w:vAlign w:val="bottom"/>
            <w:gridSpan w:val="2"/>
          </w:tcPr>
          <w:p>
            <w:pPr>
              <w:jc w:val="right"/>
              <w:ind w:right="60"/>
              <w:spacing w:after="0" w:line="151" w:lineRule="exact"/>
              <w:rPr>
                <w:sz w:val="20"/>
                <w:szCs w:val="20"/>
                <w:color w:val="auto"/>
              </w:rPr>
            </w:pPr>
            <w:r>
              <w:rPr>
                <w:rFonts w:ascii="Arial" w:cs="Arial" w:eastAsia="Arial" w:hAnsi="Arial"/>
                <w:sz w:val="15"/>
                <w:szCs w:val="15"/>
                <w:color w:val="auto"/>
                <w:w w:val="87"/>
              </w:rPr>
              <w:t>– 46.37</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jc w:val="right"/>
              <w:ind w:right="426"/>
              <w:spacing w:after="0" w:line="151" w:lineRule="exact"/>
              <w:rPr>
                <w:sz w:val="20"/>
                <w:szCs w:val="20"/>
                <w:color w:val="auto"/>
              </w:rPr>
            </w:pPr>
            <w:r>
              <w:rPr>
                <w:rFonts w:ascii="Arial" w:cs="Arial" w:eastAsia="Arial" w:hAnsi="Arial"/>
                <w:sz w:val="15"/>
                <w:szCs w:val="15"/>
                <w:color w:val="auto"/>
              </w:rPr>
              <w:t>23.98</w:t>
            </w:r>
          </w:p>
        </w:tc>
        <w:tc>
          <w:tcPr>
            <w:tcW w:w="0" w:type="dxa"/>
            <w:vAlign w:val="bottom"/>
          </w:tcPr>
          <w:p>
            <w:pPr>
              <w:spacing w:after="0"/>
              <w:rPr>
                <w:sz w:val="1"/>
                <w:szCs w:val="1"/>
                <w:color w:val="auto"/>
              </w:rPr>
            </w:pPr>
          </w:p>
        </w:tc>
      </w:tr>
      <w:tr>
        <w:trPr>
          <w:trHeight w:val="144"/>
        </w:trPr>
        <w:tc>
          <w:tcPr>
            <w:tcW w:w="5440" w:type="dxa"/>
            <w:vAlign w:val="bottom"/>
            <w:tcBorders>
              <w:top w:val="single" w:sz="8" w:color="CCEEFF"/>
              <w:bottom w:val="single" w:sz="8" w:color="CCEEFF"/>
            </w:tcBorders>
            <w:shd w:val="clear" w:color="auto" w:fill="CCEEFF"/>
          </w:tcPr>
          <w:p>
            <w:pPr>
              <w:spacing w:after="0" w:line="144" w:lineRule="exact"/>
              <w:rPr>
                <w:sz w:val="20"/>
                <w:szCs w:val="20"/>
                <w:color w:val="auto"/>
              </w:rPr>
            </w:pPr>
            <w:r>
              <w:rPr>
                <w:rFonts w:ascii="Arial" w:cs="Arial" w:eastAsia="Arial" w:hAnsi="Arial"/>
                <w:sz w:val="15"/>
                <w:szCs w:val="15"/>
                <w:color w:val="auto"/>
              </w:rPr>
              <w:t>Outstanding at June 30, 2022</w:t>
            </w:r>
          </w:p>
        </w:tc>
        <w:tc>
          <w:tcPr>
            <w:tcW w:w="1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ind w:right="4"/>
              <w:spacing w:after="0" w:line="144" w:lineRule="exact"/>
              <w:rPr>
                <w:sz w:val="20"/>
                <w:szCs w:val="20"/>
                <w:color w:val="auto"/>
              </w:rPr>
            </w:pPr>
            <w:r>
              <w:rPr>
                <w:rFonts w:ascii="Arial" w:cs="Arial" w:eastAsia="Arial" w:hAnsi="Arial"/>
                <w:sz w:val="15"/>
                <w:szCs w:val="15"/>
                <w:color w:val="auto"/>
              </w:rPr>
              <w:t>15,299</w:t>
            </w:r>
          </w:p>
        </w:tc>
        <w:tc>
          <w:tcPr>
            <w:tcW w:w="220" w:type="dxa"/>
            <w:vAlign w:val="bottom"/>
            <w:tcBorders>
              <w:top w:val="single" w:sz="8" w:color="CCEEFF"/>
              <w:bottom w:val="single" w:sz="8" w:color="CCEEFF"/>
            </w:tcBorders>
            <w:gridSpan w:val="2"/>
            <w:shd w:val="clear" w:color="auto" w:fill="CCEEFF"/>
          </w:tcPr>
          <w:p>
            <w:pPr>
              <w:jc w:val="right"/>
              <w:spacing w:after="0" w:line="144" w:lineRule="exact"/>
              <w:rPr>
                <w:sz w:val="20"/>
                <w:szCs w:val="20"/>
                <w:color w:val="auto"/>
              </w:rPr>
            </w:pPr>
            <w:r>
              <w:rPr>
                <w:rFonts w:ascii="Arial" w:cs="Arial" w:eastAsia="Arial" w:hAnsi="Arial"/>
                <w:sz w:val="15"/>
                <w:szCs w:val="15"/>
                <w:color w:val="auto"/>
              </w:rPr>
              <w:t>$</w:t>
            </w:r>
          </w:p>
        </w:tc>
        <w:tc>
          <w:tcPr>
            <w:tcW w:w="1320" w:type="dxa"/>
            <w:vAlign w:val="bottom"/>
            <w:tcBorders>
              <w:top w:val="single" w:sz="8" w:color="CCEEFF"/>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1.16</w:t>
            </w:r>
          </w:p>
        </w:tc>
        <w:tc>
          <w:tcPr>
            <w:tcW w:w="520" w:type="dxa"/>
            <w:vAlign w:val="bottom"/>
            <w:tcBorders>
              <w:top w:val="single" w:sz="8" w:color="CCEEFF"/>
              <w:bottom w:val="single" w:sz="8" w:color="CCEEFF"/>
            </w:tcBorders>
            <w:gridSpan w:val="2"/>
            <w:shd w:val="clear" w:color="auto" w:fill="CCEEFF"/>
          </w:tcPr>
          <w:p>
            <w:pPr>
              <w:jc w:val="right"/>
              <w:ind w:right="60"/>
              <w:spacing w:after="0" w:line="144" w:lineRule="exact"/>
              <w:rPr>
                <w:sz w:val="20"/>
                <w:szCs w:val="20"/>
                <w:color w:val="auto"/>
              </w:rPr>
            </w:pPr>
            <w:r>
              <w:rPr>
                <w:rFonts w:ascii="Arial" w:cs="Arial" w:eastAsia="Arial" w:hAnsi="Arial"/>
                <w:sz w:val="15"/>
                <w:szCs w:val="15"/>
                <w:color w:val="auto"/>
                <w:w w:val="87"/>
              </w:rPr>
              <w:t>– 46.37</w:t>
            </w:r>
          </w:p>
        </w:tc>
        <w:tc>
          <w:tcPr>
            <w:tcW w:w="340" w:type="dxa"/>
            <w:vAlign w:val="bottom"/>
            <w:tcBorders>
              <w:top w:val="single" w:sz="8" w:color="CCEEFF"/>
              <w:bottom w:val="single" w:sz="8" w:color="CCEEFF"/>
            </w:tcBorders>
            <w:gridSpan w:val="2"/>
            <w:shd w:val="clear" w:color="auto" w:fill="CCEEFF"/>
          </w:tcPr>
          <w:p>
            <w:pPr>
              <w:jc w:val="right"/>
              <w:ind w:right="144"/>
              <w:spacing w:after="0" w:line="144" w:lineRule="exact"/>
              <w:rPr>
                <w:sz w:val="20"/>
                <w:szCs w:val="20"/>
                <w:color w:val="auto"/>
              </w:rPr>
            </w:pPr>
            <w:r>
              <w:rPr>
                <w:rFonts w:ascii="Arial" w:cs="Arial" w:eastAsia="Arial" w:hAnsi="Arial"/>
                <w:sz w:val="15"/>
                <w:szCs w:val="15"/>
                <w:color w:val="auto"/>
              </w:rPr>
              <w:t>$</w:t>
            </w:r>
          </w:p>
        </w:tc>
        <w:tc>
          <w:tcPr>
            <w:tcW w:w="1620" w:type="dxa"/>
            <w:vAlign w:val="bottom"/>
            <w:tcBorders>
              <w:top w:val="single" w:sz="8" w:color="CCEEFF"/>
              <w:bottom w:val="single" w:sz="8" w:color="CCEEFF"/>
            </w:tcBorders>
            <w:shd w:val="clear" w:color="auto" w:fill="CCEEFF"/>
          </w:tcPr>
          <w:p>
            <w:pPr>
              <w:jc w:val="right"/>
              <w:ind w:right="426"/>
              <w:spacing w:after="0" w:line="144" w:lineRule="exact"/>
              <w:rPr>
                <w:sz w:val="20"/>
                <w:szCs w:val="20"/>
                <w:color w:val="auto"/>
              </w:rPr>
            </w:pPr>
            <w:r>
              <w:rPr>
                <w:rFonts w:ascii="Arial" w:cs="Arial" w:eastAsia="Arial" w:hAnsi="Arial"/>
                <w:sz w:val="15"/>
                <w:szCs w:val="15"/>
                <w:color w:val="auto"/>
              </w:rPr>
              <w:t>10.67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Performance-based 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stock option activity for performance-based awards for the six months ended June 30, 2022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4"/>
              </w:rPr>
              <w:t>Stock Options Outstanding</w:t>
            </w: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460" w:type="dxa"/>
            <w:vAlign w:val="bottom"/>
          </w:tcPr>
          <w:p>
            <w:pPr>
              <w:spacing w:after="0"/>
              <w:rPr>
                <w:sz w:val="10"/>
                <w:szCs w:val="10"/>
                <w:color w:val="auto"/>
              </w:rPr>
            </w:pPr>
          </w:p>
        </w:tc>
        <w:tc>
          <w:tcPr>
            <w:tcW w:w="132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Number</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tcPr>
          <w:p>
            <w:pPr>
              <w:jc w:val="center"/>
              <w:ind w:right="226"/>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52"/>
        </w:trPr>
        <w:tc>
          <w:tcPr>
            <w:tcW w:w="5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ind w:left="380"/>
              <w:spacing w:after="0"/>
              <w:rPr>
                <w:sz w:val="20"/>
                <w:szCs w:val="20"/>
                <w:color w:val="auto"/>
              </w:rPr>
            </w:pPr>
            <w:r>
              <w:rPr>
                <w:rFonts w:ascii="Arial" w:cs="Arial" w:eastAsia="Arial" w:hAnsi="Arial"/>
                <w:sz w:val="15"/>
                <w:szCs w:val="15"/>
                <w:b w:val="1"/>
                <w:bCs w:val="1"/>
                <w:color w:val="auto"/>
                <w:w w:val="96"/>
              </w:rPr>
              <w:t>Exercise price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jc w:val="center"/>
              <w:ind w:right="226"/>
              <w:spacing w:after="0" w:line="151" w:lineRule="exact"/>
              <w:rPr>
                <w:sz w:val="20"/>
                <w:szCs w:val="20"/>
                <w:color w:val="auto"/>
              </w:rPr>
            </w:pPr>
            <w:r>
              <w:rPr>
                <w:rFonts w:ascii="Arial" w:cs="Arial" w:eastAsia="Arial" w:hAnsi="Arial"/>
                <w:sz w:val="15"/>
                <w:szCs w:val="15"/>
                <w:b w:val="1"/>
                <w:bCs w:val="1"/>
                <w:color w:val="auto"/>
                <w:w w:val="88"/>
              </w:rPr>
              <w:t>average</w:t>
            </w:r>
          </w:p>
        </w:tc>
        <w:tc>
          <w:tcPr>
            <w:tcW w:w="0" w:type="dxa"/>
            <w:vAlign w:val="bottom"/>
          </w:tcPr>
          <w:p>
            <w:pPr>
              <w:spacing w:after="0"/>
              <w:rPr>
                <w:sz w:val="1"/>
                <w:szCs w:val="1"/>
                <w:color w:val="auto"/>
              </w:rPr>
            </w:pPr>
          </w:p>
        </w:tc>
      </w:tr>
      <w:tr>
        <w:trPr>
          <w:trHeight w:val="176"/>
        </w:trPr>
        <w:tc>
          <w:tcPr>
            <w:tcW w:w="54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of shares</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206"/>
              <w:spacing w:after="0"/>
              <w:rPr>
                <w:sz w:val="20"/>
                <w:szCs w:val="20"/>
                <w:color w:val="auto"/>
              </w:rPr>
            </w:pPr>
            <w:r>
              <w:rPr>
                <w:rFonts w:ascii="Arial" w:cs="Arial" w:eastAsia="Arial" w:hAnsi="Arial"/>
                <w:sz w:val="15"/>
                <w:szCs w:val="15"/>
                <w:b w:val="1"/>
                <w:bCs w:val="1"/>
                <w:color w:val="auto"/>
                <w:w w:val="87"/>
              </w:rPr>
              <w:t>exercise price</w:t>
            </w:r>
          </w:p>
        </w:tc>
        <w:tc>
          <w:tcPr>
            <w:tcW w:w="0" w:type="dxa"/>
            <w:vAlign w:val="bottom"/>
          </w:tcPr>
          <w:p>
            <w:pPr>
              <w:spacing w:after="0"/>
              <w:rPr>
                <w:sz w:val="1"/>
                <w:szCs w:val="1"/>
                <w:color w:val="auto"/>
              </w:rPr>
            </w:pPr>
          </w:p>
        </w:tc>
      </w:tr>
      <w:tr>
        <w:trPr>
          <w:trHeight w:val="144"/>
        </w:trPr>
        <w:tc>
          <w:tcPr>
            <w:tcW w:w="546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Outstanding at December 31, 2021</w:t>
            </w:r>
          </w:p>
        </w:tc>
        <w:tc>
          <w:tcPr>
            <w:tcW w:w="13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304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780" w:type="dxa"/>
            <w:vAlign w:val="bottom"/>
            <w:gridSpan w:val="2"/>
            <w:shd w:val="clear" w:color="auto" w:fill="CCEEFF"/>
          </w:tcPr>
          <w:p>
            <w:pPr>
              <w:ind w:left="940"/>
              <w:spacing w:after="0" w:line="144" w:lineRule="exact"/>
              <w:rPr>
                <w:sz w:val="20"/>
                <w:szCs w:val="20"/>
                <w:color w:val="auto"/>
              </w:rPr>
            </w:pPr>
            <w:r>
              <w:rPr>
                <w:rFonts w:ascii="Arial" w:cs="Arial" w:eastAsia="Arial" w:hAnsi="Arial"/>
                <w:sz w:val="15"/>
                <w:szCs w:val="15"/>
                <w:color w:val="auto"/>
              </w:rPr>
              <w:t>4.71 – 4.90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4"/>
              <w:spacing w:after="0" w:line="144" w:lineRule="exact"/>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446"/>
              <w:spacing w:after="0" w:line="144" w:lineRule="exact"/>
              <w:rPr>
                <w:sz w:val="20"/>
                <w:szCs w:val="20"/>
                <w:color w:val="auto"/>
              </w:rPr>
            </w:pPr>
            <w:r>
              <w:rPr>
                <w:rFonts w:ascii="Arial" w:cs="Arial" w:eastAsia="Arial" w:hAnsi="Arial"/>
                <w:sz w:val="15"/>
                <w:szCs w:val="15"/>
                <w:color w:val="auto"/>
              </w:rPr>
              <w:t>4.71</w:t>
            </w:r>
          </w:p>
        </w:tc>
        <w:tc>
          <w:tcPr>
            <w:tcW w:w="0" w:type="dxa"/>
            <w:vAlign w:val="bottom"/>
          </w:tcPr>
          <w:p>
            <w:pPr>
              <w:spacing w:after="0"/>
              <w:rPr>
                <w:sz w:val="1"/>
                <w:szCs w:val="1"/>
                <w:color w:val="auto"/>
              </w:rPr>
            </w:pPr>
          </w:p>
        </w:tc>
      </w:tr>
      <w:tr>
        <w:trPr>
          <w:trHeight w:val="152"/>
        </w:trPr>
        <w:tc>
          <w:tcPr>
            <w:tcW w:w="678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460" w:type="dxa"/>
            <w:vAlign w:val="bottom"/>
          </w:tcPr>
          <w:p>
            <w:pPr>
              <w:jc w:val="right"/>
              <w:ind w:right="24"/>
              <w:spacing w:after="0" w:line="15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0" w:type="dxa"/>
            <w:vAlign w:val="bottom"/>
            <w:gridSpan w:val="2"/>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3"/>
                <w:szCs w:val="13"/>
                <w:color w:val="auto"/>
              </w:rPr>
            </w:pPr>
          </w:p>
        </w:tc>
        <w:tc>
          <w:tcPr>
            <w:tcW w:w="1600" w:type="dxa"/>
            <w:vAlign w:val="bottom"/>
          </w:tcPr>
          <w:p>
            <w:pPr>
              <w:jc w:val="right"/>
              <w:ind w:right="426"/>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678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Exercised</w:t>
            </w:r>
          </w:p>
        </w:tc>
        <w:tc>
          <w:tcPr>
            <w:tcW w:w="460" w:type="dxa"/>
            <w:vAlign w:val="bottom"/>
            <w:shd w:val="clear" w:color="auto" w:fill="CCEEFF"/>
          </w:tcPr>
          <w:p>
            <w:pPr>
              <w:jc w:val="right"/>
              <w:ind w:right="24"/>
              <w:spacing w:after="0" w:line="151"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426"/>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6780" w:type="dxa"/>
            <w:vAlign w:val="bottom"/>
            <w:gridSpan w:val="2"/>
          </w:tcPr>
          <w:p>
            <w:pPr>
              <w:spacing w:after="0" w:line="151" w:lineRule="exact"/>
              <w:rPr>
                <w:sz w:val="20"/>
                <w:szCs w:val="20"/>
                <w:color w:val="auto"/>
              </w:rPr>
            </w:pPr>
            <w:r>
              <w:rPr>
                <w:rFonts w:ascii="Arial" w:cs="Arial" w:eastAsia="Arial" w:hAnsi="Arial"/>
                <w:sz w:val="15"/>
                <w:szCs w:val="15"/>
                <w:color w:val="auto"/>
              </w:rPr>
              <w:t>Canceled</w:t>
            </w:r>
          </w:p>
        </w:tc>
        <w:tc>
          <w:tcPr>
            <w:tcW w:w="460" w:type="dxa"/>
            <w:vAlign w:val="bottom"/>
          </w:tcPr>
          <w:p>
            <w:pPr>
              <w:jc w:val="right"/>
              <w:ind w:right="24"/>
              <w:spacing w:after="0" w:line="151" w:lineRule="exact"/>
              <w:rPr>
                <w:sz w:val="20"/>
                <w:szCs w:val="20"/>
                <w:color w:val="auto"/>
              </w:rPr>
            </w:pPr>
            <w:r>
              <w:rPr>
                <w:rFonts w:ascii="Arial" w:cs="Arial" w:eastAsia="Arial" w:hAnsi="Arial"/>
                <w:sz w:val="15"/>
                <w:szCs w:val="15"/>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ind w:left="960"/>
              <w:spacing w:after="0" w:line="151" w:lineRule="exact"/>
              <w:rPr>
                <w:sz w:val="20"/>
                <w:szCs w:val="20"/>
                <w:color w:val="auto"/>
              </w:rPr>
            </w:pPr>
            <w:r>
              <w:rPr>
                <w:rFonts w:ascii="Arial" w:cs="Arial" w:eastAsia="Arial" w:hAnsi="Arial"/>
                <w:sz w:val="15"/>
                <w:szCs w:val="15"/>
                <w:color w:val="auto"/>
                <w:w w:val="95"/>
              </w:rPr>
              <w:t>4.71 –</w:t>
            </w:r>
          </w:p>
        </w:tc>
        <w:tc>
          <w:tcPr>
            <w:tcW w:w="400" w:type="dxa"/>
            <w:vAlign w:val="bottom"/>
          </w:tcPr>
          <w:p>
            <w:pPr>
              <w:jc w:val="right"/>
              <w:ind w:right="24"/>
              <w:spacing w:after="0" w:line="151" w:lineRule="exact"/>
              <w:rPr>
                <w:sz w:val="20"/>
                <w:szCs w:val="20"/>
                <w:color w:val="auto"/>
              </w:rPr>
            </w:pPr>
            <w:r>
              <w:rPr>
                <w:rFonts w:ascii="Arial" w:cs="Arial" w:eastAsia="Arial" w:hAnsi="Arial"/>
                <w:sz w:val="15"/>
                <w:szCs w:val="15"/>
                <w:color w:val="auto"/>
                <w:w w:val="95"/>
              </w:rPr>
              <w:t>4.90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jc w:val="right"/>
              <w:ind w:right="426"/>
              <w:spacing w:after="0" w:line="151" w:lineRule="exact"/>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144"/>
        </w:trPr>
        <w:tc>
          <w:tcPr>
            <w:tcW w:w="5460" w:type="dxa"/>
            <w:vAlign w:val="bottom"/>
            <w:tcBorders>
              <w:top w:val="single" w:sz="8" w:color="CCEEFF"/>
              <w:bottom w:val="single" w:sz="8" w:color="CCEEFF"/>
            </w:tcBorders>
            <w:shd w:val="clear" w:color="auto" w:fill="CCEEFF"/>
          </w:tcPr>
          <w:p>
            <w:pPr>
              <w:spacing w:after="0" w:line="144" w:lineRule="exact"/>
              <w:rPr>
                <w:sz w:val="20"/>
                <w:szCs w:val="20"/>
                <w:color w:val="auto"/>
              </w:rPr>
            </w:pPr>
            <w:r>
              <w:rPr>
                <w:rFonts w:ascii="Arial" w:cs="Arial" w:eastAsia="Arial" w:hAnsi="Arial"/>
                <w:sz w:val="15"/>
                <w:szCs w:val="15"/>
                <w:color w:val="auto"/>
              </w:rPr>
              <w:t>Outstanding at June 30, 2022</w:t>
            </w:r>
          </w:p>
        </w:tc>
        <w:tc>
          <w:tcPr>
            <w:tcW w:w="132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rPr>
              <w:t>303</w:t>
            </w:r>
          </w:p>
        </w:tc>
        <w:tc>
          <w:tcPr>
            <w:tcW w:w="220" w:type="dxa"/>
            <w:vAlign w:val="bottom"/>
            <w:tcBorders>
              <w:top w:val="single" w:sz="8" w:color="CCEEFF"/>
              <w:bottom w:val="single" w:sz="8" w:color="CCEEFF"/>
            </w:tcBorders>
            <w:gridSpan w:val="2"/>
            <w:shd w:val="clear" w:color="auto" w:fill="CCEEFF"/>
          </w:tcPr>
          <w:p>
            <w:pPr>
              <w:jc w:val="right"/>
              <w:spacing w:after="0" w:line="144" w:lineRule="exact"/>
              <w:rPr>
                <w:sz w:val="20"/>
                <w:szCs w:val="20"/>
                <w:color w:val="auto"/>
              </w:rPr>
            </w:pPr>
            <w:r>
              <w:rPr>
                <w:rFonts w:ascii="Arial" w:cs="Arial" w:eastAsia="Arial" w:hAnsi="Arial"/>
                <w:sz w:val="15"/>
                <w:szCs w:val="15"/>
                <w:color w:val="auto"/>
              </w:rPr>
              <w:t>$</w:t>
            </w:r>
          </w:p>
        </w:tc>
        <w:tc>
          <w:tcPr>
            <w:tcW w:w="1380" w:type="dxa"/>
            <w:vAlign w:val="bottom"/>
            <w:tcBorders>
              <w:top w:val="single" w:sz="8" w:color="CCEEFF"/>
              <w:bottom w:val="single" w:sz="8" w:color="CCEEFF"/>
            </w:tcBorders>
            <w:shd w:val="clear" w:color="auto" w:fill="CCEEFF"/>
          </w:tcPr>
          <w:p>
            <w:pPr>
              <w:ind w:left="960"/>
              <w:spacing w:after="0" w:line="144" w:lineRule="exact"/>
              <w:rPr>
                <w:sz w:val="20"/>
                <w:szCs w:val="20"/>
                <w:color w:val="auto"/>
              </w:rPr>
            </w:pPr>
            <w:r>
              <w:rPr>
                <w:rFonts w:ascii="Arial" w:cs="Arial" w:eastAsia="Arial" w:hAnsi="Arial"/>
                <w:sz w:val="15"/>
                <w:szCs w:val="15"/>
                <w:color w:val="auto"/>
                <w:w w:val="95"/>
              </w:rPr>
              <w:t>4.71 –</w:t>
            </w:r>
          </w:p>
        </w:tc>
        <w:tc>
          <w:tcPr>
            <w:tcW w:w="400" w:type="dxa"/>
            <w:vAlign w:val="bottom"/>
            <w:tcBorders>
              <w:top w:val="single" w:sz="8" w:color="CCEEFF"/>
              <w:bottom w:val="single" w:sz="8" w:color="CCEEFF"/>
            </w:tcBorders>
            <w:shd w:val="clear" w:color="auto" w:fill="CCEEFF"/>
          </w:tcPr>
          <w:p>
            <w:pPr>
              <w:jc w:val="right"/>
              <w:ind w:right="24"/>
              <w:spacing w:after="0" w:line="144" w:lineRule="exact"/>
              <w:rPr>
                <w:sz w:val="20"/>
                <w:szCs w:val="20"/>
                <w:color w:val="auto"/>
              </w:rPr>
            </w:pPr>
            <w:r>
              <w:rPr>
                <w:rFonts w:ascii="Arial" w:cs="Arial" w:eastAsia="Arial" w:hAnsi="Arial"/>
                <w:sz w:val="15"/>
                <w:szCs w:val="15"/>
                <w:color w:val="auto"/>
                <w:w w:val="95"/>
              </w:rPr>
              <w:t>4.90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jc w:val="right"/>
              <w:ind w:right="144"/>
              <w:spacing w:after="0" w:line="144" w:lineRule="exact"/>
              <w:rPr>
                <w:sz w:val="20"/>
                <w:szCs w:val="20"/>
                <w:color w:val="auto"/>
              </w:rPr>
            </w:pPr>
            <w:r>
              <w:rPr>
                <w:rFonts w:ascii="Arial" w:cs="Arial" w:eastAsia="Arial" w:hAnsi="Arial"/>
                <w:sz w:val="15"/>
                <w:szCs w:val="15"/>
                <w:color w:val="auto"/>
                <w:w w:val="71"/>
              </w:rPr>
              <w:t>$</w:t>
            </w:r>
          </w:p>
        </w:tc>
        <w:tc>
          <w:tcPr>
            <w:tcW w:w="1600" w:type="dxa"/>
            <w:vAlign w:val="bottom"/>
            <w:tcBorders>
              <w:top w:val="single" w:sz="8" w:color="CCEEFF"/>
              <w:bottom w:val="single" w:sz="8" w:color="CCEEFF"/>
            </w:tcBorders>
            <w:shd w:val="clear" w:color="auto" w:fill="CCEEFF"/>
          </w:tcPr>
          <w:p>
            <w:pPr>
              <w:jc w:val="right"/>
              <w:ind w:right="426"/>
              <w:spacing w:after="0" w:line="144" w:lineRule="exact"/>
              <w:rPr>
                <w:sz w:val="20"/>
                <w:szCs w:val="20"/>
                <w:color w:val="auto"/>
              </w:rPr>
            </w:pPr>
            <w:r>
              <w:rPr>
                <w:rFonts w:ascii="Arial" w:cs="Arial" w:eastAsia="Arial" w:hAnsi="Arial"/>
                <w:sz w:val="15"/>
                <w:szCs w:val="15"/>
                <w:color w:val="auto"/>
              </w:rPr>
              <w:t>4.71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rPr>
          <w:sz w:val="20"/>
          <w:szCs w:val="20"/>
          <w:color w:val="auto"/>
        </w:rPr>
      </w:pPr>
      <w:r>
        <w:rPr>
          <w:rFonts w:ascii="Arial" w:cs="Arial" w:eastAsia="Arial" w:hAnsi="Arial"/>
          <w:sz w:val="17"/>
          <w:szCs w:val="17"/>
          <w:color w:val="auto"/>
        </w:rPr>
        <w:t>For the three and six months ended June 30, 2022, we recognized stock-based compensation expense of $7.0 million and $14.5 million, respectively, related to time-based and performance-based options.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Restricted Stock Units (“RSUs”)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time-based RSU activity for the six months ended June 30, 2022 (in thousands, except per share amounts):</w:t>
      </w:r>
    </w:p>
    <w:tbl>
      <w:tblPr>
        <w:tblLayout w:type="fixed"/>
        <w:tblInd w:w="0" w:type="dxa"/>
        <w:tblCellMar>
          <w:top w:w="0" w:type="dxa"/>
          <w:left w:w="0" w:type="dxa"/>
          <w:bottom w:w="0" w:type="dxa"/>
          <w:right w:w="0" w:type="dxa"/>
        </w:tblCellMar>
      </w:tblPr>
      <w:tr>
        <w:trPr>
          <w:trHeight w:val="159"/>
        </w:trPr>
        <w:tc>
          <w:tcPr>
            <w:tcW w:w="6600" w:type="dxa"/>
            <w:vAlign w:val="bottom"/>
          </w:tcPr>
          <w:p>
            <w:pPr>
              <w:spacing w:after="0"/>
              <w:rPr>
                <w:sz w:val="13"/>
                <w:szCs w:val="13"/>
                <w:color w:val="auto"/>
              </w:rPr>
            </w:pPr>
          </w:p>
        </w:tc>
        <w:tc>
          <w:tcPr>
            <w:tcW w:w="1160" w:type="dxa"/>
            <w:vAlign w:val="bottom"/>
            <w:vMerge w:val="restart"/>
          </w:tcPr>
          <w:p>
            <w:pPr>
              <w:ind w:left="600"/>
              <w:spacing w:after="0"/>
              <w:rPr>
                <w:sz w:val="20"/>
                <w:szCs w:val="20"/>
                <w:color w:val="auto"/>
              </w:rPr>
            </w:pPr>
            <w:r>
              <w:rPr>
                <w:rFonts w:ascii="Arial" w:cs="Arial" w:eastAsia="Arial" w:hAnsi="Arial"/>
                <w:sz w:val="15"/>
                <w:szCs w:val="15"/>
                <w:b w:val="1"/>
                <w:bCs w:val="1"/>
                <w:color w:val="auto"/>
                <w:w w:val="95"/>
              </w:rPr>
              <w:t>Number</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20" w:type="dxa"/>
            <w:vAlign w:val="bottom"/>
          </w:tcPr>
          <w:p>
            <w:pPr>
              <w:jc w:val="center"/>
              <w:ind w:right="344"/>
              <w:spacing w:after="0" w:line="159" w:lineRule="exact"/>
              <w:rPr>
                <w:sz w:val="20"/>
                <w:szCs w:val="20"/>
                <w:color w:val="auto"/>
              </w:rPr>
            </w:pPr>
            <w:r>
              <w:rPr>
                <w:rFonts w:ascii="Arial" w:cs="Arial" w:eastAsia="Arial" w:hAnsi="Arial"/>
                <w:sz w:val="15"/>
                <w:szCs w:val="15"/>
                <w:b w:val="1"/>
                <w:bCs w:val="1"/>
                <w:color w:val="auto"/>
                <w:w w:val="90"/>
              </w:rPr>
              <w:t>Weighted average</w:t>
            </w:r>
          </w:p>
        </w:tc>
        <w:tc>
          <w:tcPr>
            <w:tcW w:w="0" w:type="dxa"/>
            <w:vAlign w:val="bottom"/>
          </w:tcPr>
          <w:p>
            <w:pPr>
              <w:spacing w:after="0"/>
              <w:rPr>
                <w:sz w:val="1"/>
                <w:szCs w:val="1"/>
                <w:color w:val="auto"/>
              </w:rPr>
            </w:pPr>
          </w:p>
        </w:tc>
      </w:tr>
      <w:tr>
        <w:trPr>
          <w:trHeight w:val="152"/>
        </w:trPr>
        <w:tc>
          <w:tcPr>
            <w:tcW w:w="66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20" w:type="dxa"/>
            <w:vAlign w:val="bottom"/>
          </w:tcPr>
          <w:p>
            <w:pPr>
              <w:jc w:val="center"/>
              <w:ind w:right="324"/>
              <w:spacing w:after="0" w:line="151" w:lineRule="exact"/>
              <w:rPr>
                <w:sz w:val="20"/>
                <w:szCs w:val="20"/>
                <w:color w:val="auto"/>
              </w:rPr>
            </w:pPr>
            <w:r>
              <w:rPr>
                <w:rFonts w:ascii="Arial" w:cs="Arial" w:eastAsia="Arial" w:hAnsi="Arial"/>
                <w:sz w:val="15"/>
                <w:szCs w:val="15"/>
                <w:b w:val="1"/>
                <w:bCs w:val="1"/>
                <w:color w:val="auto"/>
                <w:w w:val="90"/>
              </w:rPr>
              <w:t>grant date</w:t>
            </w:r>
          </w:p>
        </w:tc>
        <w:tc>
          <w:tcPr>
            <w:tcW w:w="0" w:type="dxa"/>
            <w:vAlign w:val="bottom"/>
          </w:tcPr>
          <w:p>
            <w:pPr>
              <w:spacing w:after="0"/>
              <w:rPr>
                <w:sz w:val="1"/>
                <w:szCs w:val="1"/>
                <w:color w:val="auto"/>
              </w:rPr>
            </w:pPr>
          </w:p>
        </w:tc>
      </w:tr>
      <w:tr>
        <w:trPr>
          <w:trHeight w:val="176"/>
        </w:trPr>
        <w:tc>
          <w:tcPr>
            <w:tcW w:w="66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w w:val="83"/>
              </w:rPr>
              <w:t>of shares</w:t>
            </w: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324"/>
              <w:spacing w:after="0"/>
              <w:rPr>
                <w:sz w:val="20"/>
                <w:szCs w:val="20"/>
                <w:color w:val="auto"/>
              </w:rPr>
            </w:pPr>
            <w:r>
              <w:rPr>
                <w:rFonts w:ascii="Arial" w:cs="Arial" w:eastAsia="Arial" w:hAnsi="Arial"/>
                <w:sz w:val="15"/>
                <w:szCs w:val="15"/>
                <w:b w:val="1"/>
                <w:bCs w:val="1"/>
                <w:color w:val="auto"/>
                <w:w w:val="94"/>
              </w:rPr>
              <w:t>fair value</w:t>
            </w:r>
          </w:p>
        </w:tc>
        <w:tc>
          <w:tcPr>
            <w:tcW w:w="0" w:type="dxa"/>
            <w:vAlign w:val="bottom"/>
          </w:tcPr>
          <w:p>
            <w:pPr>
              <w:spacing w:after="0"/>
              <w:rPr>
                <w:sz w:val="1"/>
                <w:szCs w:val="1"/>
                <w:color w:val="auto"/>
              </w:rPr>
            </w:pPr>
          </w:p>
        </w:tc>
      </w:tr>
      <w:tr>
        <w:trPr>
          <w:trHeight w:val="144"/>
        </w:trPr>
        <w:tc>
          <w:tcPr>
            <w:tcW w:w="660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Outstanding at December 31, 2021</w:t>
            </w: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
              <w:spacing w:after="0" w:line="144" w:lineRule="exact"/>
              <w:rPr>
                <w:sz w:val="20"/>
                <w:szCs w:val="20"/>
                <w:color w:val="auto"/>
              </w:rPr>
            </w:pPr>
            <w:r>
              <w:rPr>
                <w:rFonts w:ascii="Arial" w:cs="Arial" w:eastAsia="Arial" w:hAnsi="Arial"/>
                <w:sz w:val="15"/>
                <w:szCs w:val="15"/>
                <w:color w:val="auto"/>
              </w:rPr>
              <w:t>7,392</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64"/>
              <w:spacing w:after="0" w:line="144" w:lineRule="exact"/>
              <w:rPr>
                <w:sz w:val="20"/>
                <w:szCs w:val="20"/>
                <w:color w:val="auto"/>
              </w:rPr>
            </w:pPr>
            <w:r>
              <w:rPr>
                <w:rFonts w:ascii="Arial" w:cs="Arial" w:eastAsia="Arial" w:hAnsi="Arial"/>
                <w:sz w:val="15"/>
                <w:szCs w:val="15"/>
                <w:color w:val="auto"/>
                <w:w w:val="71"/>
              </w:rPr>
              <w:t>$</w:t>
            </w:r>
          </w:p>
        </w:tc>
        <w:tc>
          <w:tcPr>
            <w:tcW w:w="2220" w:type="dxa"/>
            <w:vAlign w:val="bottom"/>
            <w:shd w:val="clear" w:color="auto" w:fill="CCEEFF"/>
          </w:tcPr>
          <w:p>
            <w:pPr>
              <w:jc w:val="right"/>
              <w:ind w:right="424"/>
              <w:spacing w:after="0" w:line="144" w:lineRule="exact"/>
              <w:rPr>
                <w:sz w:val="20"/>
                <w:szCs w:val="20"/>
                <w:color w:val="auto"/>
              </w:rPr>
            </w:pPr>
            <w:r>
              <w:rPr>
                <w:rFonts w:ascii="Arial" w:cs="Arial" w:eastAsia="Arial" w:hAnsi="Arial"/>
                <w:sz w:val="15"/>
                <w:szCs w:val="15"/>
                <w:color w:val="auto"/>
              </w:rPr>
              <w:t>19.78</w:t>
            </w:r>
          </w:p>
        </w:tc>
        <w:tc>
          <w:tcPr>
            <w:tcW w:w="0" w:type="dxa"/>
            <w:vAlign w:val="bottom"/>
          </w:tcPr>
          <w:p>
            <w:pPr>
              <w:spacing w:after="0"/>
              <w:rPr>
                <w:sz w:val="1"/>
                <w:szCs w:val="1"/>
                <w:color w:val="auto"/>
              </w:rPr>
            </w:pPr>
          </w:p>
        </w:tc>
      </w:tr>
      <w:tr>
        <w:trPr>
          <w:trHeight w:val="152"/>
        </w:trPr>
        <w:tc>
          <w:tcPr>
            <w:tcW w:w="776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560" w:type="dxa"/>
            <w:vAlign w:val="bottom"/>
          </w:tcPr>
          <w:p>
            <w:pPr>
              <w:jc w:val="right"/>
              <w:ind w:right="4"/>
              <w:spacing w:after="0" w:line="151" w:lineRule="exact"/>
              <w:rPr>
                <w:sz w:val="20"/>
                <w:szCs w:val="20"/>
                <w:color w:val="auto"/>
              </w:rPr>
            </w:pPr>
            <w:r>
              <w:rPr>
                <w:rFonts w:ascii="Arial" w:cs="Arial" w:eastAsia="Arial" w:hAnsi="Arial"/>
                <w:sz w:val="15"/>
                <w:szCs w:val="15"/>
                <w:color w:val="auto"/>
              </w:rPr>
              <w:t>3,948</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20" w:type="dxa"/>
            <w:vAlign w:val="bottom"/>
          </w:tcPr>
          <w:p>
            <w:pPr>
              <w:jc w:val="right"/>
              <w:ind w:right="424"/>
              <w:spacing w:after="0" w:line="151" w:lineRule="exact"/>
              <w:rPr>
                <w:sz w:val="20"/>
                <w:szCs w:val="20"/>
                <w:color w:val="auto"/>
              </w:rPr>
            </w:pPr>
            <w:r>
              <w:rPr>
                <w:rFonts w:ascii="Arial" w:cs="Arial" w:eastAsia="Arial" w:hAnsi="Arial"/>
                <w:sz w:val="15"/>
                <w:szCs w:val="15"/>
                <w:color w:val="auto"/>
              </w:rPr>
              <w:t>11.22</w:t>
            </w:r>
          </w:p>
        </w:tc>
        <w:tc>
          <w:tcPr>
            <w:tcW w:w="0" w:type="dxa"/>
            <w:vAlign w:val="bottom"/>
          </w:tcPr>
          <w:p>
            <w:pPr>
              <w:spacing w:after="0"/>
              <w:rPr>
                <w:sz w:val="1"/>
                <w:szCs w:val="1"/>
                <w:color w:val="auto"/>
              </w:rPr>
            </w:pPr>
          </w:p>
        </w:tc>
      </w:tr>
      <w:tr>
        <w:trPr>
          <w:trHeight w:val="152"/>
        </w:trPr>
        <w:tc>
          <w:tcPr>
            <w:tcW w:w="776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Vested</w:t>
            </w:r>
          </w:p>
        </w:tc>
        <w:tc>
          <w:tcPr>
            <w:tcW w:w="560" w:type="dxa"/>
            <w:vAlign w:val="bottom"/>
            <w:shd w:val="clear" w:color="auto" w:fill="CCEEFF"/>
          </w:tcPr>
          <w:p>
            <w:pPr>
              <w:jc w:val="right"/>
              <w:ind w:right="4"/>
              <w:spacing w:after="0" w:line="151" w:lineRule="exact"/>
              <w:rPr>
                <w:sz w:val="20"/>
                <w:szCs w:val="20"/>
                <w:color w:val="auto"/>
              </w:rPr>
            </w:pPr>
            <w:r>
              <w:rPr>
                <w:rFonts w:ascii="Arial" w:cs="Arial" w:eastAsia="Arial" w:hAnsi="Arial"/>
                <w:sz w:val="15"/>
                <w:szCs w:val="15"/>
                <w:color w:val="auto"/>
                <w:w w:val="96"/>
              </w:rPr>
              <w:t>(2,026)</w:t>
            </w: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20" w:type="dxa"/>
            <w:vAlign w:val="bottom"/>
            <w:shd w:val="clear" w:color="auto" w:fill="CCEEFF"/>
          </w:tcPr>
          <w:p>
            <w:pPr>
              <w:jc w:val="right"/>
              <w:ind w:right="424"/>
              <w:spacing w:after="0" w:line="151" w:lineRule="exact"/>
              <w:rPr>
                <w:sz w:val="20"/>
                <w:szCs w:val="20"/>
                <w:color w:val="auto"/>
              </w:rPr>
            </w:pPr>
            <w:r>
              <w:rPr>
                <w:rFonts w:ascii="Arial" w:cs="Arial" w:eastAsia="Arial" w:hAnsi="Arial"/>
                <w:sz w:val="15"/>
                <w:szCs w:val="15"/>
                <w:color w:val="auto"/>
              </w:rPr>
              <w:t>14.90</w:t>
            </w:r>
          </w:p>
        </w:tc>
        <w:tc>
          <w:tcPr>
            <w:tcW w:w="0" w:type="dxa"/>
            <w:vAlign w:val="bottom"/>
          </w:tcPr>
          <w:p>
            <w:pPr>
              <w:spacing w:after="0"/>
              <w:rPr>
                <w:sz w:val="1"/>
                <w:szCs w:val="1"/>
                <w:color w:val="auto"/>
              </w:rPr>
            </w:pPr>
          </w:p>
        </w:tc>
      </w:tr>
      <w:tr>
        <w:trPr>
          <w:trHeight w:val="152"/>
        </w:trPr>
        <w:tc>
          <w:tcPr>
            <w:tcW w:w="7760" w:type="dxa"/>
            <w:vAlign w:val="bottom"/>
            <w:gridSpan w:val="2"/>
          </w:tcPr>
          <w:p>
            <w:pPr>
              <w:spacing w:after="0" w:line="151" w:lineRule="exact"/>
              <w:rPr>
                <w:sz w:val="20"/>
                <w:szCs w:val="20"/>
                <w:color w:val="auto"/>
              </w:rPr>
            </w:pPr>
            <w:r>
              <w:rPr>
                <w:rFonts w:ascii="Arial" w:cs="Arial" w:eastAsia="Arial" w:hAnsi="Arial"/>
                <w:sz w:val="15"/>
                <w:szCs w:val="15"/>
                <w:color w:val="auto"/>
              </w:rPr>
              <w:t>Forfeited</w:t>
            </w:r>
          </w:p>
        </w:tc>
        <w:tc>
          <w:tcPr>
            <w:tcW w:w="560" w:type="dxa"/>
            <w:vAlign w:val="bottom"/>
          </w:tcPr>
          <w:p>
            <w:pPr>
              <w:jc w:val="right"/>
              <w:ind w:right="4"/>
              <w:spacing w:after="0" w:line="151" w:lineRule="exact"/>
              <w:rPr>
                <w:sz w:val="20"/>
                <w:szCs w:val="20"/>
                <w:color w:val="auto"/>
              </w:rPr>
            </w:pPr>
            <w:r>
              <w:rPr>
                <w:rFonts w:ascii="Arial" w:cs="Arial" w:eastAsia="Arial" w:hAnsi="Arial"/>
                <w:sz w:val="15"/>
                <w:szCs w:val="15"/>
                <w:color w:val="auto"/>
              </w:rPr>
              <w:t>(922)</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20" w:type="dxa"/>
            <w:vAlign w:val="bottom"/>
          </w:tcPr>
          <w:p>
            <w:pPr>
              <w:jc w:val="right"/>
              <w:ind w:right="424"/>
              <w:spacing w:after="0" w:line="151" w:lineRule="exact"/>
              <w:rPr>
                <w:sz w:val="20"/>
                <w:szCs w:val="20"/>
                <w:color w:val="auto"/>
              </w:rPr>
            </w:pPr>
            <w:r>
              <w:rPr>
                <w:rFonts w:ascii="Arial" w:cs="Arial" w:eastAsia="Arial" w:hAnsi="Arial"/>
                <w:sz w:val="15"/>
                <w:szCs w:val="15"/>
                <w:color w:val="auto"/>
              </w:rPr>
              <w:t>21.46</w:t>
            </w:r>
          </w:p>
        </w:tc>
        <w:tc>
          <w:tcPr>
            <w:tcW w:w="0" w:type="dxa"/>
            <w:vAlign w:val="bottom"/>
          </w:tcPr>
          <w:p>
            <w:pPr>
              <w:spacing w:after="0"/>
              <w:rPr>
                <w:sz w:val="1"/>
                <w:szCs w:val="1"/>
                <w:color w:val="auto"/>
              </w:rPr>
            </w:pPr>
          </w:p>
        </w:tc>
      </w:tr>
      <w:tr>
        <w:trPr>
          <w:trHeight w:val="144"/>
        </w:trPr>
        <w:tc>
          <w:tcPr>
            <w:tcW w:w="6600" w:type="dxa"/>
            <w:vAlign w:val="bottom"/>
            <w:tcBorders>
              <w:top w:val="single" w:sz="8" w:color="CCEEFF"/>
              <w:bottom w:val="single" w:sz="8" w:color="CCEEFF"/>
            </w:tcBorders>
            <w:shd w:val="clear" w:color="auto" w:fill="CCEEFF"/>
          </w:tcPr>
          <w:p>
            <w:pPr>
              <w:spacing w:after="0" w:line="144" w:lineRule="exact"/>
              <w:rPr>
                <w:sz w:val="20"/>
                <w:szCs w:val="20"/>
                <w:color w:val="auto"/>
              </w:rPr>
            </w:pPr>
            <w:r>
              <w:rPr>
                <w:rFonts w:ascii="Arial" w:cs="Arial" w:eastAsia="Arial" w:hAnsi="Arial"/>
                <w:sz w:val="15"/>
                <w:szCs w:val="15"/>
                <w:color w:val="auto"/>
              </w:rPr>
              <w:t>Outstanding at June 30, 2022</w:t>
            </w:r>
          </w:p>
        </w:tc>
        <w:tc>
          <w:tcPr>
            <w:tcW w:w="116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ind w:right="4"/>
              <w:spacing w:after="0" w:line="144" w:lineRule="exact"/>
              <w:rPr>
                <w:sz w:val="20"/>
                <w:szCs w:val="20"/>
                <w:color w:val="auto"/>
              </w:rPr>
            </w:pPr>
            <w:r>
              <w:rPr>
                <w:rFonts w:ascii="Arial" w:cs="Arial" w:eastAsia="Arial" w:hAnsi="Arial"/>
                <w:sz w:val="15"/>
                <w:szCs w:val="15"/>
                <w:color w:val="auto"/>
              </w:rPr>
              <w:t>8,392</w:t>
            </w:r>
          </w:p>
        </w:tc>
        <w:tc>
          <w:tcPr>
            <w:tcW w:w="700" w:type="dxa"/>
            <w:vAlign w:val="bottom"/>
            <w:tcBorders>
              <w:top w:val="single" w:sz="8" w:color="CCEEFF"/>
              <w:bottom w:val="single" w:sz="8" w:color="CCEEFF"/>
            </w:tcBorders>
            <w:gridSpan w:val="2"/>
            <w:shd w:val="clear" w:color="auto" w:fill="CCEEFF"/>
          </w:tcPr>
          <w:p>
            <w:pPr>
              <w:jc w:val="right"/>
              <w:ind w:right="264"/>
              <w:spacing w:after="0" w:line="144" w:lineRule="exact"/>
              <w:rPr>
                <w:sz w:val="20"/>
                <w:szCs w:val="20"/>
                <w:color w:val="auto"/>
              </w:rPr>
            </w:pPr>
            <w:r>
              <w:rPr>
                <w:rFonts w:ascii="Arial" w:cs="Arial" w:eastAsia="Arial" w:hAnsi="Arial"/>
                <w:sz w:val="15"/>
                <w:szCs w:val="15"/>
                <w:color w:val="auto"/>
              </w:rPr>
              <w:t>$</w:t>
            </w:r>
          </w:p>
        </w:tc>
        <w:tc>
          <w:tcPr>
            <w:tcW w:w="2220" w:type="dxa"/>
            <w:vAlign w:val="bottom"/>
            <w:tcBorders>
              <w:top w:val="single" w:sz="8" w:color="CCEEFF"/>
              <w:bottom w:val="single" w:sz="8" w:color="CCEEFF"/>
            </w:tcBorders>
            <w:shd w:val="clear" w:color="auto" w:fill="CCEEFF"/>
          </w:tcPr>
          <w:p>
            <w:pPr>
              <w:jc w:val="right"/>
              <w:ind w:right="424"/>
              <w:spacing w:after="0" w:line="144" w:lineRule="exact"/>
              <w:rPr>
                <w:sz w:val="20"/>
                <w:szCs w:val="20"/>
                <w:color w:val="auto"/>
              </w:rPr>
            </w:pPr>
            <w:r>
              <w:rPr>
                <w:rFonts w:ascii="Arial" w:cs="Arial" w:eastAsia="Arial" w:hAnsi="Arial"/>
                <w:sz w:val="15"/>
                <w:szCs w:val="15"/>
                <w:color w:val="auto"/>
              </w:rPr>
              <w:t>16.75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For the three and six months ended June 30, 2022, we recognized stock-based compensation expense of $9.7 million and $21.6 million, respectively, related to restricted stock units.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Employee Stock Purchase Plan (“ESPP”)</w:t>
      </w:r>
    </w:p>
    <w:p>
      <w:pPr>
        <w:spacing w:after="0" w:line="184"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Shares issued under our ESPP were 1,316,923 and 983,180 during the six months ended June 30, 2022 and 2021, respectively. In February 2022, an additional 4.0 million shares were reserved under the ESPP. As of June 30, 2022, 10,493,750 shares of our common stock remain available for issuance under our ESPP.</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17"/>
          <w:szCs w:val="17"/>
          <w:color w:val="auto"/>
        </w:rPr>
        <w:t>For the three and six months ended June 30, 2022, we recognized stock-based compensation expense of $2.3 million and $5.6 million, respectively, related to our ESPP.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stock-based compensation expense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5"/>
                <w:szCs w:val="15"/>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Six Months Ended June 30,</w:t>
            </w:r>
          </w:p>
        </w:tc>
      </w:tr>
      <w:tr>
        <w:trPr>
          <w:trHeight w:val="144"/>
        </w:trPr>
        <w:tc>
          <w:tcPr>
            <w:tcW w:w="47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b w:val="1"/>
                <w:bCs w:val="1"/>
                <w:color w:val="auto"/>
              </w:rPr>
              <w:t>2022</w:t>
            </w: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
              <w:spacing w:after="0" w:line="144" w:lineRule="exact"/>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04"/>
              <w:spacing w:after="0" w:line="144" w:lineRule="exact"/>
              <w:rPr>
                <w:sz w:val="20"/>
                <w:szCs w:val="20"/>
                <w:color w:val="auto"/>
              </w:rPr>
            </w:pPr>
            <w:r>
              <w:rPr>
                <w:rFonts w:ascii="Arial" w:cs="Arial" w:eastAsia="Arial" w:hAnsi="Arial"/>
                <w:sz w:val="15"/>
                <w:szCs w:val="15"/>
                <w:b w:val="1"/>
                <w:bCs w:val="1"/>
                <w:color w:val="auto"/>
              </w:rPr>
              <w:t>2022</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04"/>
              <w:spacing w:after="0" w:line="144" w:lineRule="exact"/>
              <w:rPr>
                <w:sz w:val="20"/>
                <w:szCs w:val="20"/>
                <w:color w:val="auto"/>
              </w:rPr>
            </w:pPr>
            <w:r>
              <w:rPr>
                <w:rFonts w:ascii="Arial" w:cs="Arial" w:eastAsia="Arial" w:hAnsi="Arial"/>
                <w:sz w:val="15"/>
                <w:szCs w:val="15"/>
                <w:b w:val="1"/>
                <w:bCs w:val="1"/>
                <w:color w:val="auto"/>
              </w:rPr>
              <w:t>2021</w:t>
            </w:r>
          </w:p>
        </w:tc>
      </w:tr>
      <w:tr>
        <w:trPr>
          <w:trHeight w:val="144"/>
        </w:trPr>
        <w:tc>
          <w:tcPr>
            <w:tcW w:w="4720" w:type="dxa"/>
            <w:vAlign w:val="bottom"/>
            <w:shd w:val="clear" w:color="auto" w:fill="CCEEFF"/>
          </w:tcPr>
          <w:p>
            <w:pPr>
              <w:ind w:left="100"/>
              <w:spacing w:after="0" w:line="144" w:lineRule="exact"/>
              <w:rPr>
                <w:sz w:val="20"/>
                <w:szCs w:val="20"/>
                <w:color w:val="auto"/>
              </w:rPr>
            </w:pPr>
            <w:r>
              <w:rPr>
                <w:rFonts w:ascii="Arial" w:cs="Arial" w:eastAsia="Arial" w:hAnsi="Arial"/>
                <w:sz w:val="15"/>
                <w:szCs w:val="15"/>
                <w:color w:val="auto"/>
              </w:rPr>
              <w:t>Cost of revenue</w:t>
            </w:r>
          </w:p>
        </w:tc>
        <w:tc>
          <w:tcPr>
            <w:tcW w:w="940" w:type="dxa"/>
            <w:vAlign w:val="bottom"/>
            <w:shd w:val="clear" w:color="auto" w:fill="CCEEFF"/>
          </w:tcPr>
          <w:p>
            <w:pPr>
              <w:jc w:val="right"/>
              <w:ind w:right="784"/>
              <w:spacing w:after="0" w:line="144"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988</w:t>
            </w: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84"/>
              <w:spacing w:after="0" w:line="144"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1,906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4"/>
              <w:spacing w:after="0" w:line="144"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2,746</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84"/>
              <w:spacing w:after="0" w:line="144"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2,898</w:t>
            </w:r>
          </w:p>
        </w:tc>
      </w:tr>
      <w:tr>
        <w:trPr>
          <w:trHeight w:val="152"/>
        </w:trPr>
        <w:tc>
          <w:tcPr>
            <w:tcW w:w="4720" w:type="dxa"/>
            <w:vAlign w:val="bottom"/>
          </w:tcPr>
          <w:p>
            <w:pPr>
              <w:ind w:left="100"/>
              <w:spacing w:after="0" w:line="151" w:lineRule="exact"/>
              <w:rPr>
                <w:sz w:val="20"/>
                <w:szCs w:val="20"/>
                <w:color w:val="auto"/>
              </w:rPr>
            </w:pPr>
            <w:r>
              <w:rPr>
                <w:rFonts w:ascii="Arial" w:cs="Arial" w:eastAsia="Arial" w:hAnsi="Arial"/>
                <w:sz w:val="15"/>
                <w:szCs w:val="15"/>
                <w:color w:val="auto"/>
              </w:rPr>
              <w:t>Research and development</w:t>
            </w:r>
          </w:p>
        </w:tc>
        <w:tc>
          <w:tcPr>
            <w:tcW w:w="940" w:type="dxa"/>
            <w:vAlign w:val="bottom"/>
          </w:tcPr>
          <w:p>
            <w:pPr>
              <w:spacing w:after="0"/>
              <w:rPr>
                <w:sz w:val="13"/>
                <w:szCs w:val="13"/>
                <w:color w:val="auto"/>
              </w:rPr>
            </w:pPr>
          </w:p>
        </w:tc>
        <w:tc>
          <w:tcPr>
            <w:tcW w:w="820" w:type="dxa"/>
            <w:vAlign w:val="bottom"/>
            <w:gridSpan w:val="2"/>
          </w:tcPr>
          <w:p>
            <w:pPr>
              <w:jc w:val="right"/>
              <w:ind w:right="320"/>
              <w:spacing w:after="0" w:line="151" w:lineRule="exact"/>
              <w:rPr>
                <w:sz w:val="20"/>
                <w:szCs w:val="20"/>
                <w:color w:val="auto"/>
              </w:rPr>
            </w:pPr>
            <w:r>
              <w:rPr>
                <w:rFonts w:ascii="Arial" w:cs="Arial" w:eastAsia="Arial" w:hAnsi="Arial"/>
                <w:sz w:val="15"/>
                <w:szCs w:val="15"/>
                <w:color w:val="auto"/>
              </w:rPr>
              <w:t>7,748</w:t>
            </w:r>
          </w:p>
        </w:tc>
        <w:tc>
          <w:tcPr>
            <w:tcW w:w="940" w:type="dxa"/>
            <w:vAlign w:val="bottom"/>
          </w:tcPr>
          <w:p>
            <w:pPr>
              <w:spacing w:after="0"/>
              <w:rPr>
                <w:sz w:val="13"/>
                <w:szCs w:val="13"/>
                <w:color w:val="auto"/>
              </w:rPr>
            </w:pPr>
          </w:p>
        </w:tc>
        <w:tc>
          <w:tcPr>
            <w:tcW w:w="600" w:type="dxa"/>
            <w:vAlign w:val="bottom"/>
            <w:gridSpan w:val="2"/>
          </w:tcPr>
          <w:p>
            <w:pPr>
              <w:jc w:val="right"/>
              <w:ind w:right="100"/>
              <w:spacing w:after="0" w:line="151" w:lineRule="exact"/>
              <w:rPr>
                <w:sz w:val="20"/>
                <w:szCs w:val="20"/>
                <w:color w:val="auto"/>
              </w:rPr>
            </w:pPr>
            <w:r>
              <w:rPr>
                <w:rFonts w:ascii="Arial" w:cs="Arial" w:eastAsia="Arial" w:hAnsi="Arial"/>
                <w:sz w:val="15"/>
                <w:szCs w:val="15"/>
                <w:color w:val="auto"/>
              </w:rPr>
              <w:t>4,310</w:t>
            </w:r>
          </w:p>
        </w:tc>
        <w:tc>
          <w:tcPr>
            <w:tcW w:w="320" w:type="dxa"/>
            <w:vAlign w:val="bottom"/>
          </w:tcPr>
          <w:p>
            <w:pPr>
              <w:spacing w:after="0"/>
              <w:rPr>
                <w:sz w:val="13"/>
                <w:szCs w:val="13"/>
                <w:color w:val="auto"/>
              </w:rPr>
            </w:pPr>
          </w:p>
        </w:tc>
        <w:tc>
          <w:tcPr>
            <w:tcW w:w="1440" w:type="dxa"/>
            <w:vAlign w:val="bottom"/>
            <w:gridSpan w:val="2"/>
          </w:tcPr>
          <w:p>
            <w:pPr>
              <w:jc w:val="right"/>
              <w:ind w:right="300"/>
              <w:spacing w:after="0" w:line="151" w:lineRule="exact"/>
              <w:rPr>
                <w:sz w:val="20"/>
                <w:szCs w:val="20"/>
                <w:color w:val="auto"/>
              </w:rPr>
            </w:pPr>
            <w:r>
              <w:rPr>
                <w:rFonts w:ascii="Arial" w:cs="Arial" w:eastAsia="Arial" w:hAnsi="Arial"/>
                <w:sz w:val="15"/>
                <w:szCs w:val="15"/>
                <w:color w:val="auto"/>
              </w:rPr>
              <w:t>16,713</w:t>
            </w:r>
          </w:p>
        </w:tc>
        <w:tc>
          <w:tcPr>
            <w:tcW w:w="340" w:type="dxa"/>
            <w:vAlign w:val="bottom"/>
          </w:tcPr>
          <w:p>
            <w:pPr>
              <w:spacing w:after="0"/>
              <w:rPr>
                <w:sz w:val="13"/>
                <w:szCs w:val="13"/>
                <w:color w:val="auto"/>
              </w:rPr>
            </w:pPr>
          </w:p>
        </w:tc>
        <w:tc>
          <w:tcPr>
            <w:tcW w:w="1120" w:type="dxa"/>
            <w:vAlign w:val="bottom"/>
          </w:tcPr>
          <w:p>
            <w:pPr>
              <w:jc w:val="right"/>
              <w:spacing w:after="0" w:line="151" w:lineRule="exact"/>
              <w:rPr>
                <w:sz w:val="20"/>
                <w:szCs w:val="20"/>
                <w:color w:val="auto"/>
              </w:rPr>
            </w:pPr>
            <w:r>
              <w:rPr>
                <w:rFonts w:ascii="Arial" w:cs="Arial" w:eastAsia="Arial" w:hAnsi="Arial"/>
                <w:sz w:val="15"/>
                <w:szCs w:val="15"/>
                <w:color w:val="auto"/>
              </w:rPr>
              <w:t>7,357</w:t>
            </w:r>
          </w:p>
        </w:tc>
      </w:tr>
      <w:tr>
        <w:trPr>
          <w:trHeight w:val="152"/>
        </w:trPr>
        <w:tc>
          <w:tcPr>
            <w:tcW w:w="472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Sales, general and administrative</w:t>
            </w:r>
          </w:p>
        </w:tc>
        <w:tc>
          <w:tcPr>
            <w:tcW w:w="9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10,283</w:t>
            </w:r>
          </w:p>
        </w:tc>
        <w:tc>
          <w:tcPr>
            <w:tcW w:w="32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9,589</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22,263</w:t>
            </w:r>
          </w:p>
        </w:tc>
        <w:tc>
          <w:tcPr>
            <w:tcW w:w="3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15,715</w:t>
            </w:r>
          </w:p>
        </w:tc>
      </w:tr>
      <w:tr>
        <w:trPr>
          <w:trHeight w:val="144"/>
        </w:trPr>
        <w:tc>
          <w:tcPr>
            <w:tcW w:w="4720" w:type="dxa"/>
            <w:vAlign w:val="bottom"/>
          </w:tcPr>
          <w:p>
            <w:pPr>
              <w:spacing w:after="0" w:line="144" w:lineRule="exact"/>
              <w:rPr>
                <w:sz w:val="20"/>
                <w:szCs w:val="20"/>
                <w:color w:val="auto"/>
              </w:rPr>
            </w:pPr>
            <w:r>
              <w:rPr>
                <w:rFonts w:ascii="Arial" w:cs="Arial" w:eastAsia="Arial" w:hAnsi="Arial"/>
                <w:sz w:val="15"/>
                <w:szCs w:val="15"/>
                <w:color w:val="auto"/>
              </w:rPr>
              <w:t>Total stock-based compensation expense</w:t>
            </w:r>
          </w:p>
        </w:tc>
        <w:tc>
          <w:tcPr>
            <w:tcW w:w="940" w:type="dxa"/>
            <w:vAlign w:val="bottom"/>
            <w:tcBorders>
              <w:bottom w:val="single" w:sz="8" w:color="auto"/>
            </w:tcBorders>
          </w:tcPr>
          <w:p>
            <w:pPr>
              <w:jc w:val="right"/>
              <w:ind w:right="784"/>
              <w:spacing w:after="0" w:line="144"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19,019</w:t>
            </w:r>
          </w:p>
        </w:tc>
        <w:tc>
          <w:tcPr>
            <w:tcW w:w="320" w:type="dxa"/>
            <w:vAlign w:val="bottom"/>
          </w:tcPr>
          <w:p>
            <w:pPr>
              <w:spacing w:after="0"/>
              <w:rPr>
                <w:sz w:val="12"/>
                <w:szCs w:val="12"/>
                <w:color w:val="auto"/>
              </w:rPr>
            </w:pPr>
          </w:p>
        </w:tc>
        <w:tc>
          <w:tcPr>
            <w:tcW w:w="940" w:type="dxa"/>
            <w:vAlign w:val="bottom"/>
            <w:tcBorders>
              <w:bottom w:val="single" w:sz="8" w:color="auto"/>
            </w:tcBorders>
          </w:tcPr>
          <w:p>
            <w:pPr>
              <w:jc w:val="right"/>
              <w:ind w:right="784"/>
              <w:spacing w:after="0" w:line="144"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15,805</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4"/>
              <w:spacing w:after="0" w:line="144"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41,722</w:t>
            </w:r>
          </w:p>
        </w:tc>
        <w:tc>
          <w:tcPr>
            <w:tcW w:w="300" w:type="dxa"/>
            <w:vAlign w:val="bottom"/>
          </w:tcPr>
          <w:p>
            <w:pPr>
              <w:spacing w:after="0"/>
              <w:rPr>
                <w:sz w:val="12"/>
                <w:szCs w:val="12"/>
                <w:color w:val="auto"/>
              </w:rPr>
            </w:pPr>
          </w:p>
        </w:tc>
        <w:tc>
          <w:tcPr>
            <w:tcW w:w="340" w:type="dxa"/>
            <w:vAlign w:val="bottom"/>
            <w:tcBorders>
              <w:bottom w:val="single" w:sz="8" w:color="auto"/>
            </w:tcBorders>
          </w:tcPr>
          <w:p>
            <w:pPr>
              <w:jc w:val="right"/>
              <w:ind w:right="184"/>
              <w:spacing w:after="0" w:line="144"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color w:val="auto"/>
              </w:rPr>
              <w:t>25,970</w:t>
            </w:r>
          </w:p>
        </w:tc>
      </w:tr>
      <w:tr>
        <w:trPr>
          <w:trHeight w:val="20"/>
        </w:trPr>
        <w:tc>
          <w:tcPr>
            <w:tcW w:w="4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Determining Fair Value</w:t>
      </w:r>
    </w:p>
    <w:p>
      <w:pPr>
        <w:spacing w:after="0" w:line="57"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We estimate the fair value of stock options granted using the Black-Scholes valuation method and a single option award approach. This fair value is then amortized on a straight-line basis over the requisite service periods of the awards, which is generally the vesting period. The fair market value of RSUs granted is the closing price of our shares on the date of grant and is generally recognized as compensation expense on a straight-line basis over the respective vesting period. For shares purchased under our ESPP, we estimate the grant-date fair value, and the resulting stock-based compensation expense, using the Black-Scholes option-pricing model. We estimate forfeitures of stock options, RSUs and shares purchased under our ESPP which is utilized to determine the compensation expense to be recorded over the requisite service period.</w:t>
      </w:r>
    </w:p>
    <w:p>
      <w:pPr>
        <w:spacing w:after="0" w:line="55" w:lineRule="exact"/>
        <w:rPr>
          <w:sz w:val="20"/>
          <w:szCs w:val="20"/>
          <w:color w:val="auto"/>
        </w:rPr>
      </w:pPr>
    </w:p>
    <w:p>
      <w:pPr>
        <w:ind w:left="600"/>
        <w:spacing w:after="0" w:line="304" w:lineRule="auto"/>
        <w:rPr>
          <w:sz w:val="20"/>
          <w:szCs w:val="20"/>
          <w:color w:val="auto"/>
        </w:rPr>
      </w:pPr>
      <w:r>
        <w:rPr>
          <w:rFonts w:ascii="Arial" w:cs="Arial" w:eastAsia="Arial" w:hAnsi="Arial"/>
          <w:sz w:val="15"/>
          <w:szCs w:val="15"/>
          <w:color w:val="auto"/>
        </w:rPr>
        <w:t>Expected Term - The expected term used in the Black-Scholes valuation method represents the period that the stock options are expected to be outstanding and is determined based on historical experience of similar awards, giving consideration to the contractual terms of the stock options and vesting schedules.</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Expected Volatility - The expected volatility used in the Black-Scholes valuation method is derived from the implied volatility related to our share price over the expected term.</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Expected Dividend - We have never paid dividends on our shares and, accordingly, the dividend yield percentage is zero for all periods.</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estimated the fair value of employee stock options using the Black-Scholes option pricing model. The fair value of employee stock options is being amortized on a straight-line basis over the requisite service period of the awards.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When determining the current share prices underlying the stock options for calculating the grant-date fair value, we reference the observable market prices of our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2022 and 2021, the fair value of employee stock options was estimated using the following weighted average assumptions:</w:t>
      </w:r>
    </w:p>
    <w:tbl>
      <w:tblPr>
        <w:tblLayout w:type="fixed"/>
        <w:tblInd w:w="0" w:type="dxa"/>
        <w:tblCellMar>
          <w:top w:w="0" w:type="dxa"/>
          <w:left w:w="0" w:type="dxa"/>
          <w:bottom w:w="0" w:type="dxa"/>
          <w:right w:w="0" w:type="dxa"/>
        </w:tblCellMar>
      </w:tblPr>
      <w:tr>
        <w:trPr>
          <w:trHeight w:val="165"/>
        </w:trPr>
        <w:tc>
          <w:tcPr>
            <w:tcW w:w="4100" w:type="dxa"/>
            <w:vAlign w:val="bottom"/>
          </w:tcPr>
          <w:p>
            <w:pPr>
              <w:spacing w:after="0"/>
              <w:rPr>
                <w:sz w:val="14"/>
                <w:szCs w:val="14"/>
                <w:color w:val="auto"/>
              </w:rPr>
            </w:pPr>
          </w:p>
        </w:tc>
        <w:tc>
          <w:tcPr>
            <w:tcW w:w="3620" w:type="dxa"/>
            <w:vAlign w:val="bottom"/>
            <w:gridSpan w:val="4"/>
          </w:tcPr>
          <w:p>
            <w:pPr>
              <w:ind w:left="740"/>
              <w:spacing w:after="0" w:line="165" w:lineRule="exact"/>
              <w:rPr>
                <w:sz w:val="20"/>
                <w:szCs w:val="20"/>
                <w:color w:val="auto"/>
              </w:rPr>
            </w:pPr>
            <w:r>
              <w:rPr>
                <w:rFonts w:ascii="Arial" w:cs="Arial" w:eastAsia="Arial" w:hAnsi="Arial"/>
                <w:sz w:val="15"/>
                <w:szCs w:val="15"/>
                <w:b w:val="1"/>
                <w:bCs w:val="1"/>
                <w:color w:val="auto"/>
              </w:rPr>
              <w:t>Three Months Ended June 30,</w:t>
            </w:r>
          </w:p>
        </w:tc>
        <w:tc>
          <w:tcPr>
            <w:tcW w:w="3520" w:type="dxa"/>
            <w:vAlign w:val="bottom"/>
            <w:gridSpan w:val="3"/>
          </w:tcPr>
          <w:p>
            <w:pPr>
              <w:jc w:val="right"/>
              <w:ind w:right="804"/>
              <w:spacing w:after="0" w:line="165" w:lineRule="exact"/>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44"/>
        </w:trPr>
        <w:tc>
          <w:tcPr>
            <w:tcW w:w="4100" w:type="dxa"/>
            <w:vAlign w:val="bottom"/>
            <w:vMerge w:val="restart"/>
          </w:tcPr>
          <w:p>
            <w:pPr>
              <w:spacing w:after="0"/>
              <w:rPr>
                <w:sz w:val="20"/>
                <w:szCs w:val="20"/>
                <w:color w:val="auto"/>
              </w:rPr>
            </w:pPr>
            <w:r>
              <w:rPr>
                <w:rFonts w:ascii="Arial" w:cs="Arial" w:eastAsia="Arial" w:hAnsi="Arial"/>
                <w:sz w:val="15"/>
                <w:szCs w:val="15"/>
                <w:color w:val="auto"/>
              </w:rPr>
              <w:t>Expected term in years</w:t>
            </w:r>
          </w:p>
        </w:tc>
        <w:tc>
          <w:tcPr>
            <w:tcW w:w="1680" w:type="dxa"/>
            <w:vAlign w:val="bottom"/>
            <w:tcBorders>
              <w:top w:val="single" w:sz="8" w:color="auto"/>
              <w:bottom w:val="single" w:sz="8" w:color="auto"/>
            </w:tcBorders>
          </w:tcPr>
          <w:p>
            <w:pPr>
              <w:jc w:val="right"/>
              <w:ind w:right="604"/>
              <w:spacing w:after="0" w:line="144" w:lineRule="exact"/>
              <w:rPr>
                <w:sz w:val="20"/>
                <w:szCs w:val="20"/>
                <w:color w:val="auto"/>
              </w:rPr>
            </w:pPr>
            <w:r>
              <w:rPr>
                <w:rFonts w:ascii="Arial" w:cs="Arial" w:eastAsia="Arial" w:hAnsi="Arial"/>
                <w:sz w:val="15"/>
                <w:szCs w:val="15"/>
                <w:b w:val="1"/>
                <w:bCs w:val="1"/>
                <w:color w:val="auto"/>
              </w:rPr>
              <w:t>2022</w:t>
            </w: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604"/>
              <w:spacing w:after="0" w:line="144" w:lineRule="exact"/>
              <w:rPr>
                <w:sz w:val="20"/>
                <w:szCs w:val="20"/>
                <w:color w:val="auto"/>
              </w:rPr>
            </w:pPr>
            <w:r>
              <w:rPr>
                <w:rFonts w:ascii="Arial" w:cs="Arial" w:eastAsia="Arial" w:hAnsi="Arial"/>
                <w:sz w:val="15"/>
                <w:szCs w:val="15"/>
                <w:b w:val="1"/>
                <w:bCs w:val="1"/>
                <w:color w:val="auto"/>
              </w:rPr>
              <w:t>2021</w:t>
            </w:r>
          </w:p>
        </w:tc>
        <w:tc>
          <w:tcPr>
            <w:tcW w:w="140" w:type="dxa"/>
            <w:vAlign w:val="bottom"/>
          </w:tcPr>
          <w:p>
            <w:pPr>
              <w:spacing w:after="0"/>
              <w:rPr>
                <w:sz w:val="12"/>
                <w:szCs w:val="12"/>
                <w:color w:val="auto"/>
              </w:rPr>
            </w:pPr>
          </w:p>
        </w:tc>
        <w:tc>
          <w:tcPr>
            <w:tcW w:w="1680" w:type="dxa"/>
            <w:vAlign w:val="bottom"/>
            <w:tcBorders>
              <w:top w:val="single" w:sz="8" w:color="auto"/>
              <w:bottom w:val="single" w:sz="8" w:color="auto"/>
            </w:tcBorders>
          </w:tcPr>
          <w:p>
            <w:pPr>
              <w:jc w:val="right"/>
              <w:ind w:right="604"/>
              <w:spacing w:after="0" w:line="144" w:lineRule="exact"/>
              <w:rPr>
                <w:sz w:val="20"/>
                <w:szCs w:val="20"/>
                <w:color w:val="auto"/>
              </w:rPr>
            </w:pPr>
            <w:r>
              <w:rPr>
                <w:rFonts w:ascii="Arial" w:cs="Arial" w:eastAsia="Arial" w:hAnsi="Arial"/>
                <w:sz w:val="15"/>
                <w:szCs w:val="15"/>
                <w:b w:val="1"/>
                <w:bCs w:val="1"/>
                <w:color w:val="auto"/>
              </w:rPr>
              <w:t>2022</w:t>
            </w: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24"/>
              <w:spacing w:after="0" w:line="144" w:lineRule="exact"/>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33"/>
        </w:trPr>
        <w:tc>
          <w:tcPr>
            <w:tcW w:w="4100" w:type="dxa"/>
            <w:vAlign w:val="bottom"/>
            <w:vMerge w:val="continue"/>
          </w:tcPr>
          <w:p>
            <w:pPr>
              <w:spacing w:after="0"/>
              <w:rPr>
                <w:sz w:val="11"/>
                <w:szCs w:val="11"/>
                <w:color w:val="auto"/>
              </w:rPr>
            </w:pPr>
          </w:p>
        </w:tc>
        <w:tc>
          <w:tcPr>
            <w:tcW w:w="1680" w:type="dxa"/>
            <w:vAlign w:val="bottom"/>
          </w:tcPr>
          <w:p>
            <w:pPr>
              <w:jc w:val="right"/>
              <w:ind w:right="584"/>
              <w:spacing w:after="0" w:line="133" w:lineRule="exact"/>
              <w:rPr>
                <w:sz w:val="20"/>
                <w:szCs w:val="20"/>
                <w:color w:val="auto"/>
              </w:rPr>
            </w:pPr>
            <w:r>
              <w:rPr>
                <w:rFonts w:ascii="Arial" w:cs="Arial" w:eastAsia="Arial" w:hAnsi="Arial"/>
                <w:sz w:val="15"/>
                <w:szCs w:val="15"/>
                <w:color w:val="auto"/>
              </w:rPr>
              <w:t>4.6</w:t>
            </w:r>
          </w:p>
        </w:tc>
        <w:tc>
          <w:tcPr>
            <w:tcW w:w="140" w:type="dxa"/>
            <w:vAlign w:val="bottom"/>
          </w:tcPr>
          <w:p>
            <w:pPr>
              <w:spacing w:after="0"/>
              <w:rPr>
                <w:sz w:val="11"/>
                <w:szCs w:val="11"/>
                <w:color w:val="auto"/>
              </w:rPr>
            </w:pPr>
          </w:p>
        </w:tc>
        <w:tc>
          <w:tcPr>
            <w:tcW w:w="1660" w:type="dxa"/>
            <w:vAlign w:val="bottom"/>
          </w:tcPr>
          <w:p>
            <w:pPr>
              <w:jc w:val="right"/>
              <w:ind w:right="584"/>
              <w:spacing w:after="0" w:line="133" w:lineRule="exact"/>
              <w:rPr>
                <w:sz w:val="20"/>
                <w:szCs w:val="20"/>
                <w:color w:val="auto"/>
              </w:rPr>
            </w:pPr>
            <w:r>
              <w:rPr>
                <w:rFonts w:ascii="Arial" w:cs="Arial" w:eastAsia="Arial" w:hAnsi="Arial"/>
                <w:sz w:val="15"/>
                <w:szCs w:val="15"/>
                <w:color w:val="auto"/>
              </w:rPr>
              <w:t>4.6</w:t>
            </w:r>
          </w:p>
        </w:tc>
        <w:tc>
          <w:tcPr>
            <w:tcW w:w="140" w:type="dxa"/>
            <w:vAlign w:val="bottom"/>
          </w:tcPr>
          <w:p>
            <w:pPr>
              <w:spacing w:after="0"/>
              <w:rPr>
                <w:sz w:val="11"/>
                <w:szCs w:val="11"/>
                <w:color w:val="auto"/>
              </w:rPr>
            </w:pPr>
          </w:p>
        </w:tc>
        <w:tc>
          <w:tcPr>
            <w:tcW w:w="1680" w:type="dxa"/>
            <w:vAlign w:val="bottom"/>
          </w:tcPr>
          <w:p>
            <w:pPr>
              <w:jc w:val="right"/>
              <w:ind w:right="584"/>
              <w:spacing w:after="0" w:line="133" w:lineRule="exact"/>
              <w:rPr>
                <w:sz w:val="20"/>
                <w:szCs w:val="20"/>
                <w:color w:val="auto"/>
              </w:rPr>
            </w:pPr>
            <w:r>
              <w:rPr>
                <w:rFonts w:ascii="Arial" w:cs="Arial" w:eastAsia="Arial" w:hAnsi="Arial"/>
                <w:sz w:val="15"/>
                <w:szCs w:val="15"/>
                <w:color w:val="auto"/>
              </w:rPr>
              <w:t>4.6</w:t>
            </w:r>
          </w:p>
        </w:tc>
        <w:tc>
          <w:tcPr>
            <w:tcW w:w="140" w:type="dxa"/>
            <w:vAlign w:val="bottom"/>
          </w:tcPr>
          <w:p>
            <w:pPr>
              <w:spacing w:after="0"/>
              <w:rPr>
                <w:sz w:val="11"/>
                <w:szCs w:val="11"/>
                <w:color w:val="auto"/>
              </w:rPr>
            </w:pPr>
          </w:p>
        </w:tc>
        <w:tc>
          <w:tcPr>
            <w:tcW w:w="1700" w:type="dxa"/>
            <w:vAlign w:val="bottom"/>
          </w:tcPr>
          <w:p>
            <w:pPr>
              <w:jc w:val="right"/>
              <w:ind w:right="604"/>
              <w:spacing w:after="0" w:line="133"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-96520</wp:posOffset>
            </wp:positionV>
            <wp:extent cx="7141210" cy="104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1041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bl>
      <w:tblPr>
        <w:tblLayout w:type="fixed"/>
        <w:tblInd w:w="0" w:type="dxa"/>
        <w:tblCellMar>
          <w:top w:w="0" w:type="dxa"/>
          <w:left w:w="0" w:type="dxa"/>
          <w:bottom w:w="0" w:type="dxa"/>
          <w:right w:w="0" w:type="dxa"/>
        </w:tblCellMar>
      </w:tblPr>
      <w:tr>
        <w:trPr>
          <w:trHeight w:val="157"/>
        </w:trPr>
        <w:tc>
          <w:tcPr>
            <w:tcW w:w="1200" w:type="dxa"/>
            <w:vAlign w:val="bottom"/>
            <w:tcBorders>
              <w:top w:val="single" w:sz="8" w:color="0000FF"/>
            </w:tcBorders>
          </w:tcPr>
          <w:p>
            <w:pPr>
              <w:spacing w:after="0" w:line="157" w:lineRule="exact"/>
              <w:rPr>
                <w:sz w:val="20"/>
                <w:szCs w:val="20"/>
                <w:color w:val="auto"/>
              </w:rPr>
            </w:pPr>
            <w:r>
              <w:rPr>
                <w:rFonts w:ascii="Arial" w:cs="Arial" w:eastAsia="Arial" w:hAnsi="Arial"/>
                <w:sz w:val="15"/>
                <w:szCs w:val="15"/>
                <w:color w:val="auto"/>
                <w:w w:val="98"/>
              </w:rPr>
              <w:t>Expected volatility</w:t>
            </w:r>
          </w:p>
        </w:tc>
        <w:tc>
          <w:tcPr>
            <w:tcW w:w="2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jc w:val="right"/>
              <w:ind w:right="344"/>
              <w:spacing w:after="0" w:line="157" w:lineRule="exact"/>
              <w:rPr>
                <w:sz w:val="20"/>
                <w:szCs w:val="20"/>
                <w:color w:val="auto"/>
              </w:rPr>
            </w:pPr>
            <w:r>
              <w:rPr>
                <w:rFonts w:ascii="Arial" w:cs="Arial" w:eastAsia="Arial" w:hAnsi="Arial"/>
                <w:sz w:val="15"/>
                <w:szCs w:val="15"/>
                <w:color w:val="auto"/>
              </w:rPr>
              <w:t>72%</w:t>
            </w:r>
          </w:p>
        </w:tc>
        <w:tc>
          <w:tcPr>
            <w:tcW w:w="740" w:type="dxa"/>
            <w:vAlign w:val="bottom"/>
          </w:tcPr>
          <w:p>
            <w:pPr>
              <w:spacing w:after="0"/>
              <w:rPr>
                <w:sz w:val="13"/>
                <w:szCs w:val="13"/>
                <w:color w:val="auto"/>
              </w:rPr>
            </w:pPr>
          </w:p>
        </w:tc>
        <w:tc>
          <w:tcPr>
            <w:tcW w:w="1060" w:type="dxa"/>
            <w:vAlign w:val="bottom"/>
          </w:tcPr>
          <w:p>
            <w:pPr>
              <w:jc w:val="right"/>
              <w:ind w:right="344"/>
              <w:spacing w:after="0" w:line="157" w:lineRule="exact"/>
              <w:rPr>
                <w:sz w:val="20"/>
                <w:szCs w:val="20"/>
                <w:color w:val="auto"/>
              </w:rPr>
            </w:pPr>
            <w:r>
              <w:rPr>
                <w:rFonts w:ascii="Arial" w:cs="Arial" w:eastAsia="Arial" w:hAnsi="Arial"/>
                <w:sz w:val="15"/>
                <w:szCs w:val="15"/>
                <w:color w:val="auto"/>
              </w:rPr>
              <w:t>70%</w:t>
            </w:r>
          </w:p>
        </w:tc>
        <w:tc>
          <w:tcPr>
            <w:tcW w:w="620" w:type="dxa"/>
            <w:vAlign w:val="bottom"/>
          </w:tcPr>
          <w:p>
            <w:pPr>
              <w:spacing w:after="0"/>
              <w:rPr>
                <w:sz w:val="13"/>
                <w:szCs w:val="13"/>
                <w:color w:val="auto"/>
              </w:rPr>
            </w:pPr>
          </w:p>
        </w:tc>
        <w:tc>
          <w:tcPr>
            <w:tcW w:w="1320" w:type="dxa"/>
            <w:vAlign w:val="bottom"/>
          </w:tcPr>
          <w:p>
            <w:pPr>
              <w:jc w:val="center"/>
              <w:spacing w:after="0" w:line="157" w:lineRule="exact"/>
              <w:rPr>
                <w:sz w:val="20"/>
                <w:szCs w:val="20"/>
                <w:color w:val="auto"/>
              </w:rPr>
            </w:pPr>
            <w:r>
              <w:rPr>
                <w:rFonts w:ascii="Arial" w:cs="Arial" w:eastAsia="Arial" w:hAnsi="Arial"/>
                <w:sz w:val="15"/>
                <w:szCs w:val="15"/>
                <w:color w:val="auto"/>
                <w:w w:val="95"/>
              </w:rPr>
              <w:t>70% - 72%</w:t>
            </w:r>
          </w:p>
        </w:tc>
        <w:tc>
          <w:tcPr>
            <w:tcW w:w="5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5"/>
                <w:szCs w:val="15"/>
                <w:color w:val="auto"/>
              </w:rPr>
              <w:t>68%</w:t>
            </w:r>
          </w:p>
        </w:tc>
        <w:tc>
          <w:tcPr>
            <w:tcW w:w="100" w:type="dxa"/>
            <w:vAlign w:val="bottom"/>
          </w:tcPr>
          <w:p>
            <w:pPr>
              <w:jc w:val="right"/>
              <w:spacing w:after="0" w:line="157" w:lineRule="exact"/>
              <w:rPr>
                <w:sz w:val="20"/>
                <w:szCs w:val="20"/>
                <w:color w:val="auto"/>
              </w:rPr>
            </w:pPr>
            <w:r>
              <w:rPr>
                <w:rFonts w:ascii="Arial" w:cs="Arial" w:eastAsia="Arial" w:hAnsi="Arial"/>
                <w:sz w:val="15"/>
                <w:szCs w:val="15"/>
                <w:color w:val="auto"/>
                <w:w w:val="79"/>
              </w:rPr>
              <w:t>-</w:t>
            </w:r>
          </w:p>
        </w:tc>
        <w:tc>
          <w:tcPr>
            <w:tcW w:w="720" w:type="dxa"/>
            <w:vAlign w:val="bottom"/>
          </w:tcPr>
          <w:p>
            <w:pPr>
              <w:spacing w:after="0" w:line="157" w:lineRule="exact"/>
              <w:rPr>
                <w:sz w:val="20"/>
                <w:szCs w:val="20"/>
                <w:color w:val="auto"/>
              </w:rPr>
            </w:pPr>
            <w:r>
              <w:rPr>
                <w:rFonts w:ascii="Arial" w:cs="Arial" w:eastAsia="Arial" w:hAnsi="Arial"/>
                <w:sz w:val="15"/>
                <w:szCs w:val="15"/>
                <w:color w:val="auto"/>
              </w:rPr>
              <w:t>70%</w:t>
            </w:r>
          </w:p>
        </w:tc>
      </w:tr>
      <w:tr>
        <w:trPr>
          <w:trHeight w:val="152"/>
        </w:trPr>
        <w:tc>
          <w:tcPr>
            <w:tcW w:w="352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Risk-free interest rate</w:t>
            </w:r>
          </w:p>
        </w:tc>
        <w:tc>
          <w:tcPr>
            <w:tcW w:w="9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04"/>
              <w:spacing w:after="0" w:line="151" w:lineRule="exact"/>
              <w:rPr>
                <w:sz w:val="20"/>
                <w:szCs w:val="20"/>
                <w:color w:val="auto"/>
              </w:rPr>
            </w:pPr>
            <w:r>
              <w:rPr>
                <w:rFonts w:ascii="Arial" w:cs="Arial" w:eastAsia="Arial" w:hAnsi="Arial"/>
                <w:sz w:val="15"/>
                <w:szCs w:val="15"/>
                <w:color w:val="auto"/>
              </w:rPr>
              <w:t>2.77%</w:t>
            </w:r>
          </w:p>
        </w:tc>
        <w:tc>
          <w:tcPr>
            <w:tcW w:w="7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84"/>
              <w:spacing w:after="0" w:line="151" w:lineRule="exact"/>
              <w:rPr>
                <w:sz w:val="20"/>
                <w:szCs w:val="20"/>
                <w:color w:val="auto"/>
              </w:rPr>
            </w:pPr>
            <w:r>
              <w:rPr>
                <w:rFonts w:ascii="Arial" w:cs="Arial" w:eastAsia="Arial" w:hAnsi="Arial"/>
                <w:sz w:val="15"/>
                <w:szCs w:val="15"/>
                <w:color w:val="auto"/>
              </w:rPr>
              <w:t>0.74%</w:t>
            </w:r>
          </w:p>
        </w:tc>
        <w:tc>
          <w:tcPr>
            <w:tcW w:w="6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64"/>
              <w:spacing w:after="0" w:line="151" w:lineRule="exact"/>
              <w:rPr>
                <w:sz w:val="20"/>
                <w:szCs w:val="20"/>
                <w:color w:val="auto"/>
              </w:rPr>
            </w:pPr>
            <w:r>
              <w:rPr>
                <w:rFonts w:ascii="Arial" w:cs="Arial" w:eastAsia="Arial" w:hAnsi="Arial"/>
                <w:sz w:val="15"/>
                <w:szCs w:val="15"/>
                <w:color w:val="auto"/>
              </w:rPr>
              <w:t>1.76% - 2.77%</w:t>
            </w: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0.50%</w:t>
            </w:r>
          </w:p>
        </w:tc>
        <w:tc>
          <w:tcPr>
            <w:tcW w:w="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9"/>
              </w:rPr>
              <w:t>-</w:t>
            </w:r>
          </w:p>
        </w:tc>
        <w:tc>
          <w:tcPr>
            <w:tcW w:w="72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0.74%</w:t>
            </w:r>
          </w:p>
        </w:tc>
      </w:tr>
      <w:tr>
        <w:trPr>
          <w:trHeight w:val="152"/>
        </w:trPr>
        <w:tc>
          <w:tcPr>
            <w:tcW w:w="3520" w:type="dxa"/>
            <w:vAlign w:val="bottom"/>
            <w:gridSpan w:val="2"/>
          </w:tcPr>
          <w:p>
            <w:pPr>
              <w:spacing w:after="0" w:line="151" w:lineRule="exact"/>
              <w:rPr>
                <w:sz w:val="20"/>
                <w:szCs w:val="20"/>
                <w:color w:val="auto"/>
              </w:rPr>
            </w:pPr>
            <w:r>
              <w:rPr>
                <w:rFonts w:ascii="Arial" w:cs="Arial" w:eastAsia="Arial" w:hAnsi="Arial"/>
                <w:sz w:val="15"/>
                <w:szCs w:val="15"/>
                <w:color w:val="auto"/>
              </w:rPr>
              <w:t>Dividend yield</w:t>
            </w:r>
          </w:p>
        </w:tc>
        <w:tc>
          <w:tcPr>
            <w:tcW w:w="980" w:type="dxa"/>
            <w:vAlign w:val="bottom"/>
          </w:tcPr>
          <w:p>
            <w:pPr>
              <w:spacing w:after="0"/>
              <w:rPr>
                <w:sz w:val="13"/>
                <w:szCs w:val="13"/>
                <w:color w:val="auto"/>
              </w:rPr>
            </w:pPr>
          </w:p>
        </w:tc>
        <w:tc>
          <w:tcPr>
            <w:tcW w:w="1080" w:type="dxa"/>
            <w:vAlign w:val="bottom"/>
          </w:tcPr>
          <w:p>
            <w:pPr>
              <w:jc w:val="center"/>
              <w:spacing w:after="0" w:line="151" w:lineRule="exact"/>
              <w:rPr>
                <w:sz w:val="20"/>
                <w:szCs w:val="20"/>
                <w:color w:val="auto"/>
              </w:rPr>
            </w:pPr>
            <w:r>
              <w:rPr>
                <w:rFonts w:ascii="Arial" w:cs="Arial" w:eastAsia="Arial" w:hAnsi="Arial"/>
                <w:sz w:val="15"/>
                <w:szCs w:val="15"/>
                <w:color w:val="auto"/>
                <w:w w:val="93"/>
              </w:rPr>
              <w:t>—</w:t>
            </w:r>
          </w:p>
        </w:tc>
        <w:tc>
          <w:tcPr>
            <w:tcW w:w="740" w:type="dxa"/>
            <w:vAlign w:val="bottom"/>
          </w:tcPr>
          <w:p>
            <w:pPr>
              <w:spacing w:after="0"/>
              <w:rPr>
                <w:sz w:val="13"/>
                <w:szCs w:val="13"/>
                <w:color w:val="auto"/>
              </w:rPr>
            </w:pPr>
          </w:p>
        </w:tc>
        <w:tc>
          <w:tcPr>
            <w:tcW w:w="1060" w:type="dxa"/>
            <w:vAlign w:val="bottom"/>
          </w:tcPr>
          <w:p>
            <w:pPr>
              <w:jc w:val="right"/>
              <w:ind w:right="444"/>
              <w:spacing w:after="0" w:line="151"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3"/>
                <w:szCs w:val="13"/>
                <w:color w:val="auto"/>
              </w:rPr>
            </w:pPr>
          </w:p>
        </w:tc>
        <w:tc>
          <w:tcPr>
            <w:tcW w:w="1320" w:type="dxa"/>
            <w:vAlign w:val="bottom"/>
          </w:tcPr>
          <w:p>
            <w:pPr>
              <w:jc w:val="center"/>
              <w:spacing w:after="0" w:line="151" w:lineRule="exact"/>
              <w:rPr>
                <w:sz w:val="20"/>
                <w:szCs w:val="20"/>
                <w:color w:val="auto"/>
              </w:rPr>
            </w:pPr>
            <w:r>
              <w:rPr>
                <w:rFonts w:ascii="Arial" w:cs="Arial" w:eastAsia="Arial" w:hAnsi="Arial"/>
                <w:sz w:val="15"/>
                <w:szCs w:val="15"/>
                <w:color w:val="auto"/>
                <w:w w:val="93"/>
              </w:rPr>
              <w:t>—</w:t>
            </w:r>
          </w:p>
        </w:tc>
        <w:tc>
          <w:tcPr>
            <w:tcW w:w="500" w:type="dxa"/>
            <w:vAlign w:val="bottom"/>
          </w:tcPr>
          <w:p>
            <w:pPr>
              <w:spacing w:after="0"/>
              <w:rPr>
                <w:sz w:val="13"/>
                <w:szCs w:val="13"/>
                <w:color w:val="auto"/>
              </w:rPr>
            </w:pPr>
          </w:p>
        </w:tc>
        <w:tc>
          <w:tcPr>
            <w:tcW w:w="700" w:type="dxa"/>
            <w:vAlign w:val="bottom"/>
            <w:gridSpan w:val="2"/>
          </w:tcPr>
          <w:p>
            <w:pPr>
              <w:jc w:val="right"/>
              <w:spacing w:after="0" w:line="151" w:lineRule="exact"/>
              <w:rPr>
                <w:sz w:val="20"/>
                <w:szCs w:val="20"/>
                <w:color w:val="auto"/>
              </w:rPr>
            </w:pPr>
            <w:r>
              <w:rPr>
                <w:rFonts w:ascii="Arial" w:cs="Arial" w:eastAsia="Arial" w:hAnsi="Arial"/>
                <w:sz w:val="15"/>
                <w:szCs w:val="15"/>
                <w:color w:val="auto"/>
              </w:rPr>
              <w:t>—</w:t>
            </w:r>
          </w:p>
        </w:tc>
        <w:tc>
          <w:tcPr>
            <w:tcW w:w="720" w:type="dxa"/>
            <w:vAlign w:val="bottom"/>
          </w:tcPr>
          <w:p>
            <w:pPr>
              <w:spacing w:after="0"/>
              <w:rPr>
                <w:sz w:val="13"/>
                <w:szCs w:val="13"/>
                <w:color w:val="auto"/>
              </w:rPr>
            </w:pPr>
          </w:p>
        </w:tc>
      </w:tr>
      <w:tr>
        <w:trPr>
          <w:trHeight w:val="152"/>
        </w:trPr>
        <w:tc>
          <w:tcPr>
            <w:tcW w:w="352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Weighted average grant date fair value per share</w:t>
            </w:r>
          </w:p>
        </w:tc>
        <w:tc>
          <w:tcPr>
            <w:tcW w:w="980" w:type="dxa"/>
            <w:vAlign w:val="bottom"/>
            <w:shd w:val="clear" w:color="auto" w:fill="CCEEFF"/>
          </w:tcPr>
          <w:p>
            <w:pPr>
              <w:jc w:val="right"/>
              <w:ind w:right="244"/>
              <w:spacing w:after="0" w:line="151" w:lineRule="exact"/>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344"/>
              <w:spacing w:after="0" w:line="151" w:lineRule="exact"/>
              <w:rPr>
                <w:sz w:val="20"/>
                <w:szCs w:val="20"/>
                <w:color w:val="auto"/>
              </w:rPr>
            </w:pPr>
            <w:r>
              <w:rPr>
                <w:rFonts w:ascii="Arial" w:cs="Arial" w:eastAsia="Arial" w:hAnsi="Arial"/>
                <w:sz w:val="15"/>
                <w:szCs w:val="15"/>
                <w:color w:val="auto"/>
              </w:rPr>
              <w:t>3.26</w:t>
            </w:r>
          </w:p>
        </w:tc>
        <w:tc>
          <w:tcPr>
            <w:tcW w:w="740" w:type="dxa"/>
            <w:vAlign w:val="bottom"/>
            <w:shd w:val="clear" w:color="auto" w:fill="CCEEFF"/>
          </w:tcPr>
          <w:p>
            <w:pPr>
              <w:jc w:val="right"/>
              <w:ind w:right="224"/>
              <w:spacing w:after="0" w:line="151" w:lineRule="exact"/>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304"/>
              <w:spacing w:after="0" w:line="151" w:lineRule="exact"/>
              <w:rPr>
                <w:sz w:val="20"/>
                <w:szCs w:val="20"/>
                <w:color w:val="auto"/>
              </w:rPr>
            </w:pPr>
            <w:r>
              <w:rPr>
                <w:rFonts w:ascii="Arial" w:cs="Arial" w:eastAsia="Arial" w:hAnsi="Arial"/>
                <w:sz w:val="15"/>
                <w:szCs w:val="15"/>
                <w:color w:val="auto"/>
              </w:rPr>
              <w:t>14.54</w:t>
            </w:r>
          </w:p>
        </w:tc>
        <w:tc>
          <w:tcPr>
            <w:tcW w:w="620" w:type="dxa"/>
            <w:vAlign w:val="bottom"/>
            <w:shd w:val="clear" w:color="auto" w:fill="CCEEFF"/>
          </w:tcPr>
          <w:p>
            <w:pPr>
              <w:jc w:val="right"/>
              <w:ind w:right="104"/>
              <w:spacing w:after="0" w:line="151" w:lineRule="exact"/>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center"/>
              <w:spacing w:after="0" w:line="151" w:lineRule="exact"/>
              <w:rPr>
                <w:sz w:val="20"/>
                <w:szCs w:val="20"/>
                <w:color w:val="auto"/>
              </w:rPr>
            </w:pPr>
            <w:r>
              <w:rPr>
                <w:rFonts w:ascii="Arial" w:cs="Arial" w:eastAsia="Arial" w:hAnsi="Arial"/>
                <w:sz w:val="15"/>
                <w:szCs w:val="15"/>
                <w:color w:val="auto"/>
                <w:w w:val="88"/>
              </w:rPr>
              <w:t>6.05</w:t>
            </w:r>
          </w:p>
        </w:tc>
        <w:tc>
          <w:tcPr>
            <w:tcW w:w="500" w:type="dxa"/>
            <w:vAlign w:val="bottom"/>
            <w:shd w:val="clear" w:color="auto" w:fill="CCEEFF"/>
          </w:tcPr>
          <w:p>
            <w:pPr>
              <w:jc w:val="right"/>
              <w:ind w:right="124"/>
              <w:spacing w:after="0" w:line="151"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18.86</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ESPP</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estimate the fair value of shares to be issued under the ESPP using the Black-Scholes option pricing model. For the three and six months ended June 30, 2022 and 2021, the fair value of shares to be issued under the ESPP was estimated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4"/>
        </w:trPr>
        <w:tc>
          <w:tcPr>
            <w:tcW w:w="63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964"/>
              <w:spacing w:after="0" w:line="144" w:lineRule="exact"/>
              <w:rPr>
                <w:sz w:val="20"/>
                <w:szCs w:val="20"/>
                <w:color w:val="auto"/>
              </w:rPr>
            </w:pPr>
            <w:r>
              <w:rPr>
                <w:rFonts w:ascii="Arial" w:cs="Arial" w:eastAsia="Arial" w:hAnsi="Arial"/>
                <w:sz w:val="15"/>
                <w:szCs w:val="15"/>
                <w:b w:val="1"/>
                <w:bCs w:val="1"/>
                <w:color w:val="auto"/>
              </w:rPr>
              <w:t>2022</w:t>
            </w: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5"/>
                <w:szCs w:val="15"/>
                <w:b w:val="1"/>
                <w:bCs w:val="1"/>
                <w:color w:val="auto"/>
              </w:rPr>
              <w:t>2021</w:t>
            </w:r>
          </w:p>
        </w:tc>
        <w:tc>
          <w:tcPr>
            <w:tcW w:w="960" w:type="dxa"/>
            <w:vAlign w:val="bottom"/>
            <w:tcBorders>
              <w:bottom w:val="single" w:sz="8" w:color="auto"/>
            </w:tcBorders>
          </w:tcPr>
          <w:p>
            <w:pPr>
              <w:spacing w:after="0"/>
              <w:rPr>
                <w:sz w:val="12"/>
                <w:szCs w:val="12"/>
                <w:color w:val="auto"/>
              </w:rPr>
            </w:pPr>
          </w:p>
        </w:tc>
      </w:tr>
      <w:tr>
        <w:trPr>
          <w:trHeight w:val="144"/>
        </w:trPr>
        <w:tc>
          <w:tcPr>
            <w:tcW w:w="634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Expected term in years</w:t>
            </w:r>
          </w:p>
        </w:tc>
        <w:tc>
          <w:tcPr>
            <w:tcW w:w="5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ind w:right="184"/>
              <w:spacing w:after="0" w:line="144" w:lineRule="exact"/>
              <w:rPr>
                <w:sz w:val="20"/>
                <w:szCs w:val="20"/>
                <w:color w:val="auto"/>
              </w:rPr>
            </w:pPr>
            <w:r>
              <w:rPr>
                <w:rFonts w:ascii="Arial" w:cs="Arial" w:eastAsia="Arial" w:hAnsi="Arial"/>
                <w:sz w:val="15"/>
                <w:szCs w:val="15"/>
                <w:color w:val="auto"/>
                <w:w w:val="92"/>
              </w:rPr>
              <w:t>0.5 – 2.0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0.5 -</w:t>
            </w:r>
          </w:p>
        </w:tc>
        <w:tc>
          <w:tcPr>
            <w:tcW w:w="96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2.0</w:t>
            </w:r>
          </w:p>
        </w:tc>
      </w:tr>
      <w:tr>
        <w:trPr>
          <w:trHeight w:val="152"/>
        </w:trPr>
        <w:tc>
          <w:tcPr>
            <w:tcW w:w="6340" w:type="dxa"/>
            <w:vAlign w:val="bottom"/>
          </w:tcPr>
          <w:p>
            <w:pPr>
              <w:spacing w:after="0" w:line="151" w:lineRule="exact"/>
              <w:rPr>
                <w:sz w:val="20"/>
                <w:szCs w:val="20"/>
                <w:color w:val="auto"/>
              </w:rPr>
            </w:pPr>
            <w:r>
              <w:rPr>
                <w:rFonts w:ascii="Arial" w:cs="Arial" w:eastAsia="Arial" w:hAnsi="Arial"/>
                <w:sz w:val="15"/>
                <w:szCs w:val="15"/>
                <w:color w:val="auto"/>
              </w:rPr>
              <w:t>Expected volatility</w:t>
            </w:r>
          </w:p>
        </w:tc>
        <w:tc>
          <w:tcPr>
            <w:tcW w:w="500" w:type="dxa"/>
            <w:vAlign w:val="bottom"/>
          </w:tcPr>
          <w:p>
            <w:pPr>
              <w:spacing w:after="0"/>
              <w:rPr>
                <w:sz w:val="13"/>
                <w:szCs w:val="13"/>
                <w:color w:val="auto"/>
              </w:rPr>
            </w:pPr>
          </w:p>
        </w:tc>
        <w:tc>
          <w:tcPr>
            <w:tcW w:w="1880" w:type="dxa"/>
            <w:vAlign w:val="bottom"/>
          </w:tcPr>
          <w:p>
            <w:pPr>
              <w:jc w:val="center"/>
              <w:ind w:right="164"/>
              <w:spacing w:after="0" w:line="151" w:lineRule="exact"/>
              <w:rPr>
                <w:sz w:val="20"/>
                <w:szCs w:val="20"/>
                <w:color w:val="auto"/>
              </w:rPr>
            </w:pPr>
            <w:r>
              <w:rPr>
                <w:rFonts w:ascii="Arial" w:cs="Arial" w:eastAsia="Arial" w:hAnsi="Arial"/>
                <w:sz w:val="15"/>
                <w:szCs w:val="15"/>
                <w:color w:val="auto"/>
                <w:w w:val="93"/>
              </w:rPr>
              <w:t>70%</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20" w:type="dxa"/>
            <w:vAlign w:val="bottom"/>
            <w:gridSpan w:val="2"/>
          </w:tcPr>
          <w:p>
            <w:pPr>
              <w:ind w:left="360"/>
              <w:spacing w:after="0" w:line="151" w:lineRule="exact"/>
              <w:rPr>
                <w:sz w:val="20"/>
                <w:szCs w:val="20"/>
                <w:color w:val="auto"/>
              </w:rPr>
            </w:pPr>
            <w:r>
              <w:rPr>
                <w:rFonts w:ascii="Arial" w:cs="Arial" w:eastAsia="Arial" w:hAnsi="Arial"/>
                <w:sz w:val="15"/>
                <w:szCs w:val="15"/>
                <w:color w:val="auto"/>
              </w:rPr>
              <w:t>68%</w:t>
            </w:r>
          </w:p>
        </w:tc>
      </w:tr>
      <w:tr>
        <w:trPr>
          <w:trHeight w:val="152"/>
        </w:trPr>
        <w:tc>
          <w:tcPr>
            <w:tcW w:w="63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Risk-free interest rate</w:t>
            </w:r>
          </w:p>
        </w:tc>
        <w:tc>
          <w:tcPr>
            <w:tcW w:w="50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center"/>
              <w:ind w:right="500"/>
              <w:spacing w:after="0" w:line="151" w:lineRule="exact"/>
              <w:rPr>
                <w:sz w:val="20"/>
                <w:szCs w:val="20"/>
                <w:color w:val="auto"/>
              </w:rPr>
            </w:pPr>
            <w:r>
              <w:rPr>
                <w:rFonts w:ascii="Arial" w:cs="Arial" w:eastAsia="Arial" w:hAnsi="Arial"/>
                <w:sz w:val="15"/>
                <w:szCs w:val="15"/>
                <w:color w:val="auto"/>
                <w:w w:val="92"/>
              </w:rPr>
              <w:t>0.60% – 1.31%</w:t>
            </w: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96"/>
              </w:rPr>
              <w:t>0.07% -</w:t>
            </w:r>
          </w:p>
        </w:tc>
        <w:tc>
          <w:tcPr>
            <w:tcW w:w="96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0.13%</w:t>
            </w:r>
          </w:p>
        </w:tc>
      </w:tr>
      <w:tr>
        <w:trPr>
          <w:trHeight w:val="152"/>
        </w:trPr>
        <w:tc>
          <w:tcPr>
            <w:tcW w:w="6340" w:type="dxa"/>
            <w:vAlign w:val="bottom"/>
          </w:tcPr>
          <w:p>
            <w:pPr>
              <w:spacing w:after="0" w:line="151" w:lineRule="exact"/>
              <w:rPr>
                <w:sz w:val="20"/>
                <w:szCs w:val="20"/>
                <w:color w:val="auto"/>
              </w:rPr>
            </w:pPr>
            <w:r>
              <w:rPr>
                <w:rFonts w:ascii="Arial" w:cs="Arial" w:eastAsia="Arial" w:hAnsi="Arial"/>
                <w:sz w:val="15"/>
                <w:szCs w:val="15"/>
                <w:color w:val="auto"/>
              </w:rPr>
              <w:t>Dividend yield</w:t>
            </w:r>
          </w:p>
        </w:tc>
        <w:tc>
          <w:tcPr>
            <w:tcW w:w="500" w:type="dxa"/>
            <w:vAlign w:val="bottom"/>
          </w:tcPr>
          <w:p>
            <w:pPr>
              <w:spacing w:after="0"/>
              <w:rPr>
                <w:sz w:val="13"/>
                <w:szCs w:val="13"/>
                <w:color w:val="auto"/>
              </w:rPr>
            </w:pPr>
          </w:p>
        </w:tc>
        <w:tc>
          <w:tcPr>
            <w:tcW w:w="2120" w:type="dxa"/>
            <w:vAlign w:val="bottom"/>
            <w:gridSpan w:val="2"/>
          </w:tcPr>
          <w:p>
            <w:pPr>
              <w:jc w:val="center"/>
              <w:ind w:right="460"/>
              <w:spacing w:after="0" w:line="151" w:lineRule="exact"/>
              <w:rPr>
                <w:sz w:val="20"/>
                <w:szCs w:val="20"/>
                <w:color w:val="auto"/>
              </w:rPr>
            </w:pPr>
            <w:r>
              <w:rPr>
                <w:rFonts w:ascii="Arial" w:cs="Arial" w:eastAsia="Arial" w:hAnsi="Arial"/>
                <w:sz w:val="15"/>
                <w:szCs w:val="15"/>
                <w:color w:val="auto"/>
                <w:w w:val="93"/>
              </w:rPr>
              <w:t>—</w:t>
            </w:r>
          </w:p>
        </w:tc>
        <w:tc>
          <w:tcPr>
            <w:tcW w:w="76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960" w:type="dxa"/>
            <w:vAlign w:val="bottom"/>
          </w:tcPr>
          <w:p>
            <w:pPr>
              <w:spacing w:after="0"/>
              <w:rPr>
                <w:sz w:val="13"/>
                <w:szCs w:val="13"/>
                <w:color w:val="auto"/>
              </w:rPr>
            </w:pPr>
          </w:p>
        </w:tc>
      </w:tr>
      <w:tr>
        <w:trPr>
          <w:trHeight w:val="152"/>
        </w:trPr>
        <w:tc>
          <w:tcPr>
            <w:tcW w:w="634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Weighted average grant date fair value per share</w:t>
            </w:r>
          </w:p>
        </w:tc>
        <w:tc>
          <w:tcPr>
            <w:tcW w:w="500" w:type="dxa"/>
            <w:vAlign w:val="bottom"/>
            <w:shd w:val="clear" w:color="auto" w:fill="CCEEFF"/>
          </w:tcPr>
          <w:p>
            <w:pPr>
              <w:jc w:val="right"/>
              <w:ind w:right="264"/>
              <w:spacing w:after="0" w:line="151" w:lineRule="exact"/>
              <w:rPr>
                <w:sz w:val="20"/>
                <w:szCs w:val="20"/>
                <w:color w:val="auto"/>
              </w:rPr>
            </w:pPr>
            <w:r>
              <w:rPr>
                <w:rFonts w:ascii="Arial" w:cs="Arial" w:eastAsia="Arial" w:hAnsi="Arial"/>
                <w:sz w:val="15"/>
                <w:szCs w:val="15"/>
                <w:color w:val="auto"/>
              </w:rPr>
              <w:t>$</w:t>
            </w:r>
          </w:p>
        </w:tc>
        <w:tc>
          <w:tcPr>
            <w:tcW w:w="1880" w:type="dxa"/>
            <w:vAlign w:val="bottom"/>
            <w:shd w:val="clear" w:color="auto" w:fill="CCEEFF"/>
          </w:tcPr>
          <w:p>
            <w:pPr>
              <w:jc w:val="right"/>
              <w:ind w:right="844"/>
              <w:spacing w:after="0" w:line="151" w:lineRule="exact"/>
              <w:rPr>
                <w:sz w:val="20"/>
                <w:szCs w:val="20"/>
                <w:color w:val="auto"/>
              </w:rPr>
            </w:pPr>
            <w:r>
              <w:rPr>
                <w:rFonts w:ascii="Arial" w:cs="Arial" w:eastAsia="Arial" w:hAnsi="Arial"/>
                <w:sz w:val="15"/>
                <w:szCs w:val="15"/>
                <w:color w:val="auto"/>
              </w:rPr>
              <w:t>5.42</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24"/>
              <w:spacing w:after="0" w:line="151" w:lineRule="exact"/>
              <w:rPr>
                <w:sz w:val="20"/>
                <w:szCs w:val="20"/>
                <w:color w:val="auto"/>
              </w:rPr>
            </w:pPr>
            <w:r>
              <w:rPr>
                <w:rFonts w:ascii="Arial" w:cs="Arial" w:eastAsia="Arial" w:hAnsi="Arial"/>
                <w:sz w:val="15"/>
                <w:szCs w:val="15"/>
                <w:color w:val="auto"/>
              </w:rPr>
              <w:t>$</w:t>
            </w:r>
          </w:p>
        </w:tc>
        <w:tc>
          <w:tcPr>
            <w:tcW w:w="1520" w:type="dxa"/>
            <w:vAlign w:val="bottom"/>
            <w:gridSpan w:val="2"/>
            <w:shd w:val="clear" w:color="auto" w:fill="CCEEFF"/>
          </w:tcPr>
          <w:p>
            <w:pPr>
              <w:ind w:left="360"/>
              <w:spacing w:after="0" w:line="151" w:lineRule="exact"/>
              <w:rPr>
                <w:sz w:val="20"/>
                <w:szCs w:val="20"/>
                <w:color w:val="auto"/>
              </w:rPr>
            </w:pPr>
            <w:r>
              <w:rPr>
                <w:rFonts w:ascii="Arial" w:cs="Arial" w:eastAsia="Arial" w:hAnsi="Arial"/>
                <w:sz w:val="15"/>
                <w:szCs w:val="15"/>
                <w:color w:val="auto"/>
              </w:rPr>
              <w:t>29.26</w:t>
            </w:r>
          </w:p>
        </w:tc>
      </w:tr>
    </w:tbl>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NET LOSS PER SHARE</w:t>
      </w:r>
    </w:p>
    <w:p>
      <w:pPr>
        <w:spacing w:after="0" w:line="7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Basic net loss per share is computed by dividing net loss by the weighted average number of shares of common stock outstanding during the period. Diluted net loss per share is computed using the weighted average number of shares of common stock outstanding and potential shares assuming the dilutive effect of the convertible senior notes, using the if-converted method, and outstanding stock options, restricted stock units and common stock issuable pursuant to our employee stock purchase plan, or ESPP, using the treasury stock method.</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calculation of the basic and diluted net loss per share amounts presented in the Condensed Consolidated Statements of Operations and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Comprehensive Loss (in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5"/>
          </w:tcPr>
          <w:p>
            <w:pPr>
              <w:ind w:left="180"/>
              <w:spacing w:after="0"/>
              <w:rPr>
                <w:sz w:val="20"/>
                <w:szCs w:val="20"/>
                <w:color w:val="auto"/>
              </w:rPr>
            </w:pPr>
            <w:r>
              <w:rPr>
                <w:rFonts w:ascii="Arial" w:cs="Arial" w:eastAsia="Arial" w:hAnsi="Arial"/>
                <w:sz w:val="17"/>
                <w:szCs w:val="17"/>
                <w:b w:val="1"/>
                <w:bCs w:val="1"/>
                <w:color w:val="auto"/>
              </w:rPr>
              <w:t>Three Months Ended June 30,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4"/>
          </w:tcPr>
          <w:p>
            <w:pPr>
              <w:jc w:val="right"/>
              <w:ind w:right="456"/>
              <w:spacing w:after="0"/>
              <w:rPr>
                <w:sz w:val="20"/>
                <w:szCs w:val="20"/>
                <w:color w:val="auto"/>
              </w:rPr>
            </w:pPr>
            <w:r>
              <w:rPr>
                <w:rFonts w:ascii="Arial" w:cs="Arial" w:eastAsia="Arial" w:hAnsi="Arial"/>
                <w:sz w:val="17"/>
                <w:szCs w:val="17"/>
                <w:b w:val="1"/>
                <w:bCs w:val="1"/>
                <w:color w:val="auto"/>
                <w:w w:val="99"/>
              </w:rPr>
              <w:t>Six Months Ended June 30,</w:t>
            </w:r>
          </w:p>
        </w:tc>
        <w:tc>
          <w:tcPr>
            <w:tcW w:w="0" w:type="dxa"/>
            <w:vAlign w:val="bottom"/>
          </w:tcPr>
          <w:p>
            <w:pPr>
              <w:spacing w:after="0"/>
              <w:rPr>
                <w:sz w:val="1"/>
                <w:szCs w:val="1"/>
                <w:color w:val="auto"/>
              </w:rPr>
            </w:pPr>
          </w:p>
        </w:tc>
      </w:tr>
      <w:tr>
        <w:trPr>
          <w:trHeight w:val="170"/>
        </w:trPr>
        <w:tc>
          <w:tcPr>
            <w:tcW w:w="4900" w:type="dxa"/>
            <w:vAlign w:val="bottom"/>
            <w:gridSpan w:val="2"/>
            <w:vMerge w:val="restart"/>
          </w:tcPr>
          <w:p>
            <w:pPr>
              <w:spacing w:after="0"/>
              <w:rPr>
                <w:sz w:val="20"/>
                <w:szCs w:val="20"/>
                <w:color w:val="auto"/>
              </w:rPr>
            </w:pPr>
            <w:r>
              <w:rPr>
                <w:rFonts w:ascii="Arial" w:cs="Arial" w:eastAsia="Arial" w:hAnsi="Arial"/>
                <w:sz w:val="17"/>
                <w:szCs w:val="17"/>
                <w:color w:val="auto"/>
              </w:rPr>
              <w:t>Numerator:</w:t>
            </w:r>
          </w:p>
        </w:tc>
        <w:tc>
          <w:tcPr>
            <w:tcW w:w="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56"/>
              <w:spacing w:after="0" w:line="170" w:lineRule="exact"/>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6"/>
              <w:spacing w:after="0" w:line="170" w:lineRule="exact"/>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6"/>
              <w:spacing w:after="0" w:line="170" w:lineRule="exact"/>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6"/>
              <w:spacing w:after="0" w:line="170" w:lineRule="exact"/>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69"/>
        </w:trPr>
        <w:tc>
          <w:tcPr>
            <w:tcW w:w="4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80" w:type="dxa"/>
            <w:vAlign w:val="bottom"/>
            <w:shd w:val="clear" w:color="auto" w:fill="CCEEFF"/>
          </w:tcPr>
          <w:p>
            <w:pPr>
              <w:ind w:left="180"/>
              <w:spacing w:after="0" w:line="177" w:lineRule="exact"/>
              <w:rPr>
                <w:sz w:val="20"/>
                <w:szCs w:val="20"/>
                <w:color w:val="auto"/>
              </w:rPr>
            </w:pPr>
            <w:r>
              <w:rPr>
                <w:rFonts w:ascii="Arial" w:cs="Arial" w:eastAsia="Arial" w:hAnsi="Arial"/>
                <w:sz w:val="17"/>
                <w:szCs w:val="17"/>
                <w:color w:val="auto"/>
              </w:rPr>
              <w:t>Net loss</w:t>
            </w:r>
          </w:p>
        </w:tc>
        <w:tc>
          <w:tcPr>
            <w:tcW w:w="300" w:type="dxa"/>
            <w:vAlign w:val="bottom"/>
            <w:gridSpan w:val="2"/>
            <w:shd w:val="clear" w:color="auto" w:fill="CCEEFF"/>
          </w:tcPr>
          <w:p>
            <w:pPr>
              <w:jc w:val="right"/>
              <w:ind w:right="180"/>
              <w:spacing w:after="0" w:line="177"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20"/>
              <w:spacing w:after="0" w:line="177" w:lineRule="exact"/>
              <w:rPr>
                <w:sz w:val="20"/>
                <w:szCs w:val="20"/>
                <w:color w:val="auto"/>
              </w:rPr>
            </w:pPr>
            <w:r>
              <w:rPr>
                <w:rFonts w:ascii="Arial" w:cs="Arial" w:eastAsia="Arial" w:hAnsi="Arial"/>
                <w:sz w:val="17"/>
                <w:szCs w:val="17"/>
                <w:color w:val="auto"/>
              </w:rPr>
              <w:t>(71,394)</w:t>
            </w:r>
          </w:p>
        </w:tc>
        <w:tc>
          <w:tcPr>
            <w:tcW w:w="320" w:type="dxa"/>
            <w:vAlign w:val="bottom"/>
            <w:shd w:val="clear" w:color="auto" w:fill="CCEEFF"/>
          </w:tcPr>
          <w:p>
            <w:pPr>
              <w:jc w:val="right"/>
              <w:ind w:right="159"/>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line="177" w:lineRule="exact"/>
              <w:rPr>
                <w:sz w:val="20"/>
                <w:szCs w:val="20"/>
                <w:color w:val="auto"/>
              </w:rPr>
            </w:pPr>
            <w:r>
              <w:rPr>
                <w:rFonts w:ascii="Arial" w:cs="Arial" w:eastAsia="Arial" w:hAnsi="Arial"/>
                <w:sz w:val="17"/>
                <w:szCs w:val="17"/>
                <w:color w:val="auto"/>
              </w:rPr>
              <w:t>(41,001)</w:t>
            </w:r>
          </w:p>
        </w:tc>
        <w:tc>
          <w:tcPr>
            <w:tcW w:w="400" w:type="dxa"/>
            <w:vAlign w:val="bottom"/>
            <w:gridSpan w:val="2"/>
            <w:shd w:val="clear" w:color="auto" w:fill="CCEEFF"/>
          </w:tcPr>
          <w:p>
            <w:pPr>
              <w:jc w:val="right"/>
              <w:ind w:right="240"/>
              <w:spacing w:after="0" w:line="177"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(152,893)</w:t>
            </w:r>
          </w:p>
        </w:tc>
        <w:tc>
          <w:tcPr>
            <w:tcW w:w="540" w:type="dxa"/>
            <w:vAlign w:val="bottom"/>
            <w:gridSpan w:val="2"/>
            <w:shd w:val="clear" w:color="auto" w:fill="CCEEFF"/>
          </w:tcPr>
          <w:p>
            <w:pPr>
              <w:jc w:val="right"/>
              <w:ind w:right="240"/>
              <w:spacing w:after="0" w:line="177"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(128,436)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488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Denominator:</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80" w:type="dxa"/>
            <w:vAlign w:val="bottom"/>
          </w:tcPr>
          <w:p>
            <w:pPr>
              <w:spacing w:after="0" w:line="177" w:lineRule="exact"/>
              <w:rPr>
                <w:sz w:val="20"/>
                <w:szCs w:val="20"/>
                <w:color w:val="auto"/>
              </w:rPr>
            </w:pPr>
            <w:r>
              <w:rPr>
                <w:rFonts w:ascii="Arial" w:cs="Arial" w:eastAsia="Arial" w:hAnsi="Arial"/>
                <w:sz w:val="17"/>
                <w:szCs w:val="17"/>
                <w:color w:val="auto"/>
              </w:rPr>
              <w:t>Basic</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80" w:type="dxa"/>
            <w:vAlign w:val="bottom"/>
            <w:shd w:val="clear" w:color="auto" w:fill="CCEEFF"/>
          </w:tcPr>
          <w:p>
            <w:pPr>
              <w:ind w:left="180"/>
              <w:spacing w:after="0" w:line="177" w:lineRule="exact"/>
              <w:rPr>
                <w:sz w:val="20"/>
                <w:szCs w:val="20"/>
                <w:color w:val="auto"/>
              </w:rPr>
            </w:pPr>
            <w:r>
              <w:rPr>
                <w:rFonts w:ascii="Arial" w:cs="Arial" w:eastAsia="Arial" w:hAnsi="Arial"/>
                <w:sz w:val="17"/>
                <w:szCs w:val="17"/>
                <w:color w:val="auto"/>
              </w:rPr>
              <w:t>Weighted average shares used in computing basic net loss</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224,499</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198,568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223,400</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196,690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80" w:type="dxa"/>
            <w:vAlign w:val="bottom"/>
          </w:tcPr>
          <w:p>
            <w:pPr>
              <w:spacing w:after="0" w:line="177" w:lineRule="exact"/>
              <w:rPr>
                <w:sz w:val="20"/>
                <w:szCs w:val="20"/>
                <w:color w:val="auto"/>
              </w:rPr>
            </w:pPr>
            <w:r>
              <w:rPr>
                <w:rFonts w:ascii="Arial" w:cs="Arial" w:eastAsia="Arial" w:hAnsi="Arial"/>
                <w:sz w:val="17"/>
                <w:szCs w:val="17"/>
                <w:color w:val="auto"/>
              </w:rPr>
              <w:t>Basic net loss per share</w:t>
            </w:r>
          </w:p>
        </w:tc>
        <w:tc>
          <w:tcPr>
            <w:tcW w:w="300" w:type="dxa"/>
            <w:vAlign w:val="bottom"/>
            <w:gridSpan w:val="2"/>
          </w:tcPr>
          <w:p>
            <w:pPr>
              <w:jc w:val="right"/>
              <w:ind w:right="180"/>
              <w:spacing w:after="0" w:line="177" w:lineRule="exact"/>
              <w:rPr>
                <w:sz w:val="20"/>
                <w:szCs w:val="20"/>
                <w:color w:val="auto"/>
              </w:rPr>
            </w:pPr>
            <w:r>
              <w:rPr>
                <w:rFonts w:ascii="Arial" w:cs="Arial" w:eastAsia="Arial" w:hAnsi="Arial"/>
                <w:sz w:val="17"/>
                <w:szCs w:val="17"/>
                <w:color w:val="auto"/>
              </w:rPr>
              <w:t>$</w:t>
            </w:r>
          </w:p>
        </w:tc>
        <w:tc>
          <w:tcPr>
            <w:tcW w:w="1160" w:type="dxa"/>
            <w:vAlign w:val="bottom"/>
          </w:tcPr>
          <w:p>
            <w:pPr>
              <w:jc w:val="right"/>
              <w:spacing w:after="0" w:line="177" w:lineRule="exact"/>
              <w:rPr>
                <w:sz w:val="20"/>
                <w:szCs w:val="20"/>
                <w:color w:val="auto"/>
              </w:rPr>
            </w:pPr>
            <w:r>
              <w:rPr>
                <w:rFonts w:ascii="Arial" w:cs="Arial" w:eastAsia="Arial" w:hAnsi="Arial"/>
                <w:sz w:val="17"/>
                <w:szCs w:val="17"/>
                <w:color w:val="auto"/>
              </w:rPr>
              <w:t>(0.32)</w:t>
            </w:r>
          </w:p>
        </w:tc>
        <w:tc>
          <w:tcPr>
            <w:tcW w:w="220" w:type="dxa"/>
            <w:vAlign w:val="bottom"/>
          </w:tcPr>
          <w:p>
            <w:pPr>
              <w:spacing w:after="0"/>
              <w:rPr>
                <w:sz w:val="15"/>
                <w:szCs w:val="15"/>
                <w:color w:val="auto"/>
              </w:rPr>
            </w:pPr>
          </w:p>
        </w:tc>
        <w:tc>
          <w:tcPr>
            <w:tcW w:w="320" w:type="dxa"/>
            <w:vAlign w:val="bottom"/>
          </w:tcPr>
          <w:p>
            <w:pPr>
              <w:jc w:val="right"/>
              <w:ind w:right="139"/>
              <w:spacing w:after="0" w:line="177"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77" w:lineRule="exact"/>
              <w:rPr>
                <w:sz w:val="20"/>
                <w:szCs w:val="20"/>
                <w:color w:val="auto"/>
              </w:rPr>
            </w:pPr>
            <w:r>
              <w:rPr>
                <w:rFonts w:ascii="Arial" w:cs="Arial" w:eastAsia="Arial" w:hAnsi="Arial"/>
                <w:sz w:val="17"/>
                <w:szCs w:val="17"/>
                <w:color w:val="auto"/>
              </w:rPr>
              <w:t>(0.21)</w:t>
            </w:r>
          </w:p>
        </w:tc>
        <w:tc>
          <w:tcPr>
            <w:tcW w:w="80" w:type="dxa"/>
            <w:vAlign w:val="bottom"/>
          </w:tcPr>
          <w:p>
            <w:pPr>
              <w:spacing w:after="0"/>
              <w:rPr>
                <w:sz w:val="15"/>
                <w:szCs w:val="15"/>
                <w:color w:val="auto"/>
              </w:rPr>
            </w:pPr>
          </w:p>
        </w:tc>
        <w:tc>
          <w:tcPr>
            <w:tcW w:w="400" w:type="dxa"/>
            <w:vAlign w:val="bottom"/>
            <w:gridSpan w:val="2"/>
          </w:tcPr>
          <w:p>
            <w:pPr>
              <w:jc w:val="right"/>
              <w:ind w:right="220"/>
              <w:spacing w:after="0" w:line="177"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77" w:lineRule="exact"/>
              <w:rPr>
                <w:sz w:val="20"/>
                <w:szCs w:val="20"/>
                <w:color w:val="auto"/>
              </w:rPr>
            </w:pPr>
            <w:r>
              <w:rPr>
                <w:rFonts w:ascii="Arial" w:cs="Arial" w:eastAsia="Arial" w:hAnsi="Arial"/>
                <w:sz w:val="17"/>
                <w:szCs w:val="17"/>
                <w:color w:val="auto"/>
              </w:rPr>
              <w:t>(0.68)</w:t>
            </w:r>
          </w:p>
        </w:tc>
        <w:tc>
          <w:tcPr>
            <w:tcW w:w="540" w:type="dxa"/>
            <w:vAlign w:val="bottom"/>
            <w:gridSpan w:val="2"/>
          </w:tcPr>
          <w:p>
            <w:pPr>
              <w:jc w:val="right"/>
              <w:ind w:right="220"/>
              <w:spacing w:after="0" w:line="177"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77" w:lineRule="exact"/>
              <w:rPr>
                <w:sz w:val="20"/>
                <w:szCs w:val="20"/>
                <w:color w:val="auto"/>
              </w:rPr>
            </w:pPr>
            <w:r>
              <w:rPr>
                <w:rFonts w:ascii="Arial" w:cs="Arial" w:eastAsia="Arial" w:hAnsi="Arial"/>
                <w:sz w:val="17"/>
                <w:szCs w:val="17"/>
                <w:color w:val="auto"/>
              </w:rPr>
              <w:t>(0.65)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8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Diluted</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80" w:type="dxa"/>
            <w:vAlign w:val="bottom"/>
          </w:tcPr>
          <w:p>
            <w:pPr>
              <w:ind w:left="180"/>
              <w:spacing w:after="0" w:line="177" w:lineRule="exact"/>
              <w:rPr>
                <w:sz w:val="20"/>
                <w:szCs w:val="20"/>
                <w:color w:val="auto"/>
              </w:rPr>
            </w:pPr>
            <w:r>
              <w:rPr>
                <w:rFonts w:ascii="Arial" w:cs="Arial" w:eastAsia="Arial" w:hAnsi="Arial"/>
                <w:sz w:val="17"/>
                <w:szCs w:val="17"/>
                <w:color w:val="auto"/>
                <w:w w:val="88"/>
              </w:rPr>
              <w:t>Weighted average shares used in computing diluted net loss per share</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7"/>
                <w:szCs w:val="17"/>
                <w:color w:val="auto"/>
              </w:rPr>
              <w:t>224,499</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7"/>
                <w:szCs w:val="17"/>
                <w:color w:val="auto"/>
              </w:rPr>
              <w:t>198,568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Arial" w:cs="Arial" w:eastAsia="Arial" w:hAnsi="Arial"/>
                <w:sz w:val="17"/>
                <w:szCs w:val="17"/>
                <w:color w:val="auto"/>
              </w:rPr>
              <w:t>223,400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Arial" w:cs="Arial" w:eastAsia="Arial" w:hAnsi="Arial"/>
                <w:sz w:val="17"/>
                <w:szCs w:val="17"/>
                <w:color w:val="auto"/>
              </w:rPr>
              <w:t>196,690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8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Diluted net loss per share</w:t>
            </w:r>
          </w:p>
        </w:tc>
        <w:tc>
          <w:tcPr>
            <w:tcW w:w="300" w:type="dxa"/>
            <w:vAlign w:val="bottom"/>
            <w:gridSpan w:val="2"/>
            <w:shd w:val="clear" w:color="auto" w:fill="CCEEFF"/>
          </w:tcPr>
          <w:p>
            <w:pPr>
              <w:jc w:val="right"/>
              <w:ind w:right="180"/>
              <w:spacing w:after="0" w:line="177"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(0.32)</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9"/>
              <w:spacing w:after="0" w:line="177"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(0.21)</w:t>
            </w:r>
          </w:p>
        </w:tc>
        <w:tc>
          <w:tcPr>
            <w:tcW w:w="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20"/>
              <w:spacing w:after="0" w:line="177"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(0.68)</w:t>
            </w:r>
          </w:p>
        </w:tc>
        <w:tc>
          <w:tcPr>
            <w:tcW w:w="540" w:type="dxa"/>
            <w:vAlign w:val="bottom"/>
            <w:gridSpan w:val="2"/>
            <w:shd w:val="clear" w:color="auto" w:fill="CCEEFF"/>
          </w:tcPr>
          <w:p>
            <w:pPr>
              <w:jc w:val="right"/>
              <w:ind w:right="220"/>
              <w:spacing w:after="0" w:line="177"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(0.65)</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 xml:space="preserve">The following outstanding shares issuable upon conversion of the convertible senior notes, common stock options, restricted stock units (“RSUs”), with time-based vesting and performance-based vesting and ESPP shares expected to be purchased, were excluded from the computation of diluted net loss per share for the periods presented because including them would have had an anti-dilutive effect. See </w:t>
      </w:r>
      <w:r>
        <w:rPr>
          <w:rFonts w:ascii="Arial" w:cs="Arial" w:eastAsia="Arial" w:hAnsi="Arial"/>
          <w:sz w:val="17"/>
          <w:szCs w:val="17"/>
          <w:i w:val="1"/>
          <w:iCs w:val="1"/>
          <w:u w:val="single" w:color="auto"/>
          <w:color w:val="0000FF"/>
        </w:rPr>
        <w:t>Note 9. Stockholders’ Equity</w:t>
      </w:r>
      <w:r>
        <w:rPr>
          <w:rFonts w:ascii="Arial" w:cs="Arial" w:eastAsia="Arial" w:hAnsi="Arial"/>
          <w:sz w:val="17"/>
          <w:szCs w:val="17"/>
          <w:color w:val="auto"/>
        </w:rPr>
        <w:t xml:space="preserve"> in Part I, Item 1 of this Quarterly Report on Form 10-Q for detailed information on RSUs with time-based vesting and RSUs with performance-based vesting.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3140" w:type="dxa"/>
            <w:vAlign w:val="bottom"/>
            <w:gridSpan w:val="4"/>
          </w:tcPr>
          <w:p>
            <w:pPr>
              <w:ind w:left="420"/>
              <w:spacing w:after="0"/>
              <w:rPr>
                <w:sz w:val="20"/>
                <w:szCs w:val="20"/>
                <w:color w:val="auto"/>
              </w:rPr>
            </w:pPr>
            <w:r>
              <w:rPr>
                <w:rFonts w:ascii="Arial" w:cs="Arial" w:eastAsia="Arial" w:hAnsi="Arial"/>
                <w:sz w:val="17"/>
                <w:szCs w:val="17"/>
                <w:b w:val="1"/>
                <w:bCs w:val="1"/>
                <w:color w:val="auto"/>
              </w:rPr>
              <w:t>Three Months Ended June 30,</w:t>
            </w:r>
          </w:p>
        </w:tc>
        <w:tc>
          <w:tcPr>
            <w:tcW w:w="2980" w:type="dxa"/>
            <w:vAlign w:val="bottom"/>
            <w:gridSpan w:val="3"/>
          </w:tcPr>
          <w:p>
            <w:pPr>
              <w:jc w:val="right"/>
              <w:ind w:right="416"/>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170"/>
        </w:trPr>
        <w:tc>
          <w:tcPr>
            <w:tcW w:w="5120" w:type="dxa"/>
            <w:vAlign w:val="bottom"/>
            <w:tcBorders>
              <w:bottom w:val="single" w:sz="8" w:color="CCEEFF"/>
            </w:tcBorders>
            <w:vMerge w:val="continue"/>
          </w:tcPr>
          <w:p>
            <w:pPr>
              <w:spacing w:after="0"/>
              <w:rPr>
                <w:sz w:val="14"/>
                <w:szCs w:val="14"/>
                <w:color w:val="auto"/>
              </w:rPr>
            </w:pPr>
          </w:p>
        </w:tc>
        <w:tc>
          <w:tcPr>
            <w:tcW w:w="1440" w:type="dxa"/>
            <w:vAlign w:val="bottom"/>
            <w:tcBorders>
              <w:top w:val="single" w:sz="8" w:color="auto"/>
              <w:bottom w:val="single" w:sz="8" w:color="auto"/>
            </w:tcBorders>
          </w:tcPr>
          <w:p>
            <w:pPr>
              <w:jc w:val="right"/>
              <w:ind w:right="476"/>
              <w:spacing w:after="0" w:line="170" w:lineRule="exact"/>
              <w:rPr>
                <w:sz w:val="20"/>
                <w:szCs w:val="20"/>
                <w:color w:val="auto"/>
              </w:rPr>
            </w:pPr>
            <w:r>
              <w:rPr>
                <w:rFonts w:ascii="Arial" w:cs="Arial" w:eastAsia="Arial" w:hAnsi="Arial"/>
                <w:sz w:val="17"/>
                <w:szCs w:val="17"/>
                <w:b w:val="1"/>
                <w:bCs w:val="1"/>
                <w:color w:val="auto"/>
              </w:rPr>
              <w:t>2022</w:t>
            </w:r>
          </w:p>
        </w:tc>
        <w:tc>
          <w:tcPr>
            <w:tcW w:w="140" w:type="dxa"/>
            <w:vAlign w:val="bottom"/>
            <w:tcBorders>
              <w:top w:val="single" w:sz="8" w:color="auto"/>
              <w:bottom w:val="single" w:sz="8" w:color="CCEEFF"/>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476"/>
              <w:spacing w:after="0" w:line="170" w:lineRule="exact"/>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476"/>
              <w:spacing w:after="0" w:line="170" w:lineRule="exact"/>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456"/>
              <w:spacing w:after="0" w:line="170" w:lineRule="exact"/>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70"/>
        </w:trPr>
        <w:tc>
          <w:tcPr>
            <w:tcW w:w="5120" w:type="dxa"/>
            <w:vAlign w:val="bottom"/>
            <w:shd w:val="clear" w:color="auto" w:fill="CCEEFF"/>
          </w:tcPr>
          <w:p>
            <w:pPr>
              <w:spacing w:after="0" w:line="170" w:lineRule="exact"/>
              <w:rPr>
                <w:sz w:val="20"/>
                <w:szCs w:val="20"/>
                <w:color w:val="auto"/>
              </w:rPr>
            </w:pPr>
            <w:r>
              <w:rPr>
                <w:rFonts w:ascii="Arial" w:cs="Arial" w:eastAsia="Arial" w:hAnsi="Arial"/>
                <w:sz w:val="17"/>
                <w:szCs w:val="17"/>
                <w:color w:val="auto"/>
              </w:rPr>
              <w:t>Shares issuable upon conversion of convertible senior notes</w:t>
            </w:r>
          </w:p>
        </w:tc>
        <w:tc>
          <w:tcPr>
            <w:tcW w:w="1440" w:type="dxa"/>
            <w:vAlign w:val="bottom"/>
            <w:shd w:val="clear" w:color="auto" w:fill="CCEEFF"/>
          </w:tcPr>
          <w:p>
            <w:pPr>
              <w:jc w:val="right"/>
              <w:ind w:right="16"/>
              <w:spacing w:after="0" w:line="170" w:lineRule="exact"/>
              <w:rPr>
                <w:sz w:val="20"/>
                <w:szCs w:val="20"/>
                <w:color w:val="auto"/>
              </w:rPr>
            </w:pPr>
            <w:r>
              <w:rPr>
                <w:rFonts w:ascii="Arial" w:cs="Arial" w:eastAsia="Arial" w:hAnsi="Arial"/>
                <w:sz w:val="17"/>
                <w:szCs w:val="17"/>
                <w:color w:val="auto"/>
              </w:rPr>
              <w:t>20,690</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6"/>
              <w:spacing w:after="0" w:line="170" w:lineRule="exact"/>
              <w:rPr>
                <w:sz w:val="20"/>
                <w:szCs w:val="20"/>
                <w:color w:val="auto"/>
              </w:rPr>
            </w:pPr>
            <w:r>
              <w:rPr>
                <w:rFonts w:ascii="Arial" w:cs="Arial" w:eastAsia="Arial" w:hAnsi="Arial"/>
                <w:sz w:val="17"/>
                <w:szCs w:val="17"/>
                <w:color w:val="auto"/>
              </w:rPr>
              <w:t>20,690</w:t>
            </w: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6"/>
              <w:spacing w:after="0" w:line="170" w:lineRule="exact"/>
              <w:rPr>
                <w:sz w:val="20"/>
                <w:szCs w:val="20"/>
                <w:color w:val="auto"/>
              </w:rPr>
            </w:pPr>
            <w:r>
              <w:rPr>
                <w:rFonts w:ascii="Arial" w:cs="Arial" w:eastAsia="Arial" w:hAnsi="Arial"/>
                <w:sz w:val="17"/>
                <w:szCs w:val="17"/>
                <w:color w:val="auto"/>
              </w:rPr>
              <w:t>20,690</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20,690</w:t>
            </w:r>
          </w:p>
        </w:tc>
        <w:tc>
          <w:tcPr>
            <w:tcW w:w="0" w:type="dxa"/>
            <w:vAlign w:val="bottom"/>
          </w:tcPr>
          <w:p>
            <w:pPr>
              <w:spacing w:after="0"/>
              <w:rPr>
                <w:sz w:val="1"/>
                <w:szCs w:val="1"/>
                <w:color w:val="auto"/>
              </w:rPr>
            </w:pPr>
          </w:p>
        </w:tc>
      </w:tr>
      <w:tr>
        <w:trPr>
          <w:trHeight w:val="177"/>
        </w:trPr>
        <w:tc>
          <w:tcPr>
            <w:tcW w:w="5120" w:type="dxa"/>
            <w:vAlign w:val="bottom"/>
          </w:tcPr>
          <w:p>
            <w:pPr>
              <w:spacing w:after="0" w:line="177" w:lineRule="exact"/>
              <w:rPr>
                <w:sz w:val="20"/>
                <w:szCs w:val="20"/>
                <w:color w:val="auto"/>
              </w:rPr>
            </w:pPr>
            <w:r>
              <w:rPr>
                <w:rFonts w:ascii="Arial" w:cs="Arial" w:eastAsia="Arial" w:hAnsi="Arial"/>
                <w:sz w:val="17"/>
                <w:szCs w:val="17"/>
                <w:color w:val="auto"/>
              </w:rPr>
              <w:t>Options to purchase common stock</w:t>
            </w:r>
          </w:p>
        </w:tc>
        <w:tc>
          <w:tcPr>
            <w:tcW w:w="1440" w:type="dxa"/>
            <w:vAlign w:val="bottom"/>
          </w:tcPr>
          <w:p>
            <w:pPr>
              <w:jc w:val="right"/>
              <w:ind w:right="16"/>
              <w:spacing w:after="0" w:line="177" w:lineRule="exact"/>
              <w:rPr>
                <w:sz w:val="20"/>
                <w:szCs w:val="20"/>
                <w:color w:val="auto"/>
              </w:rPr>
            </w:pPr>
            <w:r>
              <w:rPr>
                <w:rFonts w:ascii="Arial" w:cs="Arial" w:eastAsia="Arial" w:hAnsi="Arial"/>
                <w:sz w:val="17"/>
                <w:szCs w:val="17"/>
                <w:color w:val="auto"/>
              </w:rPr>
              <w:t>15,602</w:t>
            </w:r>
          </w:p>
        </w:tc>
        <w:tc>
          <w:tcPr>
            <w:tcW w:w="140" w:type="dxa"/>
            <w:vAlign w:val="bottom"/>
          </w:tcPr>
          <w:p>
            <w:pPr>
              <w:spacing w:after="0"/>
              <w:rPr>
                <w:sz w:val="15"/>
                <w:szCs w:val="15"/>
                <w:color w:val="auto"/>
              </w:rPr>
            </w:pPr>
          </w:p>
        </w:tc>
        <w:tc>
          <w:tcPr>
            <w:tcW w:w="1440" w:type="dxa"/>
            <w:vAlign w:val="bottom"/>
          </w:tcPr>
          <w:p>
            <w:pPr>
              <w:jc w:val="right"/>
              <w:ind w:right="16"/>
              <w:spacing w:after="0" w:line="177" w:lineRule="exact"/>
              <w:rPr>
                <w:sz w:val="20"/>
                <w:szCs w:val="20"/>
                <w:color w:val="auto"/>
              </w:rPr>
            </w:pPr>
            <w:r>
              <w:rPr>
                <w:rFonts w:ascii="Arial" w:cs="Arial" w:eastAsia="Arial" w:hAnsi="Arial"/>
                <w:sz w:val="17"/>
                <w:szCs w:val="17"/>
                <w:color w:val="auto"/>
              </w:rPr>
              <w:t>12,335</w:t>
            </w:r>
          </w:p>
        </w:tc>
        <w:tc>
          <w:tcPr>
            <w:tcW w:w="120" w:type="dxa"/>
            <w:vAlign w:val="bottom"/>
          </w:tcPr>
          <w:p>
            <w:pPr>
              <w:spacing w:after="0"/>
              <w:rPr>
                <w:sz w:val="15"/>
                <w:szCs w:val="15"/>
                <w:color w:val="auto"/>
              </w:rPr>
            </w:pPr>
          </w:p>
        </w:tc>
        <w:tc>
          <w:tcPr>
            <w:tcW w:w="1440" w:type="dxa"/>
            <w:vAlign w:val="bottom"/>
          </w:tcPr>
          <w:p>
            <w:pPr>
              <w:jc w:val="right"/>
              <w:ind w:right="16"/>
              <w:spacing w:after="0" w:line="177" w:lineRule="exact"/>
              <w:rPr>
                <w:sz w:val="20"/>
                <w:szCs w:val="20"/>
                <w:color w:val="auto"/>
              </w:rPr>
            </w:pPr>
            <w:r>
              <w:rPr>
                <w:rFonts w:ascii="Arial" w:cs="Arial" w:eastAsia="Arial" w:hAnsi="Arial"/>
                <w:sz w:val="17"/>
                <w:szCs w:val="17"/>
                <w:color w:val="auto"/>
              </w:rPr>
              <w:t>15,602</w:t>
            </w:r>
          </w:p>
        </w:tc>
        <w:tc>
          <w:tcPr>
            <w:tcW w:w="12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Arial" w:cs="Arial" w:eastAsia="Arial" w:hAnsi="Arial"/>
                <w:sz w:val="17"/>
                <w:szCs w:val="17"/>
                <w:color w:val="auto"/>
              </w:rPr>
              <w:t>12,335</w:t>
            </w:r>
          </w:p>
        </w:tc>
        <w:tc>
          <w:tcPr>
            <w:tcW w:w="0" w:type="dxa"/>
            <w:vAlign w:val="bottom"/>
          </w:tcPr>
          <w:p>
            <w:pPr>
              <w:spacing w:after="0"/>
              <w:rPr>
                <w:sz w:val="1"/>
                <w:szCs w:val="1"/>
                <w:color w:val="auto"/>
              </w:rPr>
            </w:pPr>
          </w:p>
        </w:tc>
      </w:tr>
      <w:tr>
        <w:trPr>
          <w:trHeight w:val="177"/>
        </w:trPr>
        <w:tc>
          <w:tcPr>
            <w:tcW w:w="512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RSUs</w:t>
            </w:r>
          </w:p>
        </w:tc>
        <w:tc>
          <w:tcPr>
            <w:tcW w:w="1440" w:type="dxa"/>
            <w:vAlign w:val="bottom"/>
            <w:shd w:val="clear" w:color="auto" w:fill="CCEEFF"/>
          </w:tcPr>
          <w:p>
            <w:pPr>
              <w:jc w:val="right"/>
              <w:ind w:right="16"/>
              <w:spacing w:after="0" w:line="177" w:lineRule="exact"/>
              <w:rPr>
                <w:sz w:val="20"/>
                <w:szCs w:val="20"/>
                <w:color w:val="auto"/>
              </w:rPr>
            </w:pPr>
            <w:r>
              <w:rPr>
                <w:rFonts w:ascii="Arial" w:cs="Arial" w:eastAsia="Arial" w:hAnsi="Arial"/>
                <w:sz w:val="17"/>
                <w:szCs w:val="17"/>
                <w:color w:val="auto"/>
              </w:rPr>
              <w:t>8,392</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6"/>
              <w:spacing w:after="0" w:line="177" w:lineRule="exact"/>
              <w:rPr>
                <w:sz w:val="20"/>
                <w:szCs w:val="20"/>
                <w:color w:val="auto"/>
              </w:rPr>
            </w:pPr>
            <w:r>
              <w:rPr>
                <w:rFonts w:ascii="Arial" w:cs="Arial" w:eastAsia="Arial" w:hAnsi="Arial"/>
                <w:sz w:val="17"/>
                <w:szCs w:val="17"/>
                <w:color w:val="auto"/>
              </w:rPr>
              <w:t>6,820</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6"/>
              <w:spacing w:after="0" w:line="177" w:lineRule="exact"/>
              <w:rPr>
                <w:sz w:val="20"/>
                <w:szCs w:val="20"/>
                <w:color w:val="auto"/>
              </w:rPr>
            </w:pPr>
            <w:r>
              <w:rPr>
                <w:rFonts w:ascii="Arial" w:cs="Arial" w:eastAsia="Arial" w:hAnsi="Arial"/>
                <w:sz w:val="17"/>
                <w:szCs w:val="17"/>
                <w:color w:val="auto"/>
              </w:rPr>
              <w:t>8,392</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6,820</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20"/>
                <w:szCs w:val="20"/>
                <w:color w:val="auto"/>
              </w:rPr>
            </w:pPr>
            <w:r>
              <w:rPr>
                <w:rFonts w:ascii="Arial" w:cs="Arial" w:eastAsia="Arial" w:hAnsi="Arial"/>
                <w:sz w:val="17"/>
                <w:szCs w:val="17"/>
                <w:color w:val="auto"/>
              </w:rPr>
              <w:t>ESPP shares</w:t>
            </w: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1,931</w:t>
            </w:r>
          </w:p>
        </w:tc>
        <w:tc>
          <w:tcPr>
            <w:tcW w:w="14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2,336</w:t>
            </w:r>
          </w:p>
        </w:tc>
        <w:tc>
          <w:tcPr>
            <w:tcW w:w="12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1,931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2,336</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spacing w:after="0" w:line="221" w:lineRule="auto"/>
        <w:rPr>
          <w:rFonts w:ascii="Arial" w:cs="Arial" w:eastAsia="Arial" w:hAnsi="Arial"/>
          <w:sz w:val="17"/>
          <w:szCs w:val="17"/>
          <w:color w:val="auto"/>
        </w:rPr>
      </w:pPr>
      <w:r>
        <w:rPr>
          <w:rFonts w:ascii="Arial" w:cs="Arial" w:eastAsia="Arial" w:hAnsi="Arial"/>
          <w:sz w:val="17"/>
          <w:szCs w:val="17"/>
          <w:color w:val="auto"/>
        </w:rPr>
        <w:t xml:space="preserve">These potentially dilutive securities have been excluded from the computation of diluted net loss per share as the effect would be to reduce the net loss per share. Therefore, the weighted-average number of shares of common stock outstanding used to calculate both basic and diluted net loss per share is the same. As described in </w:t>
      </w:r>
      <w:hyperlink w:anchor="page8">
        <w:r>
          <w:rPr>
            <w:rFonts w:ascii="Arial" w:cs="Arial" w:eastAsia="Arial" w:hAnsi="Arial"/>
            <w:sz w:val="17"/>
            <w:szCs w:val="17"/>
            <w:i w:val="1"/>
            <w:iCs w:val="1"/>
            <w:u w:val="single" w:color="auto"/>
            <w:color w:val="0000FF"/>
          </w:rPr>
          <w:t>Note 2. Business Acquisitions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Part I, Item 1 of this Quarterly Report on Form 10-Q, the contingently issuable shares would be due upon the achievement of a milestone.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FF"/>
            </w:tcBorders>
          </w:tcPr>
          <w:p>
            <w:pPr>
              <w:spacing w:after="0"/>
              <w:rPr>
                <w:rFonts w:ascii="Arial" w:cs="Arial" w:eastAsia="Arial" w:hAnsi="Arial"/>
                <w:sz w:val="17"/>
                <w:szCs w:val="17"/>
                <w:color w:val="0000FF"/>
                <w:w w:val="87"/>
              </w:rPr>
            </w:pPr>
            <w:hyperlink w:anchor="page2">
              <w:r>
                <w:rPr>
                  <w:rFonts w:ascii="Arial" w:cs="Arial" w:eastAsia="Arial" w:hAnsi="Arial"/>
                  <w:sz w:val="17"/>
                  <w:szCs w:val="17"/>
                  <w:color w:val="0000FF"/>
                  <w:w w:val="87"/>
                </w:rPr>
                <w:t>Table of Contents</w:t>
              </w:r>
            </w:hyperlink>
          </w:p>
        </w:tc>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0"/>
        </w:trPr>
        <w:tc>
          <w:tcPr>
            <w:tcW w:w="4860" w:type="dxa"/>
            <w:vAlign w:val="bottom"/>
            <w:gridSpan w:val="2"/>
          </w:tcPr>
          <w:p>
            <w:pPr>
              <w:spacing w:after="0"/>
              <w:rPr>
                <w:sz w:val="20"/>
                <w:szCs w:val="20"/>
                <w:color w:val="auto"/>
              </w:rPr>
            </w:pPr>
            <w:r>
              <w:rPr>
                <w:rFonts w:ascii="Arial" w:cs="Arial" w:eastAsia="Arial" w:hAnsi="Arial"/>
                <w:sz w:val="17"/>
                <w:szCs w:val="17"/>
                <w:b w:val="1"/>
                <w:bCs w:val="1"/>
                <w:color w:val="auto"/>
              </w:rPr>
              <w:t>NOTE 11. REVENUE</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9760" w:type="dxa"/>
            <w:vAlign w:val="bottom"/>
            <w:gridSpan w:val="11"/>
          </w:tcPr>
          <w:p>
            <w:pPr>
              <w:spacing w:after="0"/>
              <w:rPr>
                <w:sz w:val="20"/>
                <w:szCs w:val="20"/>
                <w:color w:val="auto"/>
              </w:rPr>
            </w:pPr>
            <w:r>
              <w:rPr>
                <w:rFonts w:ascii="Arial" w:cs="Arial" w:eastAsia="Arial" w:hAnsi="Arial"/>
                <w:sz w:val="17"/>
                <w:szCs w:val="17"/>
                <w:color w:val="auto"/>
                <w:w w:val="93"/>
              </w:rPr>
              <w:t>A summary of our revenue by geographic location for the three and six months ended June 30, 2022 and 2021 is as follows (in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7"/>
        </w:trPr>
        <w:tc>
          <w:tcPr>
            <w:tcW w:w="48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80" w:type="dxa"/>
            <w:vAlign w:val="bottom"/>
          </w:tcPr>
          <w:p>
            <w:pPr>
              <w:spacing w:after="0"/>
              <w:rPr>
                <w:sz w:val="24"/>
                <w:szCs w:val="24"/>
                <w:color w:val="auto"/>
              </w:rPr>
            </w:pPr>
          </w:p>
        </w:tc>
        <w:tc>
          <w:tcPr>
            <w:tcW w:w="2940" w:type="dxa"/>
            <w:vAlign w:val="bottom"/>
            <w:gridSpan w:val="5"/>
          </w:tcPr>
          <w:p>
            <w:pPr>
              <w:jc w:val="right"/>
              <w:ind w:right="580"/>
              <w:spacing w:after="0"/>
              <w:rPr>
                <w:sz w:val="20"/>
                <w:szCs w:val="20"/>
                <w:color w:val="auto"/>
              </w:rPr>
            </w:pPr>
            <w:r>
              <w:rPr>
                <w:rFonts w:ascii="Arial" w:cs="Arial" w:eastAsia="Arial" w:hAnsi="Arial"/>
                <w:sz w:val="17"/>
                <w:szCs w:val="17"/>
                <w:b w:val="1"/>
                <w:bCs w:val="1"/>
                <w:color w:val="auto"/>
                <w:w w:val="97"/>
              </w:rPr>
              <w:t>Three Months Ended June 30,</w:t>
            </w:r>
          </w:p>
        </w:tc>
        <w:tc>
          <w:tcPr>
            <w:tcW w:w="340" w:type="dxa"/>
            <w:vAlign w:val="bottom"/>
          </w:tcPr>
          <w:p>
            <w:pPr>
              <w:spacing w:after="0"/>
              <w:rPr>
                <w:sz w:val="24"/>
                <w:szCs w:val="24"/>
                <w:color w:val="auto"/>
              </w:rPr>
            </w:pPr>
          </w:p>
        </w:tc>
        <w:tc>
          <w:tcPr>
            <w:tcW w:w="2820" w:type="dxa"/>
            <w:vAlign w:val="bottom"/>
            <w:gridSpan w:val="4"/>
          </w:tcPr>
          <w:p>
            <w:pPr>
              <w:jc w:val="right"/>
              <w:ind w:right="496"/>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CCEEFF"/>
            </w:tcBorders>
            <w:gridSpan w:val="2"/>
            <w:vMerge w:val="continue"/>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96"/>
              <w:spacing w:after="0" w:line="170" w:lineRule="exact"/>
              <w:rPr>
                <w:sz w:val="20"/>
                <w:szCs w:val="20"/>
                <w:color w:val="auto"/>
              </w:rPr>
            </w:pPr>
            <w:r>
              <w:rPr>
                <w:rFonts w:ascii="Arial" w:cs="Arial" w:eastAsia="Arial" w:hAnsi="Arial"/>
                <w:sz w:val="17"/>
                <w:szCs w:val="17"/>
                <w:b w:val="1"/>
                <w:bCs w:val="1"/>
                <w:color w:val="auto"/>
              </w:rPr>
              <w:t>2022</w:t>
            </w:r>
          </w:p>
        </w:tc>
        <w:tc>
          <w:tcPr>
            <w:tcW w:w="1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6"/>
              <w:spacing w:after="0" w:line="170"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6"/>
              <w:spacing w:after="0" w:line="170" w:lineRule="exact"/>
              <w:rPr>
                <w:sz w:val="20"/>
                <w:szCs w:val="20"/>
                <w:color w:val="auto"/>
              </w:rPr>
            </w:pPr>
            <w:r>
              <w:rPr>
                <w:rFonts w:ascii="Arial" w:cs="Arial" w:eastAsia="Arial" w:hAnsi="Arial"/>
                <w:sz w:val="17"/>
                <w:szCs w:val="17"/>
                <w:b w:val="1"/>
                <w:bCs w:val="1"/>
                <w:color w:val="auto"/>
              </w:rPr>
              <w:t>2022</w:t>
            </w:r>
          </w:p>
        </w:tc>
        <w:tc>
          <w:tcPr>
            <w:tcW w:w="1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6"/>
              <w:spacing w:after="0" w:line="170" w:lineRule="exact"/>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70"/>
        </w:trPr>
        <w:tc>
          <w:tcPr>
            <w:tcW w:w="4860" w:type="dxa"/>
            <w:vAlign w:val="bottom"/>
            <w:gridSpan w:val="2"/>
            <w:shd w:val="clear" w:color="auto" w:fill="CCEEFF"/>
          </w:tcPr>
          <w:p>
            <w:pPr>
              <w:spacing w:after="0" w:line="170" w:lineRule="exact"/>
              <w:rPr>
                <w:sz w:val="20"/>
                <w:szCs w:val="20"/>
                <w:color w:val="auto"/>
              </w:rPr>
            </w:pPr>
            <w:r>
              <w:rPr>
                <w:rFonts w:ascii="Arial" w:cs="Arial" w:eastAsia="Arial" w:hAnsi="Arial"/>
                <w:sz w:val="17"/>
                <w:szCs w:val="17"/>
                <w:color w:val="auto"/>
              </w:rPr>
              <w:t>Americas</w:t>
            </w:r>
          </w:p>
        </w:tc>
        <w:tc>
          <w:tcPr>
            <w:tcW w:w="280" w:type="dxa"/>
            <w:vAlign w:val="bottom"/>
            <w:shd w:val="clear" w:color="auto" w:fill="CCEEFF"/>
          </w:tcPr>
          <w:p>
            <w:pPr>
              <w:jc w:val="right"/>
              <w:ind w:right="96"/>
              <w:spacing w:after="0" w:line="170" w:lineRule="exact"/>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21,722</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56"/>
              <w:spacing w:after="0" w:line="170"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14,347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56"/>
              <w:spacing w:after="0" w:line="170" w:lineRule="exact"/>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40,804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56"/>
              <w:spacing w:after="0" w:line="170"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26,504</w:t>
            </w:r>
          </w:p>
        </w:tc>
        <w:tc>
          <w:tcPr>
            <w:tcW w:w="0" w:type="dxa"/>
            <w:vAlign w:val="bottom"/>
          </w:tcPr>
          <w:p>
            <w:pPr>
              <w:spacing w:after="0"/>
              <w:rPr>
                <w:sz w:val="1"/>
                <w:szCs w:val="1"/>
                <w:color w:val="auto"/>
              </w:rPr>
            </w:pPr>
          </w:p>
        </w:tc>
      </w:tr>
      <w:tr>
        <w:trPr>
          <w:trHeight w:val="177"/>
        </w:trPr>
        <w:tc>
          <w:tcPr>
            <w:tcW w:w="4860" w:type="dxa"/>
            <w:vAlign w:val="bottom"/>
            <w:gridSpan w:val="2"/>
          </w:tcPr>
          <w:p>
            <w:pPr>
              <w:spacing w:after="0" w:line="177" w:lineRule="exact"/>
              <w:rPr>
                <w:sz w:val="20"/>
                <w:szCs w:val="20"/>
                <w:color w:val="auto"/>
              </w:rPr>
            </w:pPr>
            <w:r>
              <w:rPr>
                <w:rFonts w:ascii="Arial" w:cs="Arial" w:eastAsia="Arial" w:hAnsi="Arial"/>
                <w:sz w:val="17"/>
                <w:szCs w:val="17"/>
                <w:color w:val="auto"/>
              </w:rPr>
              <w:t>Europe, Middle East and Africa</w:t>
            </w:r>
          </w:p>
        </w:tc>
        <w:tc>
          <w:tcPr>
            <w:tcW w:w="28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Arial" w:cs="Arial" w:eastAsia="Arial" w:hAnsi="Arial"/>
                <w:sz w:val="17"/>
                <w:szCs w:val="17"/>
                <w:color w:val="auto"/>
              </w:rPr>
              <w:t>5,735</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00"/>
              <w:spacing w:after="0" w:line="177" w:lineRule="exact"/>
              <w:rPr>
                <w:sz w:val="20"/>
                <w:szCs w:val="20"/>
                <w:color w:val="auto"/>
              </w:rPr>
            </w:pPr>
            <w:r>
              <w:rPr>
                <w:rFonts w:ascii="Arial" w:cs="Arial" w:eastAsia="Arial" w:hAnsi="Arial"/>
                <w:sz w:val="17"/>
                <w:szCs w:val="17"/>
                <w:color w:val="auto"/>
              </w:rPr>
              <w:t>6,494</w:t>
            </w:r>
          </w:p>
        </w:tc>
        <w:tc>
          <w:tcPr>
            <w:tcW w:w="340" w:type="dxa"/>
            <w:vAlign w:val="bottom"/>
          </w:tcPr>
          <w:p>
            <w:pPr>
              <w:spacing w:after="0"/>
              <w:rPr>
                <w:sz w:val="15"/>
                <w:szCs w:val="15"/>
                <w:color w:val="auto"/>
              </w:rPr>
            </w:pPr>
          </w:p>
        </w:tc>
        <w:tc>
          <w:tcPr>
            <w:tcW w:w="1340" w:type="dxa"/>
            <w:vAlign w:val="bottom"/>
            <w:gridSpan w:val="2"/>
          </w:tcPr>
          <w:p>
            <w:pPr>
              <w:jc w:val="right"/>
              <w:ind w:right="180"/>
              <w:spacing w:after="0" w:line="177" w:lineRule="exact"/>
              <w:rPr>
                <w:sz w:val="20"/>
                <w:szCs w:val="20"/>
                <w:color w:val="auto"/>
              </w:rPr>
            </w:pPr>
            <w:r>
              <w:rPr>
                <w:rFonts w:ascii="Arial" w:cs="Arial" w:eastAsia="Arial" w:hAnsi="Arial"/>
                <w:sz w:val="17"/>
                <w:szCs w:val="17"/>
                <w:color w:val="auto"/>
              </w:rPr>
              <w:t>11,435</w:t>
            </w:r>
          </w:p>
        </w:tc>
        <w:tc>
          <w:tcPr>
            <w:tcW w:w="340" w:type="dxa"/>
            <w:vAlign w:val="bottom"/>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Arial" w:cs="Arial" w:eastAsia="Arial" w:hAnsi="Arial"/>
                <w:sz w:val="17"/>
                <w:szCs w:val="17"/>
                <w:color w:val="auto"/>
              </w:rPr>
              <w:t>14,819</w:t>
            </w:r>
          </w:p>
        </w:tc>
        <w:tc>
          <w:tcPr>
            <w:tcW w:w="0" w:type="dxa"/>
            <w:vAlign w:val="bottom"/>
          </w:tcPr>
          <w:p>
            <w:pPr>
              <w:spacing w:after="0"/>
              <w:rPr>
                <w:sz w:val="1"/>
                <w:szCs w:val="1"/>
                <w:color w:val="auto"/>
              </w:rPr>
            </w:pPr>
          </w:p>
        </w:tc>
      </w:tr>
      <w:tr>
        <w:trPr>
          <w:trHeight w:val="177"/>
        </w:trPr>
        <w:tc>
          <w:tcPr>
            <w:tcW w:w="4860" w:type="dxa"/>
            <w:vAlign w:val="bottom"/>
            <w:gridSpan w:val="2"/>
            <w:shd w:val="clear" w:color="auto" w:fill="CCEEFF"/>
          </w:tcPr>
          <w:p>
            <w:pPr>
              <w:spacing w:after="0" w:line="177" w:lineRule="exact"/>
              <w:rPr>
                <w:sz w:val="20"/>
                <w:szCs w:val="20"/>
                <w:color w:val="auto"/>
              </w:rPr>
            </w:pPr>
            <w:r>
              <w:rPr>
                <w:rFonts w:ascii="Arial" w:cs="Arial" w:eastAsia="Arial" w:hAnsi="Arial"/>
                <w:sz w:val="17"/>
                <w:szCs w:val="17"/>
                <w:color w:val="auto"/>
              </w:rPr>
              <w:t>Asia-Pacific</w:t>
            </w: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8,010</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9,769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16,401</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18,284</w:t>
            </w:r>
          </w:p>
        </w:tc>
        <w:tc>
          <w:tcPr>
            <w:tcW w:w="0" w:type="dxa"/>
            <w:vAlign w:val="bottom"/>
          </w:tcPr>
          <w:p>
            <w:pPr>
              <w:spacing w:after="0"/>
              <w:rPr>
                <w:sz w:val="1"/>
                <w:szCs w:val="1"/>
                <w:color w:val="auto"/>
              </w:rPr>
            </w:pPr>
          </w:p>
        </w:tc>
      </w:tr>
      <w:tr>
        <w:trPr>
          <w:trHeight w:val="170"/>
        </w:trPr>
        <w:tc>
          <w:tcPr>
            <w:tcW w:w="4860" w:type="dxa"/>
            <w:vAlign w:val="bottom"/>
            <w:gridSpan w:val="2"/>
          </w:tcPr>
          <w:p>
            <w:pPr>
              <w:ind w:left="200"/>
              <w:spacing w:after="0" w:line="170" w:lineRule="exact"/>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6"/>
              <w:spacing w:after="0" w:line="170"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35,467</w:t>
            </w:r>
          </w:p>
        </w:tc>
        <w:tc>
          <w:tcPr>
            <w:tcW w:w="180" w:type="dxa"/>
            <w:vAlign w:val="bottom"/>
          </w:tcPr>
          <w:p>
            <w:pPr>
              <w:spacing w:after="0"/>
              <w:rPr>
                <w:sz w:val="14"/>
                <w:szCs w:val="14"/>
                <w:color w:val="auto"/>
              </w:rPr>
            </w:pPr>
          </w:p>
        </w:tc>
        <w:tc>
          <w:tcPr>
            <w:tcW w:w="340" w:type="dxa"/>
            <w:vAlign w:val="bottom"/>
            <w:tcBorders>
              <w:bottom w:val="single" w:sz="8" w:color="auto"/>
            </w:tcBorders>
          </w:tcPr>
          <w:p>
            <w:pPr>
              <w:jc w:val="right"/>
              <w:ind w:right="156"/>
              <w:spacing w:after="0" w:line="170"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30,610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56"/>
              <w:spacing w:after="0" w:line="170"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68,640</w:t>
            </w:r>
          </w:p>
        </w:tc>
        <w:tc>
          <w:tcPr>
            <w:tcW w:w="180" w:type="dxa"/>
            <w:vAlign w:val="bottom"/>
          </w:tcPr>
          <w:p>
            <w:pPr>
              <w:spacing w:after="0"/>
              <w:rPr>
                <w:sz w:val="14"/>
                <w:szCs w:val="14"/>
                <w:color w:val="auto"/>
              </w:rPr>
            </w:pPr>
          </w:p>
        </w:tc>
        <w:tc>
          <w:tcPr>
            <w:tcW w:w="340" w:type="dxa"/>
            <w:vAlign w:val="bottom"/>
            <w:tcBorders>
              <w:bottom w:val="single" w:sz="8" w:color="auto"/>
            </w:tcBorders>
          </w:tcPr>
          <w:p>
            <w:pPr>
              <w:jc w:val="right"/>
              <w:ind w:right="156"/>
              <w:spacing w:after="0" w:line="170"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59,607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category for the three and six months ended June 30, 2022 and 2021 is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60" w:type="dxa"/>
            <w:vAlign w:val="bottom"/>
          </w:tcPr>
          <w:p>
            <w:pPr>
              <w:spacing w:after="0"/>
              <w:rPr>
                <w:sz w:val="17"/>
                <w:szCs w:val="17"/>
                <w:color w:val="auto"/>
              </w:rPr>
            </w:pPr>
          </w:p>
        </w:tc>
        <w:tc>
          <w:tcPr>
            <w:tcW w:w="2840" w:type="dxa"/>
            <w:vAlign w:val="bottom"/>
            <w:gridSpan w:val="5"/>
          </w:tcPr>
          <w:p>
            <w:pPr>
              <w:ind w:left="16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7"/>
                <w:szCs w:val="17"/>
                <w:color w:val="auto"/>
              </w:rPr>
            </w:pPr>
          </w:p>
        </w:tc>
        <w:tc>
          <w:tcPr>
            <w:tcW w:w="2740" w:type="dxa"/>
            <w:vAlign w:val="bottom"/>
            <w:gridSpan w:val="4"/>
          </w:tcPr>
          <w:p>
            <w:pPr>
              <w:jc w:val="right"/>
              <w:ind w:right="456"/>
              <w:spacing w:after="0"/>
              <w:rPr>
                <w:sz w:val="20"/>
                <w:szCs w:val="20"/>
                <w:color w:val="auto"/>
              </w:rPr>
            </w:pPr>
            <w:r>
              <w:rPr>
                <w:rFonts w:ascii="Arial" w:cs="Arial" w:eastAsia="Arial" w:hAnsi="Arial"/>
                <w:sz w:val="17"/>
                <w:szCs w:val="17"/>
                <w:b w:val="1"/>
                <w:bCs w:val="1"/>
                <w:color w:val="auto"/>
                <w:w w:val="99"/>
              </w:rPr>
              <w:t>Six Months Ended June 30,</w:t>
            </w:r>
          </w:p>
        </w:tc>
        <w:tc>
          <w:tcPr>
            <w:tcW w:w="0" w:type="dxa"/>
            <w:vAlign w:val="bottom"/>
          </w:tcPr>
          <w:p>
            <w:pPr>
              <w:spacing w:after="0"/>
              <w:rPr>
                <w:sz w:val="1"/>
                <w:szCs w:val="1"/>
                <w:color w:val="auto"/>
              </w:rPr>
            </w:pPr>
          </w:p>
        </w:tc>
      </w:tr>
      <w:tr>
        <w:trPr>
          <w:trHeight w:val="170"/>
        </w:trPr>
        <w:tc>
          <w:tcPr>
            <w:tcW w:w="5080" w:type="dxa"/>
            <w:vAlign w:val="bottom"/>
            <w:tcBorders>
              <w:bottom w:val="single" w:sz="8" w:color="CCEEFF"/>
            </w:tcBorders>
            <w:vMerge w:val="continue"/>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76"/>
              <w:spacing w:after="0" w:line="170"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6"/>
              <w:spacing w:after="0" w:line="170"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6"/>
              <w:spacing w:after="0" w:line="170" w:lineRule="exact"/>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6"/>
              <w:spacing w:after="0" w:line="170" w:lineRule="exact"/>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spacing w:after="0" w:line="170" w:lineRule="exact"/>
              <w:rPr>
                <w:sz w:val="20"/>
                <w:szCs w:val="20"/>
                <w:color w:val="auto"/>
              </w:rPr>
            </w:pPr>
            <w:r>
              <w:rPr>
                <w:rFonts w:ascii="Arial" w:cs="Arial" w:eastAsia="Arial" w:hAnsi="Arial"/>
                <w:sz w:val="17"/>
                <w:szCs w:val="17"/>
                <w:color w:val="auto"/>
              </w:rPr>
              <w:t>Instrument revenue</w:t>
            </w:r>
          </w:p>
        </w:tc>
        <w:tc>
          <w:tcPr>
            <w:tcW w:w="260" w:type="dxa"/>
            <w:vAlign w:val="bottom"/>
            <w:shd w:val="clear" w:color="auto" w:fill="CCEEFF"/>
          </w:tcPr>
          <w:p>
            <w:pPr>
              <w:jc w:val="right"/>
              <w:ind w:right="76"/>
              <w:spacing w:after="0" w:line="170" w:lineRule="exact"/>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15,619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6"/>
              <w:spacing w:after="0" w:line="170"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14,282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6"/>
              <w:spacing w:after="0" w:line="170"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31,169</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56"/>
              <w:spacing w:after="0" w:line="170" w:lineRule="exact"/>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29,221</w:t>
            </w:r>
          </w:p>
        </w:tc>
        <w:tc>
          <w:tcPr>
            <w:tcW w:w="0" w:type="dxa"/>
            <w:vAlign w:val="bottom"/>
          </w:tcPr>
          <w:p>
            <w:pPr>
              <w:spacing w:after="0"/>
              <w:rPr>
                <w:sz w:val="1"/>
                <w:szCs w:val="1"/>
                <w:color w:val="auto"/>
              </w:rPr>
            </w:pPr>
          </w:p>
        </w:tc>
      </w:tr>
      <w:tr>
        <w:trPr>
          <w:trHeight w:val="177"/>
        </w:trPr>
        <w:tc>
          <w:tcPr>
            <w:tcW w:w="5080" w:type="dxa"/>
            <w:vAlign w:val="bottom"/>
            <w:tcBorders>
              <w:bottom w:val="single" w:sz="8" w:color="CCEEFF"/>
            </w:tcBorders>
          </w:tcPr>
          <w:p>
            <w:pPr>
              <w:spacing w:after="0" w:line="177" w:lineRule="exact"/>
              <w:rPr>
                <w:sz w:val="20"/>
                <w:szCs w:val="20"/>
                <w:color w:val="auto"/>
              </w:rPr>
            </w:pPr>
            <w:r>
              <w:rPr>
                <w:rFonts w:ascii="Arial" w:cs="Arial" w:eastAsia="Arial" w:hAnsi="Arial"/>
                <w:sz w:val="17"/>
                <w:szCs w:val="17"/>
                <w:color w:val="auto"/>
              </w:rPr>
              <w:t>Consumable revenue</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14,556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12,251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27,250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22,615</w:t>
            </w: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100"/>
              <w:spacing w:after="0" w:line="170" w:lineRule="exact"/>
              <w:rPr>
                <w:sz w:val="20"/>
                <w:szCs w:val="20"/>
                <w:color w:val="auto"/>
              </w:rPr>
            </w:pPr>
            <w:r>
              <w:rPr>
                <w:rFonts w:ascii="Arial" w:cs="Arial" w:eastAsia="Arial" w:hAnsi="Arial"/>
                <w:sz w:val="17"/>
                <w:szCs w:val="17"/>
                <w:color w:val="auto"/>
              </w:rPr>
              <w:t>Product revenue</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30,175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26,533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58,419</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51,836</w:t>
            </w:r>
          </w:p>
        </w:tc>
        <w:tc>
          <w:tcPr>
            <w:tcW w:w="0" w:type="dxa"/>
            <w:vAlign w:val="bottom"/>
          </w:tcPr>
          <w:p>
            <w:pPr>
              <w:spacing w:after="0"/>
              <w:rPr>
                <w:sz w:val="1"/>
                <w:szCs w:val="1"/>
                <w:color w:val="auto"/>
              </w:rPr>
            </w:pPr>
          </w:p>
        </w:tc>
      </w:tr>
      <w:tr>
        <w:trPr>
          <w:trHeight w:val="177"/>
        </w:trPr>
        <w:tc>
          <w:tcPr>
            <w:tcW w:w="5080" w:type="dxa"/>
            <w:vAlign w:val="bottom"/>
            <w:tcBorders>
              <w:bottom w:val="single" w:sz="8" w:color="CCEEFF"/>
            </w:tcBorders>
          </w:tcPr>
          <w:p>
            <w:pPr>
              <w:spacing w:after="0" w:line="177" w:lineRule="exact"/>
              <w:rPr>
                <w:sz w:val="20"/>
                <w:szCs w:val="20"/>
                <w:color w:val="auto"/>
              </w:rPr>
            </w:pPr>
            <w:r>
              <w:rPr>
                <w:rFonts w:ascii="Arial" w:cs="Arial" w:eastAsia="Arial" w:hAnsi="Arial"/>
                <w:sz w:val="17"/>
                <w:szCs w:val="17"/>
                <w:color w:val="auto"/>
              </w:rPr>
              <w:t>Service and other revenue</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5,292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4,077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10,221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7,771</w:t>
            </w:r>
          </w:p>
        </w:tc>
        <w:tc>
          <w:tcPr>
            <w:tcW w:w="0" w:type="dxa"/>
            <w:vAlign w:val="bottom"/>
          </w:tcPr>
          <w:p>
            <w:pPr>
              <w:spacing w:after="0"/>
              <w:rPr>
                <w:sz w:val="1"/>
                <w:szCs w:val="1"/>
                <w:color w:val="auto"/>
              </w:rPr>
            </w:pPr>
          </w:p>
        </w:tc>
      </w:tr>
      <w:tr>
        <w:trPr>
          <w:trHeight w:val="170"/>
        </w:trPr>
        <w:tc>
          <w:tcPr>
            <w:tcW w:w="508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7"/>
                <w:szCs w:val="17"/>
                <w:color w:val="auto"/>
              </w:rPr>
              <w:t>Total revenue</w:t>
            </w:r>
          </w:p>
        </w:tc>
        <w:tc>
          <w:tcPr>
            <w:tcW w:w="260" w:type="dxa"/>
            <w:vAlign w:val="bottom"/>
            <w:tcBorders>
              <w:bottom w:val="single" w:sz="8" w:color="auto"/>
            </w:tcBorders>
            <w:shd w:val="clear" w:color="auto" w:fill="CCEEFF"/>
          </w:tcPr>
          <w:p>
            <w:pPr>
              <w:jc w:val="right"/>
              <w:ind w:right="76"/>
              <w:spacing w:after="0" w:line="170"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35,467</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36"/>
              <w:spacing w:after="0" w:line="170"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30,610</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36"/>
              <w:spacing w:after="0" w:line="170"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68,640</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56"/>
              <w:spacing w:after="0" w:line="170"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59,607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consolidated financial statements and the related notes included in our Annual Report on Form 10-K for the fiscal year ended December 31, 2021 filed with the U.S. Securities and Exchange Commission, or the SEC, on February 28, 2022, or our Annual Report on Form 10-K. This discussion contains forward-looking statements based upon current plans, expectations and beliefs that involve risks and uncertainties including the effect of the ongoing COVID-19 pandemic and our response thereto.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MD&amp;A, we presume that readers have access to and have read the MD&amp;A in our Annual Report on Form 10-K, pursuant to Instruction 2 to paragraph (b) of Item 303 of Regulation S-K.</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Our Management’s Discussion and Analysis (MD&amp;A) is organized into the following sections:</w:t>
      </w:r>
    </w:p>
    <w:p>
      <w:pPr>
        <w:spacing w:after="0" w:line="70" w:lineRule="exact"/>
        <w:rPr>
          <w:sz w:val="20"/>
          <w:szCs w:val="20"/>
          <w:color w:val="auto"/>
        </w:rPr>
      </w:pPr>
    </w:p>
    <w:p>
      <w:pPr>
        <w:ind w:left="600" w:hanging="599"/>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Overview and Outlook</w:t>
      </w:r>
    </w:p>
    <w:p>
      <w:pPr>
        <w:spacing w:after="0" w:line="69" w:lineRule="exact"/>
        <w:rPr>
          <w:rFonts w:ascii="Arial" w:cs="Arial" w:eastAsia="Arial" w:hAnsi="Arial"/>
          <w:sz w:val="17"/>
          <w:szCs w:val="17"/>
          <w:color w:val="auto"/>
        </w:rPr>
      </w:pPr>
    </w:p>
    <w:p>
      <w:pPr>
        <w:ind w:left="600" w:hanging="599"/>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57" w:lineRule="exact"/>
        <w:rPr>
          <w:rFonts w:ascii="Arial" w:cs="Arial" w:eastAsia="Arial" w:hAnsi="Arial"/>
          <w:sz w:val="17"/>
          <w:szCs w:val="17"/>
          <w:color w:val="auto"/>
        </w:rPr>
      </w:pPr>
    </w:p>
    <w:p>
      <w:pPr>
        <w:ind w:left="600" w:hanging="599"/>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Liquidity and Capital Resources</w:t>
      </w:r>
    </w:p>
    <w:p>
      <w:pPr>
        <w:spacing w:after="0" w:line="69" w:lineRule="exact"/>
        <w:rPr>
          <w:rFonts w:ascii="Arial" w:cs="Arial" w:eastAsia="Arial" w:hAnsi="Arial"/>
          <w:sz w:val="17"/>
          <w:szCs w:val="17"/>
          <w:color w:val="auto"/>
        </w:rPr>
      </w:pPr>
    </w:p>
    <w:p>
      <w:pPr>
        <w:ind w:left="600" w:hanging="599"/>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Critical Accounting Policies and Estimates</w:t>
      </w:r>
    </w:p>
    <w:p>
      <w:pPr>
        <w:spacing w:after="0" w:line="69" w:lineRule="exact"/>
        <w:rPr>
          <w:rFonts w:ascii="Arial" w:cs="Arial" w:eastAsia="Arial" w:hAnsi="Arial"/>
          <w:sz w:val="17"/>
          <w:szCs w:val="17"/>
          <w:color w:val="auto"/>
        </w:rPr>
      </w:pPr>
    </w:p>
    <w:p>
      <w:pPr>
        <w:ind w:left="600" w:hanging="599"/>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Recent Accounting Pronouncements</w:t>
      </w:r>
    </w:p>
    <w:p>
      <w:pPr>
        <w:spacing w:after="0" w:line="57" w:lineRule="exact"/>
        <w:rPr>
          <w:rFonts w:ascii="Arial" w:cs="Arial" w:eastAsia="Arial" w:hAnsi="Arial"/>
          <w:sz w:val="17"/>
          <w:szCs w:val="17"/>
          <w:color w:val="auto"/>
        </w:rPr>
      </w:pPr>
    </w:p>
    <w:p>
      <w:pPr>
        <w:ind w:left="600" w:hanging="599"/>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Off Balance Sheet Arrangements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About PacBio</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are a premier life science technology company that is designing, developing and manufacturing advanced sequencing solutions to help scientists and clinical researchers resolve genetically complex problems.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Our products and technology under development stem from two highly differentiated core technologies focused on accuracy, quality and completeness which include our existing HiFi long read sequencing and our emerging SBB short read sequencing technologies. Our products address solutions across a broad set of research applications including human germline sequencing, plant and animal sciences, infectious disease and microbiology, oncology, and other emerging applications.</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focus is on providing our customers with advanced sequencing technologies with higher throughput and improved workflows that we believe will enable dramatic advancements in routine healthcare.</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of June 30, 2022, our commercial team was comprised of over 189 employees, including 56 quota-carrying representatives, many with advanced degrees in biology and significant experience in the genomics industry.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Objectives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Our 2022 strategic objectives include:</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Execution - leveraging commercial investment to drive continued HiFi and Sequel II/IIe adoption;</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Progress our product pipeline - continuing the development of our future higher throughput HiFi sequencing platform and differentiated short-read technology; and</w:t>
      </w:r>
    </w:p>
    <w:p>
      <w:pPr>
        <w:spacing w:after="0" w:line="5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Delight our customers - deepening our customer relationships and expanding customer collaborations across existing and rapidly expanding new applications for our technology.</w:t>
      </w:r>
    </w:p>
    <w:p>
      <w:pPr>
        <w:spacing w:after="0" w:line="19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will continue to leverage our commercial organization and make significant improvements in efficiency and usability of our Sequel II/IIe to seek to reach a broader customer base. We believe the commercial investments we have already made and expect to continue to make during the remainder of 2022 will further help drive growth in our business.</w:t>
      </w:r>
    </w:p>
    <w:p>
      <w:pPr>
        <w:spacing w:after="0" w:line="19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To increase the adoption of HiFi sequencing, we have various development programs in progress to expand our product portfolio as well as increase the throughput and improve the usability of our existing sequencing technologies. We continue to focus on programs to accelerate new platform launches in the near to mid-term as well as increase applications for our technologies. To address the oncology markets with a highly differentiated alternative, we are also progressing our short read platform development with a goal of launching our SBB short read sequencing platform in 2023. As a result, we expect our research and development expense to continue increasing during the remainder of 2022 as compared to 2021.</w:t>
      </w:r>
    </w:p>
    <w:p>
      <w:pPr>
        <w:spacing w:after="0" w:line="19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We continue to believe that with the capabilities of our HiFi chemistry and SMRT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customer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Overview</w:t>
      </w:r>
    </w:p>
    <w:p>
      <w:pPr>
        <w:spacing w:after="0" w:line="20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Broader macroeconomic dynamics including rising inflation, global supply chain constraints, volatile capital markets, competition and lockdown restrictions associated with COVID-19 have adversely impacted our customers and lengthened customer sales cycles. Additionally, lock downs in China have led to lower than previously anticipated revenue in the Asia-Pacific region as customers have difficulty accessing labs and lower sample volumes from which to sequence. We expect some headwinds from a strengthening U.S. dollar which impacts our revenue denominated in EUR and GBP but also impacts purchasing power of our customers in Asia as a stronger U.S. dollar makes buying our products more expensive.</w:t>
      </w:r>
    </w:p>
    <w:p>
      <w:pPr>
        <w:spacing w:after="0" w:line="192"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Ongoing global supply chain constraints and rising inflation are also increasing our costs; therefore, we expect these costs to impact gross margins and cash flow. Due to the rising costs from global supply chain constraints and rising inflation, we are moderating our hiring with the aim of reducing our operating expenses growth in 2022. We will continue to prioritize investments in our next generation product launches and commercial expansion prioritizing opportunities that will generate a return over the near to mid-term.</w:t>
      </w:r>
    </w:p>
    <w:p>
      <w:pPr>
        <w:spacing w:after="0" w:line="19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degree of further adverse impacts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144"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The COVID-19 pandemic and efforts to control its spread have significantly curtailed the movement of people, goods, and services worldwide, including in the regions in which we sell our products and services and conduct our business operations. We have been negatively impacted by the COVID-19 pandemic and expect to continue to be impacted by COVID-19 for the foreseeable future. Due to the uncertain scope and duration of the pandemic, we cannot reasonably estimate the future impact to our operations and financial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The spread of COVID-19 has caused us to modify our business practices, including limiting some of our commercial operations and limiting certain employees from working in the office. Starting in April 2022, we invited employees located near our reopened offices to return to the office.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See the Risk Factors section for further discussion of the possible impact of the COVID-19 pandemic on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Key highlights of the six months ended June 30, 2022 consolidated financial results include the following:</w:t>
      </w:r>
    </w:p>
    <w:p>
      <w:pPr>
        <w:spacing w:after="0" w:line="184" w:lineRule="exact"/>
        <w:rPr>
          <w:sz w:val="20"/>
          <w:szCs w:val="20"/>
          <w:color w:val="auto"/>
        </w:rPr>
      </w:pPr>
    </w:p>
    <w:p>
      <w:pPr>
        <w:jc w:val="both"/>
        <w:ind w:left="840" w:hanging="232"/>
        <w:spacing w:after="0" w:line="224"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increased $9.0 million, or 15%, to $68.6 million for the six months ended June 30, 2022, as compared to $59.6 million for the six months ended June 30, 2021, driven primarily by an increase in consumable and service revenue from the growth of our installed base of Sequel II/IIe instruments since June 30, 2021. Future revenue growth is, in part, dependent on the sales of sequencing instruments, which are a leading indicator of consumables sales. While we expect to sell additional instruments, sales cycles are lengthening due to the global macroeconomic factors mentioned above. We also expect a potential slower ramp in the sales of consumables due to project delays, lower sample volumes and potential further lockdown restrictions, particularly in China.</w:t>
      </w:r>
    </w:p>
    <w:p>
      <w:pPr>
        <w:spacing w:after="0" w:line="168" w:lineRule="exact"/>
        <w:rPr>
          <w:rFonts w:ascii="Arial" w:cs="Arial" w:eastAsia="Arial" w:hAnsi="Arial"/>
          <w:sz w:val="17"/>
          <w:szCs w:val="17"/>
          <w:color w:val="auto"/>
        </w:rPr>
      </w:pPr>
    </w:p>
    <w:p>
      <w:pPr>
        <w:jc w:val="both"/>
        <w:ind w:left="840" w:hanging="232"/>
        <w:spacing w:after="0" w:line="265" w:lineRule="auto"/>
        <w:tabs>
          <w:tab w:leader="none" w:pos="840" w:val="left"/>
        </w:tabs>
        <w:numPr>
          <w:ilvl w:val="0"/>
          <w:numId w:val="4"/>
        </w:numPr>
        <w:rPr>
          <w:rFonts w:ascii="Arial" w:cs="Arial" w:eastAsia="Arial" w:hAnsi="Arial"/>
          <w:sz w:val="15"/>
          <w:szCs w:val="15"/>
          <w:color w:val="auto"/>
        </w:rPr>
      </w:pPr>
      <w:r>
        <w:rPr>
          <w:rFonts w:ascii="Arial" w:cs="Arial" w:eastAsia="Arial" w:hAnsi="Arial"/>
          <w:sz w:val="15"/>
          <w:szCs w:val="15"/>
          <w:color w:val="auto"/>
        </w:rPr>
        <w:t>Gross profit as a percentage of revenue (gross margin) was 44.2% for the six months ended June 30, 2022, compared to 44.8% for the six months ended June 30, 2021. Gross margin declined due primarily to an increase in our average product costs. Our gross margin in future periods will depend on several factors, including strategic product pricing; product mix; sales of higher-margin consumables; supply chain constraints and inflation increasing costs of raw materials; manufacturing capacity and production volumes impacting the cost of inventory; freight costs; and excess or obsolete inventories.</w:t>
      </w:r>
    </w:p>
    <w:p>
      <w:pPr>
        <w:spacing w:after="0" w:line="147" w:lineRule="exact"/>
        <w:rPr>
          <w:rFonts w:ascii="Arial" w:cs="Arial" w:eastAsia="Arial" w:hAnsi="Arial"/>
          <w:sz w:val="15"/>
          <w:szCs w:val="15"/>
          <w:color w:val="auto"/>
        </w:rPr>
      </w:pPr>
    </w:p>
    <w:p>
      <w:pPr>
        <w:jc w:val="both"/>
        <w:ind w:left="840" w:hanging="232"/>
        <w:spacing w:after="0"/>
        <w:tabs>
          <w:tab w:leader="none" w:pos="840" w:val="left"/>
        </w:tabs>
        <w:numPr>
          <w:ilvl w:val="0"/>
          <w:numId w:val="4"/>
        </w:numPr>
        <w:rPr>
          <w:rFonts w:ascii="Arial" w:cs="Arial" w:eastAsia="Arial" w:hAnsi="Arial"/>
          <w:sz w:val="16"/>
          <w:szCs w:val="16"/>
          <w:i w:val="1"/>
          <w:iCs w:val="1"/>
          <w:color w:val="0000FF"/>
        </w:rPr>
      </w:pPr>
      <w:r>
        <w:rPr>
          <w:rFonts w:ascii="Arial" w:cs="Arial" w:eastAsia="Arial" w:hAnsi="Arial"/>
          <w:sz w:val="16"/>
          <w:szCs w:val="16"/>
          <w:color w:val="auto"/>
        </w:rPr>
        <w:t xml:space="preserve">Loss from operations increased $74.2 million or 104%, to a loss of $145.5 million for the six months ended June 30, 2022, as compared to a loss of $71.3 million for the six months ended June 30, 2021, driven primarily by an increase of $77.8 million in operating expenses, including a $60.5 million increase in research and development expenses, primarily due to the Omniome acquisition and the establishment of an advanced research organization, $23.9 million increase in sales, general and administrative expenses, partially offset by a $6.5 million change in the fair value of contingent consideration. See </w:t>
      </w:r>
      <w:hyperlink w:anchor="page8">
        <w:r>
          <w:rPr>
            <w:rFonts w:ascii="Arial" w:cs="Arial" w:eastAsia="Arial" w:hAnsi="Arial"/>
            <w:sz w:val="16"/>
            <w:szCs w:val="16"/>
            <w:i w:val="1"/>
            <w:iCs w:val="1"/>
            <w:u w:val="single" w:color="auto"/>
            <w:color w:val="0000FF"/>
          </w:rPr>
          <w:t>Note 2. Business Acquisitions</w:t>
        </w:r>
        <w:r>
          <w:rPr>
            <w:rFonts w:ascii="Arial" w:cs="Arial" w:eastAsia="Arial" w:hAnsi="Arial"/>
            <w:sz w:val="16"/>
            <w:szCs w:val="16"/>
            <w:i w:val="1"/>
            <w:iCs w:val="1"/>
            <w:color w:val="0000FF"/>
          </w:rPr>
          <w:t xml:space="preserve"> </w:t>
        </w:r>
      </w:hyperlink>
      <w:r>
        <w:rPr>
          <w:rFonts w:ascii="Arial" w:cs="Arial" w:eastAsia="Arial" w:hAnsi="Arial"/>
          <w:sz w:val="16"/>
          <w:szCs w:val="16"/>
          <w:color w:val="000000"/>
        </w:rPr>
        <w:t>in</w:t>
      </w:r>
      <w:r>
        <w:rPr>
          <w:rFonts w:ascii="Arial" w:cs="Arial" w:eastAsia="Arial" w:hAnsi="Arial"/>
          <w:sz w:val="16"/>
          <w:szCs w:val="16"/>
          <w:i w:val="1"/>
          <w:iCs w:val="1"/>
          <w:color w:val="0000FF"/>
        </w:rPr>
        <w:t xml:space="preserve"> </w:t>
      </w:r>
      <w:r>
        <w:rPr>
          <w:rFonts w:ascii="Arial" w:cs="Arial" w:eastAsia="Arial" w:hAnsi="Arial"/>
          <w:sz w:val="16"/>
          <w:szCs w:val="16"/>
          <w:color w:val="000000"/>
        </w:rPr>
        <w:t>Part I, Item 1 of this Quarterly Report on Form 10-Q for further details.</w:t>
      </w:r>
    </w:p>
    <w:p>
      <w:pPr>
        <w:spacing w:after="0" w:line="166" w:lineRule="exact"/>
        <w:rPr>
          <w:rFonts w:ascii="Arial" w:cs="Arial" w:eastAsia="Arial" w:hAnsi="Arial"/>
          <w:sz w:val="16"/>
          <w:szCs w:val="16"/>
          <w:i w:val="1"/>
          <w:iCs w:val="1"/>
          <w:color w:val="0000FF"/>
        </w:rPr>
      </w:pPr>
    </w:p>
    <w:p>
      <w:pPr>
        <w:ind w:left="840" w:hanging="232"/>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Cash, cash equivalents and short-term investments were $899.2 million at June 30, 2022, which represents a 13.9% decrease compared to the balance at December 31,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FF"/>
            </w:tcBorders>
          </w:tcPr>
          <w:p>
            <w:pPr>
              <w:spacing w:after="0"/>
              <w:rPr>
                <w:rFonts w:ascii="Arial" w:cs="Arial" w:eastAsia="Arial" w:hAnsi="Arial"/>
                <w:sz w:val="17"/>
                <w:szCs w:val="17"/>
                <w:color w:val="0000FF"/>
                <w:w w:val="87"/>
              </w:rPr>
            </w:pPr>
            <w:hyperlink w:anchor="page2">
              <w:r>
                <w:rPr>
                  <w:rFonts w:ascii="Arial" w:cs="Arial" w:eastAsia="Arial" w:hAnsi="Arial"/>
                  <w:sz w:val="17"/>
                  <w:szCs w:val="17"/>
                  <w:color w:val="0000FF"/>
                  <w:w w:val="87"/>
                </w:rPr>
                <w:t>Table of Contents</w:t>
              </w:r>
            </w:hyperlink>
          </w:p>
        </w:tc>
        <w:tc>
          <w:tcPr>
            <w:tcW w:w="3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1"/>
        </w:trPr>
        <w:tc>
          <w:tcPr>
            <w:tcW w:w="4980" w:type="dxa"/>
            <w:vAlign w:val="bottom"/>
            <w:gridSpan w:val="2"/>
          </w:tcPr>
          <w:p>
            <w:pPr>
              <w:spacing w:after="0"/>
              <w:rPr>
                <w:sz w:val="20"/>
                <w:szCs w:val="20"/>
                <w:color w:val="auto"/>
              </w:rPr>
            </w:pPr>
            <w:r>
              <w:rPr>
                <w:rFonts w:ascii="Arial" w:cs="Arial" w:eastAsia="Arial" w:hAnsi="Arial"/>
                <w:sz w:val="17"/>
                <w:szCs w:val="17"/>
                <w:b w:val="1"/>
                <w:bCs w:val="1"/>
                <w:color w:val="auto"/>
              </w:rPr>
              <w:t>Results of Operations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980" w:type="dxa"/>
            <w:vAlign w:val="bottom"/>
            <w:gridSpan w:val="2"/>
          </w:tcPr>
          <w:p>
            <w:pPr>
              <w:spacing w:after="0"/>
              <w:rPr>
                <w:sz w:val="20"/>
                <w:szCs w:val="20"/>
                <w:color w:val="auto"/>
              </w:rPr>
            </w:pPr>
            <w:r>
              <w:rPr>
                <w:rFonts w:ascii="Arial" w:cs="Arial" w:eastAsia="Arial" w:hAnsi="Arial"/>
                <w:sz w:val="17"/>
                <w:szCs w:val="17"/>
                <w:b w:val="1"/>
                <w:bCs w:val="1"/>
                <w:i w:val="1"/>
                <w:iCs w:val="1"/>
                <w:color w:val="auto"/>
                <w:w w:val="96"/>
              </w:rPr>
              <w:t>Comparison of the Three Months Ended June 30, 2022 and 2021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7"/>
                <w:szCs w:val="17"/>
                <w:b w:val="1"/>
                <w:bCs w:val="1"/>
                <w:color w:val="auto"/>
                <w:w w:val="94"/>
              </w:rPr>
              <w:t>Three Months Ended June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rPr>
              <w:t>$ Change</w:t>
            </w:r>
          </w:p>
        </w:tc>
        <w:tc>
          <w:tcPr>
            <w:tcW w:w="1320" w:type="dxa"/>
            <w:vAlign w:val="bottom"/>
            <w:vMerge w:val="restart"/>
          </w:tcPr>
          <w:p>
            <w:pPr>
              <w:jc w:val="right"/>
              <w:ind w:right="96"/>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170"/>
        </w:trPr>
        <w:tc>
          <w:tcPr>
            <w:tcW w:w="4980" w:type="dxa"/>
            <w:vAlign w:val="bottom"/>
            <w:gridSpan w:val="2"/>
            <w:vMerge w:val="restart"/>
          </w:tcPr>
          <w:p>
            <w:pPr>
              <w:spacing w:after="0"/>
              <w:rPr>
                <w:sz w:val="20"/>
                <w:szCs w:val="20"/>
                <w:color w:val="auto"/>
              </w:rPr>
            </w:pPr>
            <w:r>
              <w:rPr>
                <w:rFonts w:ascii="Arial" w:cs="Arial" w:eastAsia="Arial" w:hAnsi="Arial"/>
                <w:sz w:val="17"/>
                <w:szCs w:val="17"/>
                <w:color w:val="auto"/>
              </w:rPr>
              <w:t>Revenue:</w:t>
            </w:r>
          </w:p>
        </w:tc>
        <w:tc>
          <w:tcPr>
            <w:tcW w:w="4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36"/>
              <w:spacing w:after="0" w:line="170" w:lineRule="exact"/>
              <w:rPr>
                <w:sz w:val="20"/>
                <w:szCs w:val="20"/>
                <w:color w:val="auto"/>
              </w:rPr>
            </w:pPr>
            <w:r>
              <w:rPr>
                <w:rFonts w:ascii="Arial" w:cs="Arial" w:eastAsia="Arial" w:hAnsi="Arial"/>
                <w:sz w:val="17"/>
                <w:szCs w:val="17"/>
                <w:b w:val="1"/>
                <w:bCs w:val="1"/>
                <w:color w:val="auto"/>
              </w:rPr>
              <w:t>2022</w:t>
            </w: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16"/>
              <w:spacing w:after="0" w:line="170" w:lineRule="exact"/>
              <w:rPr>
                <w:sz w:val="20"/>
                <w:szCs w:val="20"/>
                <w:color w:val="auto"/>
              </w:rPr>
            </w:pPr>
            <w:r>
              <w:rPr>
                <w:rFonts w:ascii="Arial" w:cs="Arial" w:eastAsia="Arial" w:hAnsi="Arial"/>
                <w:sz w:val="17"/>
                <w:szCs w:val="17"/>
                <w:b w:val="1"/>
                <w:bCs w:val="1"/>
                <w:color w:val="auto"/>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6"/>
          </w:tcPr>
          <w:p>
            <w:pPr>
              <w:jc w:val="right"/>
              <w:ind w:right="360"/>
              <w:spacing w:after="0" w:line="170" w:lineRule="exact"/>
              <w:rPr>
                <w:sz w:val="20"/>
                <w:szCs w:val="20"/>
                <w:color w:val="auto"/>
              </w:rPr>
            </w:pPr>
            <w:r>
              <w:rPr>
                <w:rFonts w:ascii="Arial" w:cs="Arial" w:eastAsia="Arial" w:hAnsi="Arial"/>
                <w:sz w:val="17"/>
                <w:szCs w:val="17"/>
                <w:b w:val="1"/>
                <w:bCs w:val="1"/>
                <w:color w:val="auto"/>
                <w:w w:val="84"/>
              </w:rPr>
              <w:t>(in thousands, except percentages)</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80" w:type="dxa"/>
            <w:vAlign w:val="bottom"/>
            <w:gridSpan w:val="2"/>
            <w:shd w:val="clear" w:color="auto" w:fill="CCEEFF"/>
          </w:tcPr>
          <w:p>
            <w:pPr>
              <w:ind w:left="400"/>
              <w:spacing w:after="0" w:line="177" w:lineRule="exact"/>
              <w:rPr>
                <w:sz w:val="20"/>
                <w:szCs w:val="20"/>
                <w:color w:val="auto"/>
              </w:rPr>
            </w:pPr>
            <w:r>
              <w:rPr>
                <w:rFonts w:ascii="Arial" w:cs="Arial" w:eastAsia="Arial" w:hAnsi="Arial"/>
                <w:sz w:val="17"/>
                <w:szCs w:val="17"/>
                <w:color w:val="auto"/>
              </w:rPr>
              <w:t>Product revenue</w:t>
            </w:r>
          </w:p>
        </w:tc>
        <w:tc>
          <w:tcPr>
            <w:tcW w:w="700" w:type="dxa"/>
            <w:vAlign w:val="bottom"/>
            <w:gridSpan w:val="2"/>
            <w:shd w:val="clear" w:color="auto" w:fill="CCEEFF"/>
          </w:tcPr>
          <w:p>
            <w:pPr>
              <w:jc w:val="right"/>
              <w:ind w:right="76"/>
              <w:spacing w:after="0" w:line="177"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30,175</w:t>
            </w:r>
          </w:p>
        </w:tc>
        <w:tc>
          <w:tcPr>
            <w:tcW w:w="10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26,533</w:t>
            </w:r>
          </w:p>
        </w:tc>
        <w:tc>
          <w:tcPr>
            <w:tcW w:w="200" w:type="dxa"/>
            <w:vAlign w:val="bottom"/>
            <w:gridSpan w:val="2"/>
            <w:shd w:val="clear" w:color="auto" w:fill="CCEEFF"/>
          </w:tcPr>
          <w:p>
            <w:pPr>
              <w:jc w:val="right"/>
              <w:ind w:right="7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line="177" w:lineRule="exact"/>
              <w:rPr>
                <w:sz w:val="20"/>
                <w:szCs w:val="20"/>
                <w:color w:val="auto"/>
              </w:rPr>
            </w:pPr>
            <w:r>
              <w:rPr>
                <w:rFonts w:ascii="Arial" w:cs="Arial" w:eastAsia="Arial" w:hAnsi="Arial"/>
                <w:sz w:val="17"/>
                <w:szCs w:val="17"/>
                <w:color w:val="auto"/>
              </w:rPr>
              <w:t>3,642</w:t>
            </w:r>
          </w:p>
        </w:tc>
        <w:tc>
          <w:tcPr>
            <w:tcW w:w="13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77"/>
        </w:trPr>
        <w:tc>
          <w:tcPr>
            <w:tcW w:w="4980" w:type="dxa"/>
            <w:vAlign w:val="bottom"/>
            <w:gridSpan w:val="2"/>
          </w:tcPr>
          <w:p>
            <w:pPr>
              <w:ind w:left="400"/>
              <w:spacing w:after="0" w:line="177" w:lineRule="exact"/>
              <w:rPr>
                <w:sz w:val="20"/>
                <w:szCs w:val="20"/>
                <w:color w:val="auto"/>
              </w:rPr>
            </w:pPr>
            <w:r>
              <w:rPr>
                <w:rFonts w:ascii="Arial" w:cs="Arial" w:eastAsia="Arial" w:hAnsi="Arial"/>
                <w:sz w:val="17"/>
                <w:szCs w:val="17"/>
                <w:color w:val="auto"/>
              </w:rPr>
              <w:t>Service and other revenue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Arial" w:cs="Arial" w:eastAsia="Arial" w:hAnsi="Arial"/>
                <w:sz w:val="17"/>
                <w:szCs w:val="17"/>
                <w:color w:val="auto"/>
              </w:rPr>
              <w:t>5,292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Arial" w:cs="Arial" w:eastAsia="Arial" w:hAnsi="Arial"/>
                <w:sz w:val="17"/>
                <w:szCs w:val="17"/>
                <w:color w:val="auto"/>
              </w:rPr>
              <w:t>4,077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0"/>
              <w:spacing w:after="0" w:line="177" w:lineRule="exact"/>
              <w:rPr>
                <w:sz w:val="20"/>
                <w:szCs w:val="20"/>
                <w:color w:val="auto"/>
              </w:rPr>
            </w:pPr>
            <w:r>
              <w:rPr>
                <w:rFonts w:ascii="Arial" w:cs="Arial" w:eastAsia="Arial" w:hAnsi="Arial"/>
                <w:sz w:val="17"/>
                <w:szCs w:val="17"/>
                <w:color w:val="auto"/>
              </w:rPr>
              <w:t>1,215</w:t>
            </w:r>
          </w:p>
        </w:tc>
        <w:tc>
          <w:tcPr>
            <w:tcW w:w="1320" w:type="dxa"/>
            <w:vAlign w:val="bottom"/>
          </w:tcPr>
          <w:p>
            <w:pPr>
              <w:jc w:val="right"/>
              <w:spacing w:after="0" w:line="177"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70"/>
        </w:trPr>
        <w:tc>
          <w:tcPr>
            <w:tcW w:w="4980" w:type="dxa"/>
            <w:vAlign w:val="bottom"/>
            <w:tcBorders>
              <w:top w:val="single" w:sz="8" w:color="CCEEFF"/>
            </w:tcBorders>
            <w:gridSpan w:val="2"/>
            <w:shd w:val="clear" w:color="auto" w:fill="CCEEFF"/>
          </w:tcPr>
          <w:p>
            <w:pPr>
              <w:ind w:left="700"/>
              <w:spacing w:after="0" w:line="170" w:lineRule="exact"/>
              <w:rPr>
                <w:sz w:val="20"/>
                <w:szCs w:val="20"/>
                <w:color w:val="auto"/>
              </w:rPr>
            </w:pPr>
            <w:r>
              <w:rPr>
                <w:rFonts w:ascii="Arial" w:cs="Arial" w:eastAsia="Arial" w:hAnsi="Arial"/>
                <w:sz w:val="17"/>
                <w:szCs w:val="17"/>
                <w:color w:val="auto"/>
              </w:rPr>
              <w:t>Total revenue</w:t>
            </w:r>
          </w:p>
        </w:tc>
        <w:tc>
          <w:tcPr>
            <w:tcW w:w="4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35,467</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30,610</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4,857</w:t>
            </w:r>
          </w:p>
        </w:tc>
        <w:tc>
          <w:tcPr>
            <w:tcW w:w="2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70"/>
        </w:trPr>
        <w:tc>
          <w:tcPr>
            <w:tcW w:w="4980" w:type="dxa"/>
            <w:vAlign w:val="bottom"/>
            <w:gridSpan w:val="2"/>
          </w:tcPr>
          <w:p>
            <w:pPr>
              <w:spacing w:after="0" w:line="170" w:lineRule="exact"/>
              <w:rPr>
                <w:sz w:val="20"/>
                <w:szCs w:val="20"/>
                <w:color w:val="auto"/>
              </w:rPr>
            </w:pPr>
            <w:r>
              <w:rPr>
                <w:rFonts w:ascii="Arial" w:cs="Arial" w:eastAsia="Arial" w:hAnsi="Arial"/>
                <w:sz w:val="17"/>
                <w:szCs w:val="17"/>
                <w:color w:val="auto"/>
              </w:rPr>
              <w:t>Cost of revenue:</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80" w:type="dxa"/>
            <w:vAlign w:val="bottom"/>
            <w:gridSpan w:val="2"/>
            <w:shd w:val="clear" w:color="auto" w:fill="CCEEFF"/>
          </w:tcPr>
          <w:p>
            <w:pPr>
              <w:ind w:left="400"/>
              <w:spacing w:after="0" w:line="177" w:lineRule="exact"/>
              <w:rPr>
                <w:sz w:val="20"/>
                <w:szCs w:val="20"/>
                <w:color w:val="auto"/>
              </w:rPr>
            </w:pPr>
            <w:r>
              <w:rPr>
                <w:rFonts w:ascii="Arial" w:cs="Arial" w:eastAsia="Arial" w:hAnsi="Arial"/>
                <w:sz w:val="17"/>
                <w:szCs w:val="17"/>
                <w:color w:val="auto"/>
              </w:rPr>
              <w:t>Cost of product revenue</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15,499</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13,222</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line="177" w:lineRule="exact"/>
              <w:rPr>
                <w:sz w:val="20"/>
                <w:szCs w:val="20"/>
                <w:color w:val="auto"/>
              </w:rPr>
            </w:pPr>
            <w:r>
              <w:rPr>
                <w:rFonts w:ascii="Arial" w:cs="Arial" w:eastAsia="Arial" w:hAnsi="Arial"/>
                <w:sz w:val="17"/>
                <w:szCs w:val="17"/>
                <w:color w:val="auto"/>
              </w:rPr>
              <w:t>2,277</w:t>
            </w:r>
          </w:p>
        </w:tc>
        <w:tc>
          <w:tcPr>
            <w:tcW w:w="13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77"/>
        </w:trPr>
        <w:tc>
          <w:tcPr>
            <w:tcW w:w="4980" w:type="dxa"/>
            <w:vAlign w:val="bottom"/>
            <w:gridSpan w:val="2"/>
          </w:tcPr>
          <w:p>
            <w:pPr>
              <w:ind w:left="400"/>
              <w:spacing w:after="0" w:line="177" w:lineRule="exact"/>
              <w:rPr>
                <w:sz w:val="20"/>
                <w:szCs w:val="20"/>
                <w:color w:val="auto"/>
              </w:rPr>
            </w:pPr>
            <w:r>
              <w:rPr>
                <w:rFonts w:ascii="Arial" w:cs="Arial" w:eastAsia="Arial" w:hAnsi="Arial"/>
                <w:sz w:val="17"/>
                <w:szCs w:val="17"/>
                <w:color w:val="auto"/>
              </w:rPr>
              <w:t>Cost of service and other revenue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3,592</w:t>
            </w:r>
          </w:p>
        </w:tc>
        <w:tc>
          <w:tcPr>
            <w:tcW w:w="100" w:type="dxa"/>
            <w:vAlign w:val="bottom"/>
          </w:tcPr>
          <w:p>
            <w:pPr>
              <w:spacing w:after="0"/>
              <w:rPr>
                <w:sz w:val="15"/>
                <w:szCs w:val="15"/>
                <w:color w:val="auto"/>
              </w:rPr>
            </w:pPr>
          </w:p>
        </w:tc>
        <w:tc>
          <w:tcPr>
            <w:tcW w:w="14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3,635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0"/>
              <w:spacing w:after="0" w:line="177" w:lineRule="exact"/>
              <w:rPr>
                <w:sz w:val="20"/>
                <w:szCs w:val="20"/>
                <w:color w:val="auto"/>
              </w:rPr>
            </w:pPr>
            <w:r>
              <w:rPr>
                <w:rFonts w:ascii="Arial" w:cs="Arial" w:eastAsia="Arial" w:hAnsi="Arial"/>
                <w:sz w:val="17"/>
                <w:szCs w:val="17"/>
                <w:color w:val="auto"/>
              </w:rPr>
              <w:t>(43)</w:t>
            </w:r>
          </w:p>
        </w:tc>
        <w:tc>
          <w:tcPr>
            <w:tcW w:w="1320" w:type="dxa"/>
            <w:vAlign w:val="bottom"/>
          </w:tcPr>
          <w:p>
            <w:pPr>
              <w:jc w:val="right"/>
              <w:spacing w:after="0" w:line="177"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77"/>
        </w:trPr>
        <w:tc>
          <w:tcPr>
            <w:tcW w:w="4980" w:type="dxa"/>
            <w:vAlign w:val="bottom"/>
            <w:gridSpan w:val="2"/>
            <w:shd w:val="clear" w:color="auto" w:fill="CCEEFF"/>
          </w:tcPr>
          <w:p>
            <w:pPr>
              <w:ind w:left="400"/>
              <w:spacing w:after="0" w:line="177" w:lineRule="exact"/>
              <w:rPr>
                <w:sz w:val="20"/>
                <w:szCs w:val="20"/>
                <w:color w:val="auto"/>
              </w:rPr>
            </w:pPr>
            <w:r>
              <w:rPr>
                <w:rFonts w:ascii="Arial" w:cs="Arial" w:eastAsia="Arial" w:hAnsi="Arial"/>
                <w:sz w:val="17"/>
                <w:szCs w:val="17"/>
                <w:color w:val="auto"/>
              </w:rPr>
              <w:t>Amortization of intangible assets</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183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line="177" w:lineRule="exact"/>
              <w:rPr>
                <w:sz w:val="20"/>
                <w:szCs w:val="20"/>
                <w:color w:val="auto"/>
              </w:rPr>
            </w:pPr>
            <w:r>
              <w:rPr>
                <w:rFonts w:ascii="Arial" w:cs="Arial" w:eastAsia="Arial" w:hAnsi="Arial"/>
                <w:sz w:val="17"/>
                <w:szCs w:val="17"/>
                <w:color w:val="auto"/>
              </w:rPr>
              <w:t>183</w:t>
            </w:r>
          </w:p>
        </w:tc>
        <w:tc>
          <w:tcPr>
            <w:tcW w:w="13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70"/>
        </w:trPr>
        <w:tc>
          <w:tcPr>
            <w:tcW w:w="4980" w:type="dxa"/>
            <w:vAlign w:val="bottom"/>
            <w:gridSpan w:val="2"/>
          </w:tcPr>
          <w:p>
            <w:pPr>
              <w:ind w:left="700"/>
              <w:spacing w:after="0" w:line="170" w:lineRule="exact"/>
              <w:rPr>
                <w:sz w:val="20"/>
                <w:szCs w:val="20"/>
                <w:color w:val="auto"/>
              </w:rPr>
            </w:pPr>
            <w:r>
              <w:rPr>
                <w:rFonts w:ascii="Arial" w:cs="Arial" w:eastAsia="Arial" w:hAnsi="Arial"/>
                <w:sz w:val="17"/>
                <w:szCs w:val="17"/>
                <w:color w:val="auto"/>
              </w:rPr>
              <w:t>Total cost of revenue</w:t>
            </w:r>
          </w:p>
        </w:tc>
        <w:tc>
          <w:tcPr>
            <w:tcW w:w="4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19,274</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16,857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7"/>
                <w:szCs w:val="17"/>
                <w:color w:val="auto"/>
              </w:rPr>
              <w:t>2,417</w:t>
            </w:r>
          </w:p>
        </w:tc>
        <w:tc>
          <w:tcPr>
            <w:tcW w:w="20" w:type="dxa"/>
            <w:vAlign w:val="bottom"/>
          </w:tcPr>
          <w:p>
            <w:pPr>
              <w:spacing w:after="0"/>
              <w:rPr>
                <w:sz w:val="14"/>
                <w:szCs w:val="14"/>
                <w:color w:val="auto"/>
              </w:rPr>
            </w:pPr>
          </w:p>
        </w:tc>
        <w:tc>
          <w:tcPr>
            <w:tcW w:w="1320" w:type="dxa"/>
            <w:vAlign w:val="bottom"/>
          </w:tcPr>
          <w:p>
            <w:pPr>
              <w:jc w:val="right"/>
              <w:spacing w:after="0" w:line="170"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77"/>
        </w:trPr>
        <w:tc>
          <w:tcPr>
            <w:tcW w:w="4980" w:type="dxa"/>
            <w:vAlign w:val="bottom"/>
            <w:gridSpan w:val="2"/>
            <w:shd w:val="clear" w:color="auto" w:fill="CCEEFF"/>
          </w:tcPr>
          <w:p>
            <w:pPr>
              <w:ind w:left="1120"/>
              <w:spacing w:after="0" w:line="177" w:lineRule="exact"/>
              <w:rPr>
                <w:sz w:val="20"/>
                <w:szCs w:val="20"/>
                <w:color w:val="auto"/>
              </w:rPr>
            </w:pPr>
            <w:r>
              <w:rPr>
                <w:rFonts w:ascii="Arial" w:cs="Arial" w:eastAsia="Arial" w:hAnsi="Arial"/>
                <w:sz w:val="17"/>
                <w:szCs w:val="17"/>
                <w:color w:val="auto"/>
              </w:rPr>
              <w:t>Gross profit</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16,193</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13,753</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line="177" w:lineRule="exact"/>
              <w:rPr>
                <w:sz w:val="20"/>
                <w:szCs w:val="20"/>
                <w:color w:val="auto"/>
              </w:rPr>
            </w:pPr>
            <w:r>
              <w:rPr>
                <w:rFonts w:ascii="Arial" w:cs="Arial" w:eastAsia="Arial" w:hAnsi="Arial"/>
                <w:sz w:val="17"/>
                <w:szCs w:val="17"/>
                <w:color w:val="auto"/>
              </w:rPr>
              <w:t>2,440</w:t>
            </w:r>
          </w:p>
        </w:tc>
        <w:tc>
          <w:tcPr>
            <w:tcW w:w="13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77"/>
        </w:trPr>
        <w:tc>
          <w:tcPr>
            <w:tcW w:w="4980" w:type="dxa"/>
            <w:vAlign w:val="bottom"/>
            <w:gridSpan w:val="2"/>
          </w:tcPr>
          <w:p>
            <w:pPr>
              <w:spacing w:after="0" w:line="177" w:lineRule="exact"/>
              <w:rPr>
                <w:sz w:val="20"/>
                <w:szCs w:val="20"/>
                <w:color w:val="auto"/>
              </w:rPr>
            </w:pPr>
            <w:r>
              <w:rPr>
                <w:rFonts w:ascii="Arial" w:cs="Arial" w:eastAsia="Arial" w:hAnsi="Arial"/>
                <w:sz w:val="17"/>
                <w:szCs w:val="17"/>
                <w:color w:val="auto"/>
              </w:rPr>
              <w:t>Operating expense: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80" w:type="dxa"/>
            <w:vAlign w:val="bottom"/>
            <w:gridSpan w:val="2"/>
            <w:shd w:val="clear" w:color="auto" w:fill="CCEEFF"/>
          </w:tcPr>
          <w:p>
            <w:pPr>
              <w:ind w:left="400"/>
              <w:spacing w:after="0" w:line="177" w:lineRule="exact"/>
              <w:rPr>
                <w:sz w:val="20"/>
                <w:szCs w:val="20"/>
                <w:color w:val="auto"/>
              </w:rPr>
            </w:pPr>
            <w:r>
              <w:rPr>
                <w:rFonts w:ascii="Arial" w:cs="Arial" w:eastAsia="Arial" w:hAnsi="Arial"/>
                <w:sz w:val="17"/>
                <w:szCs w:val="17"/>
                <w:color w:val="auto"/>
              </w:rPr>
              <w:t>Research and development</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50,348</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22,266</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line="177" w:lineRule="exact"/>
              <w:rPr>
                <w:sz w:val="20"/>
                <w:szCs w:val="20"/>
                <w:color w:val="auto"/>
              </w:rPr>
            </w:pPr>
            <w:r>
              <w:rPr>
                <w:rFonts w:ascii="Arial" w:cs="Arial" w:eastAsia="Arial" w:hAnsi="Arial"/>
                <w:sz w:val="17"/>
                <w:szCs w:val="17"/>
                <w:color w:val="auto"/>
              </w:rPr>
              <w:t>28,082</w:t>
            </w:r>
          </w:p>
        </w:tc>
        <w:tc>
          <w:tcPr>
            <w:tcW w:w="13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177"/>
        </w:trPr>
        <w:tc>
          <w:tcPr>
            <w:tcW w:w="4980" w:type="dxa"/>
            <w:vAlign w:val="bottom"/>
            <w:gridSpan w:val="2"/>
          </w:tcPr>
          <w:p>
            <w:pPr>
              <w:ind w:left="400"/>
              <w:spacing w:after="0" w:line="177" w:lineRule="exact"/>
              <w:rPr>
                <w:sz w:val="20"/>
                <w:szCs w:val="20"/>
                <w:color w:val="auto"/>
              </w:rPr>
            </w:pPr>
            <w:r>
              <w:rPr>
                <w:rFonts w:ascii="Arial" w:cs="Arial" w:eastAsia="Arial" w:hAnsi="Arial"/>
                <w:sz w:val="17"/>
                <w:szCs w:val="17"/>
                <w:color w:val="auto"/>
              </w:rPr>
              <w:t>Sales, general and administrative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39,252</w:t>
            </w:r>
          </w:p>
        </w:tc>
        <w:tc>
          <w:tcPr>
            <w:tcW w:w="100" w:type="dxa"/>
            <w:vAlign w:val="bottom"/>
          </w:tcPr>
          <w:p>
            <w:pPr>
              <w:spacing w:after="0"/>
              <w:rPr>
                <w:sz w:val="15"/>
                <w:szCs w:val="15"/>
                <w:color w:val="auto"/>
              </w:rPr>
            </w:pPr>
          </w:p>
        </w:tc>
        <w:tc>
          <w:tcPr>
            <w:tcW w:w="14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29,060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0"/>
              <w:spacing w:after="0" w:line="177" w:lineRule="exact"/>
              <w:rPr>
                <w:sz w:val="20"/>
                <w:szCs w:val="20"/>
                <w:color w:val="auto"/>
              </w:rPr>
            </w:pPr>
            <w:r>
              <w:rPr>
                <w:rFonts w:ascii="Arial" w:cs="Arial" w:eastAsia="Arial" w:hAnsi="Arial"/>
                <w:sz w:val="17"/>
                <w:szCs w:val="17"/>
                <w:color w:val="auto"/>
              </w:rPr>
              <w:t>10,192</w:t>
            </w:r>
          </w:p>
        </w:tc>
        <w:tc>
          <w:tcPr>
            <w:tcW w:w="1320" w:type="dxa"/>
            <w:vAlign w:val="bottom"/>
          </w:tcPr>
          <w:p>
            <w:pPr>
              <w:jc w:val="right"/>
              <w:spacing w:after="0" w:line="177"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77"/>
        </w:trPr>
        <w:tc>
          <w:tcPr>
            <w:tcW w:w="4980" w:type="dxa"/>
            <w:vAlign w:val="bottom"/>
            <w:gridSpan w:val="2"/>
            <w:shd w:val="clear" w:color="auto" w:fill="CCEEFF"/>
          </w:tcPr>
          <w:p>
            <w:pPr>
              <w:ind w:left="400"/>
              <w:spacing w:after="0" w:line="177" w:lineRule="exact"/>
              <w:rPr>
                <w:sz w:val="20"/>
                <w:szCs w:val="20"/>
                <w:color w:val="auto"/>
              </w:rPr>
            </w:pPr>
            <w:r>
              <w:rPr>
                <w:rFonts w:ascii="Arial" w:cs="Arial" w:eastAsia="Arial" w:hAnsi="Arial"/>
                <w:sz w:val="17"/>
                <w:szCs w:val="17"/>
                <w:color w:val="auto"/>
              </w:rPr>
              <w:t>Change in fair value of contingent consideration</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(5,438)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line="177" w:lineRule="exact"/>
              <w:rPr>
                <w:sz w:val="20"/>
                <w:szCs w:val="20"/>
                <w:color w:val="auto"/>
              </w:rPr>
            </w:pPr>
            <w:r>
              <w:rPr>
                <w:rFonts w:ascii="Arial" w:cs="Arial" w:eastAsia="Arial" w:hAnsi="Arial"/>
                <w:sz w:val="17"/>
                <w:szCs w:val="17"/>
                <w:color w:val="auto"/>
              </w:rPr>
              <w:t>(5,438)</w:t>
            </w:r>
          </w:p>
        </w:tc>
        <w:tc>
          <w:tcPr>
            <w:tcW w:w="13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70"/>
        </w:trPr>
        <w:tc>
          <w:tcPr>
            <w:tcW w:w="4980" w:type="dxa"/>
            <w:vAlign w:val="bottom"/>
            <w:tcBorders>
              <w:bottom w:val="single" w:sz="8" w:color="CCEEFF"/>
            </w:tcBorders>
            <w:gridSpan w:val="2"/>
          </w:tcPr>
          <w:p>
            <w:pPr>
              <w:ind w:left="700"/>
              <w:spacing w:after="0" w:line="170" w:lineRule="exact"/>
              <w:rPr>
                <w:sz w:val="20"/>
                <w:szCs w:val="20"/>
                <w:color w:val="auto"/>
              </w:rPr>
            </w:pPr>
            <w:r>
              <w:rPr>
                <w:rFonts w:ascii="Arial" w:cs="Arial" w:eastAsia="Arial" w:hAnsi="Arial"/>
                <w:sz w:val="17"/>
                <w:szCs w:val="17"/>
                <w:color w:val="auto"/>
              </w:rPr>
              <w:t>Total operating expense</w:t>
            </w:r>
          </w:p>
        </w:tc>
        <w:tc>
          <w:tcPr>
            <w:tcW w:w="4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84,162</w:t>
            </w:r>
          </w:p>
        </w:tc>
        <w:tc>
          <w:tcPr>
            <w:tcW w:w="2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51,326</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32,836</w:t>
            </w:r>
          </w:p>
        </w:tc>
        <w:tc>
          <w:tcPr>
            <w:tcW w:w="2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jc w:val="right"/>
              <w:spacing w:after="0" w:line="170"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70"/>
        </w:trPr>
        <w:tc>
          <w:tcPr>
            <w:tcW w:w="4980" w:type="dxa"/>
            <w:vAlign w:val="bottom"/>
            <w:gridSpan w:val="2"/>
            <w:shd w:val="clear" w:color="auto" w:fill="CCEEFF"/>
          </w:tcPr>
          <w:p>
            <w:pPr>
              <w:spacing w:after="0" w:line="170" w:lineRule="exact"/>
              <w:rPr>
                <w:sz w:val="20"/>
                <w:szCs w:val="20"/>
                <w:color w:val="auto"/>
              </w:rPr>
            </w:pPr>
            <w:r>
              <w:rPr>
                <w:rFonts w:ascii="Arial" w:cs="Arial" w:eastAsia="Arial" w:hAnsi="Arial"/>
                <w:sz w:val="17"/>
                <w:szCs w:val="17"/>
                <w:color w:val="auto"/>
              </w:rPr>
              <w:t>Operating loss</w:t>
            </w: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(67,969)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(37,573)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(30,396)</w:t>
            </w:r>
          </w:p>
        </w:tc>
        <w:tc>
          <w:tcPr>
            <w:tcW w:w="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77"/>
        </w:trPr>
        <w:tc>
          <w:tcPr>
            <w:tcW w:w="4980" w:type="dxa"/>
            <w:vAlign w:val="bottom"/>
            <w:gridSpan w:val="2"/>
          </w:tcPr>
          <w:p>
            <w:pPr>
              <w:ind w:left="400"/>
              <w:spacing w:after="0" w:line="177" w:lineRule="exact"/>
              <w:rPr>
                <w:sz w:val="20"/>
                <w:szCs w:val="20"/>
                <w:color w:val="auto"/>
              </w:rPr>
            </w:pPr>
            <w:r>
              <w:rPr>
                <w:rFonts w:ascii="Arial" w:cs="Arial" w:eastAsia="Arial" w:hAnsi="Arial"/>
                <w:sz w:val="17"/>
                <w:szCs w:val="17"/>
                <w:color w:val="auto"/>
              </w:rPr>
              <w:t>Interest expense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(3,681)</w:t>
            </w:r>
          </w:p>
        </w:tc>
        <w:tc>
          <w:tcPr>
            <w:tcW w:w="100" w:type="dxa"/>
            <w:vAlign w:val="bottom"/>
          </w:tcPr>
          <w:p>
            <w:pPr>
              <w:spacing w:after="0"/>
              <w:rPr>
                <w:sz w:val="15"/>
                <w:szCs w:val="15"/>
                <w:color w:val="auto"/>
              </w:rPr>
            </w:pPr>
          </w:p>
        </w:tc>
        <w:tc>
          <w:tcPr>
            <w:tcW w:w="14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(3,589)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0"/>
              <w:spacing w:after="0" w:line="177" w:lineRule="exact"/>
              <w:rPr>
                <w:sz w:val="20"/>
                <w:szCs w:val="20"/>
                <w:color w:val="auto"/>
              </w:rPr>
            </w:pPr>
            <w:r>
              <w:rPr>
                <w:rFonts w:ascii="Arial" w:cs="Arial" w:eastAsia="Arial" w:hAnsi="Arial"/>
                <w:sz w:val="17"/>
                <w:szCs w:val="17"/>
                <w:color w:val="auto"/>
              </w:rPr>
              <w:t>(92)</w:t>
            </w:r>
          </w:p>
        </w:tc>
        <w:tc>
          <w:tcPr>
            <w:tcW w:w="1320" w:type="dxa"/>
            <w:vAlign w:val="bottom"/>
          </w:tcPr>
          <w:p>
            <w:pPr>
              <w:jc w:val="right"/>
              <w:spacing w:after="0" w:line="177"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77"/>
        </w:trPr>
        <w:tc>
          <w:tcPr>
            <w:tcW w:w="4980" w:type="dxa"/>
            <w:vAlign w:val="bottom"/>
            <w:gridSpan w:val="2"/>
            <w:shd w:val="clear" w:color="auto" w:fill="CCEEFF"/>
          </w:tcPr>
          <w:p>
            <w:pPr>
              <w:ind w:left="400"/>
              <w:spacing w:after="0" w:line="177" w:lineRule="exact"/>
              <w:rPr>
                <w:sz w:val="20"/>
                <w:szCs w:val="20"/>
                <w:color w:val="auto"/>
              </w:rPr>
            </w:pPr>
            <w:r>
              <w:rPr>
                <w:rFonts w:ascii="Arial" w:cs="Arial" w:eastAsia="Arial" w:hAnsi="Arial"/>
                <w:sz w:val="17"/>
                <w:szCs w:val="17"/>
                <w:color w:val="auto"/>
              </w:rPr>
              <w:t>Other income, net</w:t>
            </w: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256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161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line="177" w:lineRule="exact"/>
              <w:rPr>
                <w:sz w:val="20"/>
                <w:szCs w:val="20"/>
                <w:color w:val="auto"/>
              </w:rPr>
            </w:pPr>
            <w:r>
              <w:rPr>
                <w:rFonts w:ascii="Arial" w:cs="Arial" w:eastAsia="Arial" w:hAnsi="Arial"/>
                <w:sz w:val="17"/>
                <w:szCs w:val="17"/>
                <w:color w:val="auto"/>
              </w:rPr>
              <w:t>95</w:t>
            </w:r>
          </w:p>
        </w:tc>
        <w:tc>
          <w:tcPr>
            <w:tcW w:w="132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70"/>
        </w:trPr>
        <w:tc>
          <w:tcPr>
            <w:tcW w:w="4980" w:type="dxa"/>
            <w:vAlign w:val="bottom"/>
            <w:gridSpan w:val="2"/>
          </w:tcPr>
          <w:p>
            <w:pPr>
              <w:spacing w:after="0" w:line="170" w:lineRule="exact"/>
              <w:rPr>
                <w:sz w:val="20"/>
                <w:szCs w:val="20"/>
                <w:color w:val="auto"/>
              </w:rPr>
            </w:pPr>
            <w:r>
              <w:rPr>
                <w:rFonts w:ascii="Arial" w:cs="Arial" w:eastAsia="Arial" w:hAnsi="Arial"/>
                <w:sz w:val="17"/>
                <w:szCs w:val="17"/>
                <w:color w:val="auto"/>
              </w:rPr>
              <w:t>Net loss</w:t>
            </w:r>
          </w:p>
        </w:tc>
        <w:tc>
          <w:tcPr>
            <w:tcW w:w="4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56"/>
              <w:spacing w:after="0" w:line="170" w:lineRule="exact"/>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(71,394)</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(41,001)</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1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(30,393)</w:t>
            </w:r>
          </w:p>
        </w:tc>
        <w:tc>
          <w:tcPr>
            <w:tcW w:w="20" w:type="dxa"/>
            <w:vAlign w:val="bottom"/>
            <w:tcBorders>
              <w:bottom w:val="single" w:sz="8" w:color="auto"/>
            </w:tcBorders>
          </w:tcPr>
          <w:p>
            <w:pPr>
              <w:spacing w:after="0"/>
              <w:rPr>
                <w:sz w:val="14"/>
                <w:szCs w:val="14"/>
                <w:color w:val="auto"/>
              </w:rPr>
            </w:pPr>
          </w:p>
        </w:tc>
        <w:tc>
          <w:tcPr>
            <w:tcW w:w="1320" w:type="dxa"/>
            <w:vAlign w:val="bottom"/>
          </w:tcPr>
          <w:p>
            <w:pPr>
              <w:jc w:val="right"/>
              <w:spacing w:after="0" w:line="170"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7"/>
          <w:szCs w:val="17"/>
          <w:color w:val="auto"/>
        </w:rPr>
        <w:t>Revenue increased $4.9 million, or 16%, to $35.5 million for the three months ended June 30, 2022, as compared to $30.6 million for the three months ended June 30, 2021, driven primarily by an increase in instrument and consumable revenue.</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On January 12, 2021, we entered into the Development and Commercialization Agreement, as amended by Amendment No. 1 to Development and Commercialization Agreement, entered into on June 3, 2021 (together, the “Original Agreement”), by and between us and Invitae Corporation (“Invitae”). On June 24, 2022, we entered into an Amended and Restated Development and Commercialization Agreement (the “Amended and Restated Agreement”). In consideration of the non-refundable payments received from Invitae pursuant to the Original Agreement of $23.5 million, we will provide Invitae with credits in connection with Invitae’s anticipated purchase of certain currently available and in-development sequencing systems (instruments and consumables). During the three months ended June 30, 2022, Invitae purchased certain currently available instruments, for which $3.7 million of revenue was recognized as Product Revenue on the Condensed Consolidated Statements of Operations and Comprehensive Loss under the terms of the Amended and Restated Agreement.</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Instrument revenue increased $1.3 million, or 9%, to $15.6 million for the three months ended June 30, 2022, as compared to $14.3 million for the three months ended June 30, 2021, primarily due to a higher average selling price of instruments slightly offset by fewer instruments sold. At June 30, 2022, our installed base was 460 Sequel II and Sequel IIe systems compared to the 282 systems at June 30, 2021. We expect the number of Sequel II/IIe placements to continue to grow during the remainder of 2022, reflecting our increased commercial presence and customer demand.</w:t>
      </w:r>
    </w:p>
    <w:p>
      <w:pPr>
        <w:spacing w:after="0" w:line="19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Consumables revenue increased $2.4 million, or 19%, to $14.6 million for the three months ended June 30, 2022, as compared to $12.2 million for the three months ended June 30, 2021. The increase in consumable sales was primarily attributable to higher Sequel II/IIe consumables sales from growth of the installed base.</w:t>
      </w:r>
    </w:p>
    <w:p>
      <w:pPr>
        <w:spacing w:after="0" w:line="144"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Service and other revenue increased $1.2 million, or 30%, to $5.3 million for the three months ended June 30, 2022, as compared to $4.1 million for the three months ended June 30, 2021, primarily due to service contracts sold on the growing installed base.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20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Cost of product revenue increased by $2.3 million, or 17%, to $15.5 million for the three months ended June 30, 2022, compared to $13.2 million for the three months ended June 30, 2021. The increase in cost of product revenue was primarily due to higher manufacturing costs due to increased consumables sales and higher instrument warranty costs.</w:t>
      </w:r>
    </w:p>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Gross profit increased $2.4 million, or 18%, to $16.2 million for the three months ended June 30, 2022, compared to $13.8 million for the three months ended June 30, 2021. Gross margin was 45.7% for the three months ended June 30, 2022, compared to gross margin of 44.9% for the three months ended June 30, 2021. The increase in gross margin percentage was partially driven by a multi-instrument order at higher average selling prices, as well as greater consumable and service revenue volume.</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global shortage of semiconductors and rising inflation continues to be a challenge in our supply chain and resulted in cost increases that have and may continue to adversely impact margins. During these periods of shortages or delays, the price of components may increase, or the components may not be available at all. We may not be able to secure enough components at reasonable prices or of acceptable quality to build new products in a timely manner in the quantities or configurations needed. Accordingly, our revenue and gross margins could suffer until other sources can be developed.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20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Research and development expense increased by $28.1 million, or 126%, to $50.3 million for the three months ended June 30, 2022, compared to the $22.3 million for three months ended June 30, 2021. The increase was primarily driven by increased personnel expenses of $9.0 million due to an increase in headcount, including the acquired workforce from the Omniome acquisition, and an increase of $11.3 million of product development costs and other related costs, which also included incremental expenses related to the acquisition of Omniome. In addition, facilities and information technology related expenses increased by $3.5 million during the three months ended June 30, 2022 compared to the three months ended June 30, 2021, primarily due to expenses related to our continuing operational expansion. Research and development expense included stock-based compensation expense of $7.7 million and $4.3 million during the three months ended June 30, 2022 and 2021, respectively.</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will continue to focus a significant portion of our resources on developing new products and solutions, including improving the efficiency and usability of existing products, developing new solutions, software, workflows and applications leveraging our core technologies.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We expect research and development expenses to continue increasing during the remainder of 2022, when compared to 2021, due to continued product development, a full year of expenses associated with the acquisition of Omniome and our intent to continue to hire additional personnel in research and development. We have collaborated and expect to continue to collaborate with strategic partners to develop sequencing solutions and expand the application of our technology.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General and Administrative Expense</w:t>
      </w:r>
    </w:p>
    <w:p>
      <w:pPr>
        <w:spacing w:after="0" w:line="20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Sales, general and administrative expense increased by $10.2 million, or 35%, to $39.3 million for the three months ended June 30, 2022, compared to $29.1 million for the three months ended June 30, 2021. The increase was primarily driven by a $2.6 million increase in personnel expenses, which included expenses for quota-carrying sales representatives, $2.0 million in travel expenses, $1.7 million increase in marketing expenses related to conferences and seminars and $1.6 million increase in consulting and professional fees. Sales, general and administrative expense included stock-based compensation expense of $10.3 million and $9.6 million during the three months ended June 30, 2022 and 2021, respectively.</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7"/>
          <w:szCs w:val="17"/>
          <w:color w:val="auto"/>
        </w:rPr>
        <w:t>Sales, general and administrative expense is planned to increase in 2022, when compared to 2021, as we incur a full year of expenses associated with the acquisition of Omniome and our prior year headcount growth.</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Consideration</w:t>
      </w: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9"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Change in fair value of contingent consideration of $5.4 million during the three months ended June 30, 2022, represents the remeasurement impact of the contingent consideration of $200 million (composed of $100 million in cash and $100 million in shares of our common stock) that is due upon the achievement of a milestone, defined as the first commercial shipment to a customer of both an instrument and related consumables, utilizing SBB technology. The decrease in contingent consideration liability was primarily due to the increase in discount rates.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Interest expense for the three months ended June 30, 2022, was $3.7 million compared to $3.6 million for the three months ended June 30, 2021 which was primarily comprised of interest on the Convertible Senior Notes.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80" w:type="dxa"/>
            <w:vAlign w:val="bottom"/>
          </w:tcPr>
          <w:p>
            <w:pPr>
              <w:spacing w:after="0"/>
              <w:rPr>
                <w:sz w:val="20"/>
                <w:szCs w:val="20"/>
                <w:color w:val="auto"/>
              </w:rPr>
            </w:pPr>
            <w:r>
              <w:rPr>
                <w:rFonts w:ascii="Arial" w:cs="Arial" w:eastAsia="Arial" w:hAnsi="Arial"/>
                <w:sz w:val="17"/>
                <w:szCs w:val="17"/>
                <w:b w:val="1"/>
                <w:bCs w:val="1"/>
                <w:i w:val="1"/>
                <w:iCs w:val="1"/>
                <w:color w:val="auto"/>
                <w:w w:val="98"/>
              </w:rPr>
              <w:t>Comparison of the Six Months Ended June 30, 2022 and 2021</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shd w:val="clear" w:color="auto" w:fill="FFFF00"/>
          </w:tcPr>
          <w:p>
            <w:pPr>
              <w:spacing w:after="0"/>
              <w:rPr>
                <w:sz w:val="15"/>
                <w:szCs w:val="15"/>
                <w:color w:val="auto"/>
              </w:rPr>
            </w:pPr>
          </w:p>
        </w:tc>
        <w:tc>
          <w:tcPr>
            <w:tcW w:w="1640" w:type="dxa"/>
            <w:vAlign w:val="bottom"/>
            <w:gridSpan w:val="4"/>
            <w:vMerge w:val="restart"/>
          </w:tcPr>
          <w:p>
            <w:pPr>
              <w:jc w:val="right"/>
              <w:ind w:right="580"/>
              <w:spacing w:after="0"/>
              <w:rPr>
                <w:sz w:val="20"/>
                <w:szCs w:val="20"/>
                <w:color w:val="auto"/>
              </w:rPr>
            </w:pPr>
            <w:r>
              <w:rPr>
                <w:rFonts w:ascii="Arial" w:cs="Arial" w:eastAsia="Arial" w:hAnsi="Arial"/>
                <w:sz w:val="17"/>
                <w:szCs w:val="17"/>
                <w:b w:val="1"/>
                <w:bCs w:val="1"/>
                <w:color w:val="auto"/>
                <w:w w:val="83"/>
              </w:rPr>
              <w:t>Ended June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77" w:lineRule="exact"/>
              <w:rPr>
                <w:sz w:val="20"/>
                <w:szCs w:val="20"/>
                <w:color w:val="auto"/>
              </w:rPr>
            </w:pPr>
            <w:r>
              <w:rPr>
                <w:rFonts w:ascii="Arial" w:cs="Arial" w:eastAsia="Arial" w:hAnsi="Arial"/>
                <w:sz w:val="17"/>
                <w:szCs w:val="17"/>
                <w:b w:val="1"/>
                <w:bCs w:val="1"/>
                <w:color w:val="auto"/>
              </w:rPr>
              <w:t>Six Months</w:t>
            </w:r>
          </w:p>
        </w:tc>
        <w:tc>
          <w:tcPr>
            <w:tcW w:w="16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7"/>
                <w:szCs w:val="17"/>
                <w:b w:val="1"/>
                <w:bCs w:val="1"/>
                <w:color w:val="auto"/>
              </w:rPr>
              <w:t>$ Change</w:t>
            </w:r>
          </w:p>
        </w:tc>
        <w:tc>
          <w:tcPr>
            <w:tcW w:w="1140" w:type="dxa"/>
            <w:vAlign w:val="bottom"/>
            <w:vMerge w:val="restart"/>
          </w:tcPr>
          <w:p>
            <w:pPr>
              <w:jc w:val="right"/>
              <w:ind w:right="96"/>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170"/>
        </w:trPr>
        <w:tc>
          <w:tcPr>
            <w:tcW w:w="4880" w:type="dxa"/>
            <w:vAlign w:val="bottom"/>
            <w:vMerge w:val="restart"/>
          </w:tcPr>
          <w:p>
            <w:pPr>
              <w:spacing w:after="0"/>
              <w:rPr>
                <w:sz w:val="20"/>
                <w:szCs w:val="20"/>
                <w:color w:val="auto"/>
              </w:rPr>
            </w:pPr>
            <w:r>
              <w:rPr>
                <w:rFonts w:ascii="Arial" w:cs="Arial" w:eastAsia="Arial" w:hAnsi="Arial"/>
                <w:sz w:val="17"/>
                <w:szCs w:val="17"/>
                <w:color w:val="auto"/>
              </w:rPr>
              <w:t>Revenue:</w:t>
            </w:r>
          </w:p>
        </w:tc>
        <w:tc>
          <w:tcPr>
            <w:tcW w:w="5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36"/>
              <w:spacing w:after="0" w:line="170" w:lineRule="exact"/>
              <w:rPr>
                <w:sz w:val="20"/>
                <w:szCs w:val="20"/>
                <w:color w:val="auto"/>
              </w:rPr>
            </w:pPr>
            <w:r>
              <w:rPr>
                <w:rFonts w:ascii="Arial" w:cs="Arial" w:eastAsia="Arial" w:hAnsi="Arial"/>
                <w:sz w:val="17"/>
                <w:szCs w:val="17"/>
                <w:b w:val="1"/>
                <w:bCs w:val="1"/>
                <w:color w:val="auto"/>
              </w:rPr>
              <w:t>2022</w:t>
            </w: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16"/>
              <w:spacing w:after="0" w:line="170"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6"/>
          </w:tcPr>
          <w:p>
            <w:pPr>
              <w:jc w:val="right"/>
              <w:ind w:right="540"/>
              <w:spacing w:after="0" w:line="170" w:lineRule="exact"/>
              <w:rPr>
                <w:sz w:val="20"/>
                <w:szCs w:val="20"/>
                <w:color w:val="auto"/>
              </w:rPr>
            </w:pPr>
            <w:r>
              <w:rPr>
                <w:rFonts w:ascii="Arial" w:cs="Arial" w:eastAsia="Arial" w:hAnsi="Arial"/>
                <w:sz w:val="17"/>
                <w:szCs w:val="17"/>
                <w:b w:val="1"/>
                <w:bCs w:val="1"/>
                <w:color w:val="auto"/>
                <w:w w:val="84"/>
              </w:rPr>
              <w:t>(in thousands, except percentages)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880" w:type="dxa"/>
            <w:vAlign w:val="bottom"/>
            <w:shd w:val="clear" w:color="auto" w:fill="CCEEFF"/>
          </w:tcPr>
          <w:p>
            <w:pPr>
              <w:ind w:left="400"/>
              <w:spacing w:after="0" w:line="177" w:lineRule="exact"/>
              <w:rPr>
                <w:sz w:val="20"/>
                <w:szCs w:val="20"/>
                <w:color w:val="auto"/>
              </w:rPr>
            </w:pPr>
            <w:r>
              <w:rPr>
                <w:rFonts w:ascii="Arial" w:cs="Arial" w:eastAsia="Arial" w:hAnsi="Arial"/>
                <w:sz w:val="17"/>
                <w:szCs w:val="17"/>
                <w:color w:val="auto"/>
              </w:rPr>
              <w:t>Product revenue</w:t>
            </w:r>
          </w:p>
        </w:tc>
        <w:tc>
          <w:tcPr>
            <w:tcW w:w="760" w:type="dxa"/>
            <w:vAlign w:val="bottom"/>
            <w:gridSpan w:val="2"/>
            <w:shd w:val="clear" w:color="auto" w:fill="CCEEFF"/>
          </w:tcPr>
          <w:p>
            <w:pPr>
              <w:jc w:val="right"/>
              <w:ind w:right="36"/>
              <w:spacing w:after="0" w:line="177"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16"/>
              <w:spacing w:after="0" w:line="177" w:lineRule="exact"/>
              <w:rPr>
                <w:sz w:val="20"/>
                <w:szCs w:val="20"/>
                <w:color w:val="auto"/>
              </w:rPr>
            </w:pPr>
            <w:r>
              <w:rPr>
                <w:rFonts w:ascii="Arial" w:cs="Arial" w:eastAsia="Arial" w:hAnsi="Arial"/>
                <w:sz w:val="17"/>
                <w:szCs w:val="17"/>
                <w:color w:val="auto"/>
              </w:rPr>
              <w:t>58,419</w:t>
            </w:r>
          </w:p>
        </w:tc>
        <w:tc>
          <w:tcPr>
            <w:tcW w:w="10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00"/>
              <w:spacing w:after="0" w:line="177" w:lineRule="exact"/>
              <w:rPr>
                <w:sz w:val="20"/>
                <w:szCs w:val="20"/>
                <w:color w:val="auto"/>
              </w:rPr>
            </w:pPr>
            <w:r>
              <w:rPr>
                <w:rFonts w:ascii="Arial" w:cs="Arial" w:eastAsia="Arial" w:hAnsi="Arial"/>
                <w:sz w:val="17"/>
                <w:szCs w:val="17"/>
                <w:color w:val="auto"/>
              </w:rPr>
              <w:t>51,836</w:t>
            </w:r>
          </w:p>
        </w:tc>
        <w:tc>
          <w:tcPr>
            <w:tcW w:w="300" w:type="dxa"/>
            <w:vAlign w:val="bottom"/>
            <w:gridSpan w:val="2"/>
            <w:shd w:val="clear" w:color="auto" w:fill="CCEEFF"/>
          </w:tcPr>
          <w:p>
            <w:pPr>
              <w:jc w:val="right"/>
              <w:ind w:right="46"/>
              <w:spacing w:after="0" w:line="177"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6,583</w:t>
            </w:r>
          </w:p>
        </w:tc>
        <w:tc>
          <w:tcPr>
            <w:tcW w:w="11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77"/>
        </w:trPr>
        <w:tc>
          <w:tcPr>
            <w:tcW w:w="4880" w:type="dxa"/>
            <w:vAlign w:val="bottom"/>
          </w:tcPr>
          <w:p>
            <w:pPr>
              <w:ind w:left="400"/>
              <w:spacing w:after="0" w:line="177" w:lineRule="exact"/>
              <w:rPr>
                <w:sz w:val="20"/>
                <w:szCs w:val="20"/>
                <w:color w:val="auto"/>
              </w:rPr>
            </w:pPr>
            <w:r>
              <w:rPr>
                <w:rFonts w:ascii="Arial" w:cs="Arial" w:eastAsia="Arial" w:hAnsi="Arial"/>
                <w:sz w:val="17"/>
                <w:szCs w:val="17"/>
                <w:color w:val="auto"/>
              </w:rPr>
              <w:t>Service and other revenue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77" w:lineRule="exact"/>
              <w:rPr>
                <w:sz w:val="20"/>
                <w:szCs w:val="20"/>
                <w:color w:val="auto"/>
              </w:rPr>
            </w:pPr>
            <w:r>
              <w:rPr>
                <w:rFonts w:ascii="Arial" w:cs="Arial" w:eastAsia="Arial" w:hAnsi="Arial"/>
                <w:sz w:val="17"/>
                <w:szCs w:val="17"/>
                <w:color w:val="auto"/>
              </w:rPr>
              <w:t>10,221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Arial" w:cs="Arial" w:eastAsia="Arial" w:hAnsi="Arial"/>
                <w:sz w:val="17"/>
                <w:szCs w:val="17"/>
                <w:color w:val="auto"/>
              </w:rPr>
              <w:t>7,771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2,450</w:t>
            </w:r>
          </w:p>
        </w:tc>
        <w:tc>
          <w:tcPr>
            <w:tcW w:w="1140" w:type="dxa"/>
            <w:vAlign w:val="bottom"/>
          </w:tcPr>
          <w:p>
            <w:pPr>
              <w:jc w:val="right"/>
              <w:spacing w:after="0" w:line="177"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70"/>
        </w:trPr>
        <w:tc>
          <w:tcPr>
            <w:tcW w:w="4880" w:type="dxa"/>
            <w:vAlign w:val="bottom"/>
            <w:tcBorders>
              <w:top w:val="single" w:sz="8" w:color="CCEEFF"/>
            </w:tcBorders>
            <w:shd w:val="clear" w:color="auto" w:fill="CCEEFF"/>
          </w:tcPr>
          <w:p>
            <w:pPr>
              <w:ind w:left="700"/>
              <w:spacing w:after="0" w:line="170" w:lineRule="exact"/>
              <w:rPr>
                <w:sz w:val="20"/>
                <w:szCs w:val="20"/>
                <w:color w:val="auto"/>
              </w:rPr>
            </w:pPr>
            <w:r>
              <w:rPr>
                <w:rFonts w:ascii="Arial" w:cs="Arial" w:eastAsia="Arial" w:hAnsi="Arial"/>
                <w:sz w:val="17"/>
                <w:szCs w:val="17"/>
                <w:color w:val="auto"/>
              </w:rPr>
              <w:t>Total revenue</w:t>
            </w:r>
          </w:p>
        </w:tc>
        <w:tc>
          <w:tcPr>
            <w:tcW w:w="5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68,640</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59,607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9,033</w:t>
            </w:r>
          </w:p>
        </w:tc>
        <w:tc>
          <w:tcPr>
            <w:tcW w:w="2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70"/>
        </w:trPr>
        <w:tc>
          <w:tcPr>
            <w:tcW w:w="4880" w:type="dxa"/>
            <w:vAlign w:val="bottom"/>
          </w:tcPr>
          <w:p>
            <w:pPr>
              <w:spacing w:after="0" w:line="170" w:lineRule="exact"/>
              <w:rPr>
                <w:sz w:val="20"/>
                <w:szCs w:val="20"/>
                <w:color w:val="auto"/>
              </w:rPr>
            </w:pPr>
            <w:r>
              <w:rPr>
                <w:rFonts w:ascii="Arial" w:cs="Arial" w:eastAsia="Arial" w:hAnsi="Arial"/>
                <w:sz w:val="17"/>
                <w:szCs w:val="17"/>
                <w:color w:val="auto"/>
              </w:rPr>
              <w:t>Cost of revenue: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880" w:type="dxa"/>
            <w:vAlign w:val="bottom"/>
            <w:shd w:val="clear" w:color="auto" w:fill="CCEEFF"/>
          </w:tcPr>
          <w:p>
            <w:pPr>
              <w:ind w:left="400"/>
              <w:spacing w:after="0" w:line="177" w:lineRule="exact"/>
              <w:rPr>
                <w:sz w:val="20"/>
                <w:szCs w:val="20"/>
                <w:color w:val="auto"/>
              </w:rPr>
            </w:pPr>
            <w:r>
              <w:rPr>
                <w:rFonts w:ascii="Arial" w:cs="Arial" w:eastAsia="Arial" w:hAnsi="Arial"/>
                <w:sz w:val="17"/>
                <w:szCs w:val="17"/>
                <w:color w:val="auto"/>
              </w:rPr>
              <w:t>Cost of product revenue</w:t>
            </w: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16"/>
              <w:spacing w:after="0" w:line="177" w:lineRule="exact"/>
              <w:rPr>
                <w:sz w:val="20"/>
                <w:szCs w:val="20"/>
                <w:color w:val="auto"/>
              </w:rPr>
            </w:pPr>
            <w:r>
              <w:rPr>
                <w:rFonts w:ascii="Arial" w:cs="Arial" w:eastAsia="Arial" w:hAnsi="Arial"/>
                <w:sz w:val="17"/>
                <w:szCs w:val="17"/>
                <w:color w:val="auto"/>
              </w:rPr>
              <w:t>30,319</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line="177" w:lineRule="exact"/>
              <w:rPr>
                <w:sz w:val="20"/>
                <w:szCs w:val="20"/>
                <w:color w:val="auto"/>
              </w:rPr>
            </w:pPr>
            <w:r>
              <w:rPr>
                <w:rFonts w:ascii="Arial" w:cs="Arial" w:eastAsia="Arial" w:hAnsi="Arial"/>
                <w:sz w:val="17"/>
                <w:szCs w:val="17"/>
                <w:color w:val="auto"/>
              </w:rPr>
              <w:t>25,919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4,400</w:t>
            </w:r>
          </w:p>
        </w:tc>
        <w:tc>
          <w:tcPr>
            <w:tcW w:w="11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77"/>
        </w:trPr>
        <w:tc>
          <w:tcPr>
            <w:tcW w:w="4880" w:type="dxa"/>
            <w:vAlign w:val="bottom"/>
          </w:tcPr>
          <w:p>
            <w:pPr>
              <w:ind w:left="400"/>
              <w:spacing w:after="0" w:line="177" w:lineRule="exact"/>
              <w:rPr>
                <w:sz w:val="20"/>
                <w:szCs w:val="20"/>
                <w:color w:val="auto"/>
              </w:rPr>
            </w:pPr>
            <w:r>
              <w:rPr>
                <w:rFonts w:ascii="Arial" w:cs="Arial" w:eastAsia="Arial" w:hAnsi="Arial"/>
                <w:sz w:val="17"/>
                <w:szCs w:val="17"/>
                <w:color w:val="auto"/>
              </w:rPr>
              <w:t>Cost of service and other revenue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16"/>
              <w:spacing w:after="0" w:line="177" w:lineRule="exact"/>
              <w:rPr>
                <w:sz w:val="20"/>
                <w:szCs w:val="20"/>
                <w:color w:val="auto"/>
              </w:rPr>
            </w:pPr>
            <w:r>
              <w:rPr>
                <w:rFonts w:ascii="Arial" w:cs="Arial" w:eastAsia="Arial" w:hAnsi="Arial"/>
                <w:sz w:val="17"/>
                <w:szCs w:val="17"/>
                <w:color w:val="auto"/>
              </w:rPr>
              <w:t>7,607</w:t>
            </w:r>
          </w:p>
        </w:tc>
        <w:tc>
          <w:tcPr>
            <w:tcW w:w="100" w:type="dxa"/>
            <w:vAlign w:val="bottom"/>
          </w:tcPr>
          <w:p>
            <w:pPr>
              <w:spacing w:after="0"/>
              <w:rPr>
                <w:sz w:val="15"/>
                <w:szCs w:val="15"/>
                <w:color w:val="auto"/>
              </w:rPr>
            </w:pPr>
          </w:p>
        </w:tc>
        <w:tc>
          <w:tcPr>
            <w:tcW w:w="1340" w:type="dxa"/>
            <w:vAlign w:val="bottom"/>
            <w:gridSpan w:val="2"/>
          </w:tcPr>
          <w:p>
            <w:pPr>
              <w:jc w:val="right"/>
              <w:ind w:right="100"/>
              <w:spacing w:after="0" w:line="177" w:lineRule="exact"/>
              <w:rPr>
                <w:sz w:val="20"/>
                <w:szCs w:val="20"/>
                <w:color w:val="auto"/>
              </w:rPr>
            </w:pPr>
            <w:r>
              <w:rPr>
                <w:rFonts w:ascii="Arial" w:cs="Arial" w:eastAsia="Arial" w:hAnsi="Arial"/>
                <w:sz w:val="17"/>
                <w:szCs w:val="17"/>
                <w:color w:val="auto"/>
              </w:rPr>
              <w:t>6,958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649</w:t>
            </w:r>
          </w:p>
        </w:tc>
        <w:tc>
          <w:tcPr>
            <w:tcW w:w="1140" w:type="dxa"/>
            <w:vAlign w:val="bottom"/>
          </w:tcPr>
          <w:p>
            <w:pPr>
              <w:jc w:val="right"/>
              <w:spacing w:after="0" w:line="177"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7"/>
        </w:trPr>
        <w:tc>
          <w:tcPr>
            <w:tcW w:w="4880" w:type="dxa"/>
            <w:vAlign w:val="bottom"/>
            <w:shd w:val="clear" w:color="auto" w:fill="CCEEFF"/>
          </w:tcPr>
          <w:p>
            <w:pPr>
              <w:ind w:left="400"/>
              <w:spacing w:after="0" w:line="177" w:lineRule="exact"/>
              <w:rPr>
                <w:sz w:val="20"/>
                <w:szCs w:val="20"/>
                <w:color w:val="auto"/>
              </w:rPr>
            </w:pPr>
            <w:r>
              <w:rPr>
                <w:rFonts w:ascii="Arial" w:cs="Arial" w:eastAsia="Arial" w:hAnsi="Arial"/>
                <w:sz w:val="17"/>
                <w:szCs w:val="17"/>
                <w:color w:val="auto"/>
              </w:rPr>
              <w:t>Amortization of intangible assets</w:t>
            </w: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366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line="17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366</w:t>
            </w:r>
          </w:p>
        </w:tc>
        <w:tc>
          <w:tcPr>
            <w:tcW w:w="11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CCEEFF"/>
            </w:tcBorders>
          </w:tcPr>
          <w:p>
            <w:pPr>
              <w:ind w:left="700"/>
              <w:spacing w:after="0" w:line="170" w:lineRule="exact"/>
              <w:rPr>
                <w:sz w:val="20"/>
                <w:szCs w:val="20"/>
                <w:color w:val="auto"/>
              </w:rPr>
            </w:pPr>
            <w:r>
              <w:rPr>
                <w:rFonts w:ascii="Arial" w:cs="Arial" w:eastAsia="Arial" w:hAnsi="Arial"/>
                <w:sz w:val="17"/>
                <w:szCs w:val="17"/>
                <w:color w:val="auto"/>
              </w:rPr>
              <w:t>Total cost of revenue</w:t>
            </w:r>
          </w:p>
        </w:tc>
        <w:tc>
          <w:tcPr>
            <w:tcW w:w="5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38,292</w:t>
            </w:r>
          </w:p>
        </w:tc>
        <w:tc>
          <w:tcPr>
            <w:tcW w:w="2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32,877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5,415</w:t>
            </w:r>
          </w:p>
        </w:tc>
        <w:tc>
          <w:tcPr>
            <w:tcW w:w="2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spacing w:after="0" w:line="170"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1120"/>
              <w:spacing w:after="0" w:line="170" w:lineRule="exact"/>
              <w:rPr>
                <w:sz w:val="20"/>
                <w:szCs w:val="20"/>
                <w:color w:val="auto"/>
              </w:rPr>
            </w:pPr>
            <w:r>
              <w:rPr>
                <w:rFonts w:ascii="Arial" w:cs="Arial" w:eastAsia="Arial" w:hAnsi="Arial"/>
                <w:sz w:val="17"/>
                <w:szCs w:val="17"/>
                <w:color w:val="auto"/>
              </w:rPr>
              <w:t>Gross profit</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30,348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26,730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3,618</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77"/>
        </w:trPr>
        <w:tc>
          <w:tcPr>
            <w:tcW w:w="4880" w:type="dxa"/>
            <w:vAlign w:val="bottom"/>
          </w:tcPr>
          <w:p>
            <w:pPr>
              <w:spacing w:after="0" w:line="177" w:lineRule="exact"/>
              <w:rPr>
                <w:sz w:val="20"/>
                <w:szCs w:val="20"/>
                <w:color w:val="auto"/>
              </w:rPr>
            </w:pPr>
            <w:r>
              <w:rPr>
                <w:rFonts w:ascii="Arial" w:cs="Arial" w:eastAsia="Arial" w:hAnsi="Arial"/>
                <w:sz w:val="17"/>
                <w:szCs w:val="17"/>
                <w:color w:val="auto"/>
              </w:rPr>
              <w:t>Operating expense: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80" w:type="dxa"/>
            <w:vAlign w:val="bottom"/>
            <w:shd w:val="clear" w:color="auto" w:fill="CCEEFF"/>
          </w:tcPr>
          <w:p>
            <w:pPr>
              <w:ind w:left="400"/>
              <w:spacing w:after="0" w:line="177" w:lineRule="exact"/>
              <w:rPr>
                <w:sz w:val="20"/>
                <w:szCs w:val="20"/>
                <w:color w:val="auto"/>
              </w:rPr>
            </w:pPr>
            <w:r>
              <w:rPr>
                <w:rFonts w:ascii="Arial" w:cs="Arial" w:eastAsia="Arial" w:hAnsi="Arial"/>
                <w:sz w:val="17"/>
                <w:szCs w:val="17"/>
                <w:color w:val="auto"/>
              </w:rPr>
              <w:t>Research and development</w:t>
            </w: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16"/>
              <w:spacing w:after="0" w:line="177" w:lineRule="exact"/>
              <w:rPr>
                <w:sz w:val="20"/>
                <w:szCs w:val="20"/>
                <w:color w:val="auto"/>
              </w:rPr>
            </w:pPr>
            <w:r>
              <w:rPr>
                <w:rFonts w:ascii="Arial" w:cs="Arial" w:eastAsia="Arial" w:hAnsi="Arial"/>
                <w:sz w:val="17"/>
                <w:szCs w:val="17"/>
                <w:color w:val="auto"/>
              </w:rPr>
              <w:t>103,285</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line="177" w:lineRule="exact"/>
              <w:rPr>
                <w:sz w:val="20"/>
                <w:szCs w:val="20"/>
                <w:color w:val="auto"/>
              </w:rPr>
            </w:pPr>
            <w:r>
              <w:rPr>
                <w:rFonts w:ascii="Arial" w:cs="Arial" w:eastAsia="Arial" w:hAnsi="Arial"/>
                <w:sz w:val="17"/>
                <w:szCs w:val="17"/>
                <w:color w:val="auto"/>
              </w:rPr>
              <w:t>42,815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60,470</w:t>
            </w:r>
          </w:p>
        </w:tc>
        <w:tc>
          <w:tcPr>
            <w:tcW w:w="11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177"/>
        </w:trPr>
        <w:tc>
          <w:tcPr>
            <w:tcW w:w="4880" w:type="dxa"/>
            <w:vAlign w:val="bottom"/>
          </w:tcPr>
          <w:p>
            <w:pPr>
              <w:ind w:left="400"/>
              <w:spacing w:after="0" w:line="177" w:lineRule="exact"/>
              <w:rPr>
                <w:sz w:val="20"/>
                <w:szCs w:val="20"/>
                <w:color w:val="auto"/>
              </w:rPr>
            </w:pPr>
            <w:r>
              <w:rPr>
                <w:rFonts w:ascii="Arial" w:cs="Arial" w:eastAsia="Arial" w:hAnsi="Arial"/>
                <w:sz w:val="17"/>
                <w:szCs w:val="17"/>
                <w:color w:val="auto"/>
              </w:rPr>
              <w:t>Sales, general and administrative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16"/>
              <w:spacing w:after="0" w:line="177" w:lineRule="exact"/>
              <w:rPr>
                <w:sz w:val="20"/>
                <w:szCs w:val="20"/>
                <w:color w:val="auto"/>
              </w:rPr>
            </w:pPr>
            <w:r>
              <w:rPr>
                <w:rFonts w:ascii="Arial" w:cs="Arial" w:eastAsia="Arial" w:hAnsi="Arial"/>
                <w:sz w:val="17"/>
                <w:szCs w:val="17"/>
                <w:color w:val="auto"/>
              </w:rPr>
              <w:t>79,056</w:t>
            </w:r>
          </w:p>
        </w:tc>
        <w:tc>
          <w:tcPr>
            <w:tcW w:w="100" w:type="dxa"/>
            <w:vAlign w:val="bottom"/>
          </w:tcPr>
          <w:p>
            <w:pPr>
              <w:spacing w:after="0"/>
              <w:rPr>
                <w:sz w:val="15"/>
                <w:szCs w:val="15"/>
                <w:color w:val="auto"/>
              </w:rPr>
            </w:pPr>
          </w:p>
        </w:tc>
        <w:tc>
          <w:tcPr>
            <w:tcW w:w="1340" w:type="dxa"/>
            <w:vAlign w:val="bottom"/>
            <w:gridSpan w:val="2"/>
          </w:tcPr>
          <w:p>
            <w:pPr>
              <w:jc w:val="right"/>
              <w:ind w:right="100"/>
              <w:spacing w:after="0" w:line="177" w:lineRule="exact"/>
              <w:rPr>
                <w:sz w:val="20"/>
                <w:szCs w:val="20"/>
                <w:color w:val="auto"/>
              </w:rPr>
            </w:pPr>
            <w:r>
              <w:rPr>
                <w:rFonts w:ascii="Arial" w:cs="Arial" w:eastAsia="Arial" w:hAnsi="Arial"/>
                <w:sz w:val="17"/>
                <w:szCs w:val="17"/>
                <w:color w:val="auto"/>
              </w:rPr>
              <w:t>55,198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23,858</w:t>
            </w:r>
          </w:p>
        </w:tc>
        <w:tc>
          <w:tcPr>
            <w:tcW w:w="1140" w:type="dxa"/>
            <w:vAlign w:val="bottom"/>
          </w:tcPr>
          <w:p>
            <w:pPr>
              <w:jc w:val="right"/>
              <w:spacing w:after="0" w:line="177"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77"/>
        </w:trPr>
        <w:tc>
          <w:tcPr>
            <w:tcW w:w="4880" w:type="dxa"/>
            <w:vAlign w:val="bottom"/>
            <w:shd w:val="clear" w:color="auto" w:fill="CCEEFF"/>
          </w:tcPr>
          <w:p>
            <w:pPr>
              <w:ind w:left="400"/>
              <w:spacing w:after="0" w:line="177" w:lineRule="exact"/>
              <w:rPr>
                <w:sz w:val="20"/>
                <w:szCs w:val="20"/>
                <w:color w:val="auto"/>
              </w:rPr>
            </w:pPr>
            <w:r>
              <w:rPr>
                <w:rFonts w:ascii="Arial" w:cs="Arial" w:eastAsia="Arial" w:hAnsi="Arial"/>
                <w:sz w:val="17"/>
                <w:szCs w:val="17"/>
                <w:color w:val="auto"/>
              </w:rPr>
              <w:t>Change in fair value of contingent consideration</w:t>
            </w: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(6,501)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line="17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(6,501)</w:t>
            </w:r>
          </w:p>
        </w:tc>
        <w:tc>
          <w:tcPr>
            <w:tcW w:w="11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CCEEFF"/>
            </w:tcBorders>
          </w:tcPr>
          <w:p>
            <w:pPr>
              <w:ind w:left="700"/>
              <w:spacing w:after="0" w:line="170" w:lineRule="exact"/>
              <w:rPr>
                <w:sz w:val="20"/>
                <w:szCs w:val="20"/>
                <w:color w:val="auto"/>
              </w:rPr>
            </w:pPr>
            <w:r>
              <w:rPr>
                <w:rFonts w:ascii="Arial" w:cs="Arial" w:eastAsia="Arial" w:hAnsi="Arial"/>
                <w:sz w:val="17"/>
                <w:szCs w:val="17"/>
                <w:color w:val="auto"/>
              </w:rPr>
              <w:t>Total operating expense</w:t>
            </w:r>
          </w:p>
        </w:tc>
        <w:tc>
          <w:tcPr>
            <w:tcW w:w="5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175,840</w:t>
            </w:r>
          </w:p>
        </w:tc>
        <w:tc>
          <w:tcPr>
            <w:tcW w:w="2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98,013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77,827</w:t>
            </w:r>
          </w:p>
        </w:tc>
        <w:tc>
          <w:tcPr>
            <w:tcW w:w="2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spacing w:after="0" w:line="170"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spacing w:after="0" w:line="170" w:lineRule="exact"/>
              <w:rPr>
                <w:sz w:val="20"/>
                <w:szCs w:val="20"/>
                <w:color w:val="auto"/>
              </w:rPr>
            </w:pPr>
            <w:r>
              <w:rPr>
                <w:rFonts w:ascii="Arial" w:cs="Arial" w:eastAsia="Arial" w:hAnsi="Arial"/>
                <w:sz w:val="17"/>
                <w:szCs w:val="17"/>
                <w:color w:val="auto"/>
              </w:rPr>
              <w:t>Operating loss</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(145,492)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(71,283)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(74,209)</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77"/>
        </w:trPr>
        <w:tc>
          <w:tcPr>
            <w:tcW w:w="4880" w:type="dxa"/>
            <w:vAlign w:val="bottom"/>
          </w:tcPr>
          <w:p>
            <w:pPr>
              <w:ind w:left="400"/>
              <w:spacing w:after="0" w:line="177" w:lineRule="exact"/>
              <w:rPr>
                <w:sz w:val="20"/>
                <w:szCs w:val="20"/>
                <w:color w:val="auto"/>
              </w:rPr>
            </w:pPr>
            <w:r>
              <w:rPr>
                <w:rFonts w:ascii="Arial" w:cs="Arial" w:eastAsia="Arial" w:hAnsi="Arial"/>
                <w:sz w:val="17"/>
                <w:szCs w:val="17"/>
                <w:color w:val="auto"/>
              </w:rPr>
              <w:t>Loss from continuation advances from Illumina</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77"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00"/>
              <w:spacing w:after="0" w:line="177" w:lineRule="exact"/>
              <w:rPr>
                <w:sz w:val="20"/>
                <w:szCs w:val="20"/>
                <w:color w:val="auto"/>
              </w:rPr>
            </w:pPr>
            <w:r>
              <w:rPr>
                <w:rFonts w:ascii="Arial" w:cs="Arial" w:eastAsia="Arial" w:hAnsi="Arial"/>
                <w:sz w:val="17"/>
                <w:szCs w:val="17"/>
                <w:color w:val="auto"/>
              </w:rPr>
              <w:t>(52,000)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52,000</w:t>
            </w:r>
          </w:p>
        </w:tc>
        <w:tc>
          <w:tcPr>
            <w:tcW w:w="1140" w:type="dxa"/>
            <w:vAlign w:val="bottom"/>
          </w:tcPr>
          <w:p>
            <w:pPr>
              <w:jc w:val="right"/>
              <w:spacing w:after="0" w:line="177"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77"/>
        </w:trPr>
        <w:tc>
          <w:tcPr>
            <w:tcW w:w="4880" w:type="dxa"/>
            <w:vAlign w:val="bottom"/>
            <w:shd w:val="clear" w:color="auto" w:fill="CCEEFF"/>
          </w:tcPr>
          <w:p>
            <w:pPr>
              <w:ind w:left="400"/>
              <w:spacing w:after="0" w:line="177" w:lineRule="exact"/>
              <w:rPr>
                <w:sz w:val="20"/>
                <w:szCs w:val="20"/>
                <w:color w:val="auto"/>
              </w:rPr>
            </w:pPr>
            <w:r>
              <w:rPr>
                <w:rFonts w:ascii="Arial" w:cs="Arial" w:eastAsia="Arial" w:hAnsi="Arial"/>
                <w:sz w:val="17"/>
                <w:szCs w:val="17"/>
                <w:color w:val="auto"/>
              </w:rPr>
              <w:t>Interest expense</w:t>
            </w: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16"/>
              <w:spacing w:after="0" w:line="177" w:lineRule="exact"/>
              <w:rPr>
                <w:sz w:val="20"/>
                <w:szCs w:val="20"/>
                <w:color w:val="auto"/>
              </w:rPr>
            </w:pPr>
            <w:r>
              <w:rPr>
                <w:rFonts w:ascii="Arial" w:cs="Arial" w:eastAsia="Arial" w:hAnsi="Arial"/>
                <w:sz w:val="17"/>
                <w:szCs w:val="17"/>
                <w:color w:val="auto"/>
              </w:rPr>
              <w:t>(7,378)</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line="177" w:lineRule="exact"/>
              <w:rPr>
                <w:sz w:val="20"/>
                <w:szCs w:val="20"/>
                <w:color w:val="auto"/>
              </w:rPr>
            </w:pPr>
            <w:r>
              <w:rPr>
                <w:rFonts w:ascii="Arial" w:cs="Arial" w:eastAsia="Arial" w:hAnsi="Arial"/>
                <w:sz w:val="17"/>
                <w:szCs w:val="17"/>
                <w:color w:val="auto"/>
              </w:rPr>
              <w:t>(5,378)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7"/>
                <w:szCs w:val="17"/>
                <w:color w:val="auto"/>
              </w:rPr>
              <w:t>(2,000)</w:t>
            </w:r>
          </w:p>
        </w:tc>
        <w:tc>
          <w:tcPr>
            <w:tcW w:w="11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77"/>
        </w:trPr>
        <w:tc>
          <w:tcPr>
            <w:tcW w:w="4880" w:type="dxa"/>
            <w:vAlign w:val="bottom"/>
          </w:tcPr>
          <w:p>
            <w:pPr>
              <w:ind w:left="400"/>
              <w:spacing w:after="0" w:line="177" w:lineRule="exact"/>
              <w:rPr>
                <w:sz w:val="20"/>
                <w:szCs w:val="20"/>
                <w:color w:val="auto"/>
              </w:rPr>
            </w:pPr>
            <w:r>
              <w:rPr>
                <w:rFonts w:ascii="Arial" w:cs="Arial" w:eastAsia="Arial" w:hAnsi="Arial"/>
                <w:sz w:val="17"/>
                <w:szCs w:val="17"/>
                <w:color w:val="auto"/>
              </w:rPr>
              <w:t>Other (expense) income, net</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77" w:lineRule="exact"/>
              <w:rPr>
                <w:sz w:val="20"/>
                <w:szCs w:val="20"/>
                <w:color w:val="auto"/>
              </w:rPr>
            </w:pPr>
            <w:r>
              <w:rPr>
                <w:rFonts w:ascii="Arial" w:cs="Arial" w:eastAsia="Arial" w:hAnsi="Arial"/>
                <w:sz w:val="17"/>
                <w:szCs w:val="17"/>
                <w:color w:val="auto"/>
              </w:rPr>
              <w:t>(23)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Arial" w:cs="Arial" w:eastAsia="Arial" w:hAnsi="Arial"/>
                <w:sz w:val="17"/>
                <w:szCs w:val="17"/>
                <w:color w:val="auto"/>
              </w:rPr>
              <w:t>225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(248)</w:t>
            </w:r>
          </w:p>
        </w:tc>
        <w:tc>
          <w:tcPr>
            <w:tcW w:w="1140" w:type="dxa"/>
            <w:vAlign w:val="bottom"/>
          </w:tcPr>
          <w:p>
            <w:pPr>
              <w:jc w:val="right"/>
              <w:spacing w:after="0" w:line="177"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70"/>
        </w:trPr>
        <w:tc>
          <w:tcPr>
            <w:tcW w:w="48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7"/>
                <w:szCs w:val="17"/>
                <w:color w:val="auto"/>
              </w:rPr>
              <w:t>Net loss</w:t>
            </w: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16"/>
              <w:spacing w:after="0" w:line="170" w:lineRule="exact"/>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(152,893)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(128,436)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6"/>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(24,457)</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-2687320</wp:posOffset>
            </wp:positionV>
            <wp:extent cx="7141210" cy="4737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47371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Revenue increased $9.0 million, or 15%, to $68.6 million for the six months ended June 30, 2022, as compared to $59.6 million for the six months ended June 30, 2021, driven primarily by an increase in consumable and service revenue from the growth in the installed base of Sequel II/IIe instruments.</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consideration of the non-refundable payments received from Invitae pursuant to the Original Agreement of $23.5 million, we will provide Invitae with credits in connection with Invitae’s anticipated purchase of certain currently available and in-development sequencing systems (instruments and consumables). During the six months ended June 30, 2022, Invitae purchased certain currently available instruments, for which $3.7 million of revenue was recognized as Product Revenue on the Condensed Consolidated Statements of Operations and Comprehensive Loss under the terms of the Amended and Restated Agreement.</w:t>
      </w:r>
    </w:p>
    <w:p>
      <w:pPr>
        <w:spacing w:after="0" w:line="173"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Instrument revenue increased $1.9 million, or 7%, to $31.2 million for the six months ended June 30, 2022, as compared to $29.2 million for the six months ended June 30, 2021, primarily due to an increase in instruments sold. At June 30, 2022, our installed base was 460 Sequel II and Sequel IIe systems compared to the 282 systems at June 30, 2021. We expect the number of Sequel II/IIe placements to continue to grow during the remainder of 2022, reflecting our increased commercial presence and customer demand.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Consumables revenue increased $4.6 million, or 20%, to $27.3 million for the six months ended June 30, 2022, as compared to $22.6 million for the six months ended June 30, 2021. The increase in consumable sales was primarily attributable to higher Sequel II/IIe consumables sales from growth of the installed base.</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7"/>
          <w:szCs w:val="17"/>
          <w:color w:val="auto"/>
        </w:rPr>
        <w:t>Service and other revenue increased $2.5 million, or 32%, to $10.2 million for the six months ended June 30, 2022, as compared to $7.8 million for the six months ended June 30, 2021, primarily due to service contracts sold on the growing installed base.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Cost of product revenue increased by $4.4 million, or 17%, to $30.3 million for the six months ended June 30, 2022, compared to $25.9 million for the six months ended June 30, 2021. The increase in cost of product revenue was primarily due to the increase in instrument sales and higher average product costs.</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7"/>
          <w:szCs w:val="17"/>
          <w:color w:val="auto"/>
        </w:rPr>
        <w:t>Cost of service and other revenue increased by $0.6 million, or 9%, to $7.6 million for the six months ended June 30, 2022, compared to $7.0 million for the six months ended June 30, 2021, primarily due to higher service volumes from our growing installed base.</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Gross profit increased $3.6 million, or 14%, to $30.3 million for the six months ended June 30, 2022, compared to the six months ended June 30, 2021. Gross margin was 44.2% for the six months ended June 30, 2022, compared to gross margin of 44.8% for the six months ended June 30, 2021. The slight decrease in gross margin percentage was primarily due to increased product costs during the six months ended June 30, 2022, compared to the six months ended June 30, 2021.</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global shortage of semiconductors continues to be a challenge for us in our supply chain and resulted in cost increases that have and may continue to adversely impact margins. During these periods of shortages or delays, the price of components may increase, or the components may not be available at all. Additionally, in response to the surge in COVID-19 infections in the first half of 2022, the Chinese government imposed lockdowns in certain parts of the country, which has had, and may continue to have, a negative impact on manufacturing and/or supply chains, as well as customer demand for our products and demand through certain distributors. We may not be able to secure enough components at reasonable prices or of acceptable quality to build new products in a timely manner in the quantities or configurations needed. Accordingly, our revenue and gross margins could suffer until other sources can be developed.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209"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Research and development expense increased by $60.5 million, or 141%, to $103.3 million for the six months ended June 30, 2022, compared to $42.8 million for the six months ended June 30, 2021. This change was primarily driven by a $19.4 million increase in personnel expenses due to an increase in headcount, including the acquired workforce from the Omniome acquisition, and an increase of $23.2 million of product development costs and other related costs. In addition, facilities and information technology related expenses increased $7.0 million to support our operational expansion during the six months ended June 30, 2022 compared to the six months ended June 30, 2021. Research and development expense included stock-based compensation expense of $16.7 million and $7.4 million during the six months ended June 30, 2022 and 2021, respectively.</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will continue to focus a significant portion of our resources on developing new products and solutions, including improving the efficiency and usability of existing products, developing new solutions, software, workflows and applications leveraging our core technologies.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General and Administrative Expense</w:t>
      </w:r>
    </w:p>
    <w:p>
      <w:pPr>
        <w:spacing w:after="0" w:line="20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Sales, general and administrative expense increased by $23.9 million, or 43%, to $79.1 million for the six months ended June 30, 2022, compared to $55.2 million for the six months ended June 30, 2021. This increase was primarily driven by $4.6 million increase in personnel expenses due to an increase in headcount, $4.0 million increase in consulting and professional fees, $2.6 million increase in travel expenses, $2.2 million increase in marketing expenses related to conferences and seminars. Sales, general and administrative expense included stock-based compensation expense of $22.3 million and $15.7 million during the six months ended June 30, 2022 and 2021, respectively.</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7"/>
          <w:szCs w:val="17"/>
          <w:color w:val="auto"/>
        </w:rPr>
        <w:t>Sales, general and administrative expense is planned to increase in 2022, when compared to 2021, as we incur a full year of expenses associated with the acquisition of Omniome and our prior year headcount growth.</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Consideration</w:t>
      </w:r>
    </w:p>
    <w:p>
      <w:pPr>
        <w:spacing w:after="0" w:line="209"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Change in fair value of contingent consideration of $6.5 million during the six months ended June 30, 2022, represents the remeasurement impact of the contingent consideration of $200 million (composed of $100 million in cash and $100 million in shares of our common stock) that is due upon the achievement of a milestone, defined as the first commercial shipment to a customer of both an instrument and related consumables, utilizing SBB technology. The decrease in contingent consideration liability was primarily due to the increase in discount rates.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Continuation Advances from Illumina</w:t>
      </w:r>
    </w:p>
    <w:p>
      <w:pPr>
        <w:spacing w:after="0" w:line="20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As part of the Termination Agreement, Illumina paid us Continuation Advances totaling $52.0 million, which was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7"/>
          <w:szCs w:val="17"/>
          <w:color w:val="auto"/>
        </w:rPr>
        <w:t>Resulting from the issuance and sale of $900 million of 1.50% Convertible Senior Notes due February 15, 2028, $52.0 million of Continuation Advances were paid without interest to Illumina in February 2021 and recorded as other expense in the six months ended June 30, 2021.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Interest expense for the six months ended June 30, 2022 was $7.4 million compared to $5.4 million for the six months ended June 30, 2021. The increase was primarily due to the six months of interest incurred on the $900 million of 1.50% Convertible Senior Notes due February 15, 2028 that we issued on February 16, 2021 during the six months ended June 30, 2022 compared to only four months of interest during the six months ended June 30, 2021.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Our primary sources of liquidity, other than our holdings of cash, cash equivalents, and investments, has primarily been through the issuance of debt or equity securities, together with cash flow from operating activities. We have historically incurred, and expect to continue to incur, operating losses and generate negative cash flows from operations on an annual basis due to the investments we intend to make as described in Results of Operations above, and as a result, we may require additional capital resources to execute our strategic initiatives to grow our business.</w:t>
      </w:r>
    </w:p>
    <w:p>
      <w:pPr>
        <w:spacing w:after="0" w:line="21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As of June 30, 2022, we had cash, cash equivalents and investments of $899.2 million compared to $1.04 billion as of December 31, 2021. We believe that our existing cash, cash equivalents and investments will be sufficient to fund our projected operating requirements beyond the next 12 months from the date of filing of this Quarterly Report on Form 10-Q for the quarter ended June 30, 2022.</w:t>
      </w:r>
    </w:p>
    <w:p>
      <w:pPr>
        <w:spacing w:after="0" w:line="204"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Factors that may affect our capital needs include, but are not limited to, the pace of adoption of our products, which affects the sales of our products and services; our ability to obtain new collaboration and customer arrangements and maintain existing collaborations and arrangements; the progress of our research and development programs; initiation or expansion of research programs and collaborations; the purchase of patent licenses; future acquisitions; manufacturing costs; service costs; the impact of product quality; litigation costs, including the costs involved in preparing, filing, prosecuting, defending and enforcing intellectual property rights; costs of developing new and enhanced products; acquisitions of complementary businesses, technologies or assets; and other factors. There can be no assurance that funds will be available on favorable terms, or at all.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40" w:type="dxa"/>
            <w:vAlign w:val="bottom"/>
          </w:tcPr>
          <w:p>
            <w:pPr>
              <w:spacing w:after="0"/>
              <w:rPr>
                <w:sz w:val="20"/>
                <w:szCs w:val="20"/>
                <w:color w:val="auto"/>
              </w:rPr>
            </w:pPr>
            <w:r>
              <w:rPr>
                <w:rFonts w:ascii="Arial" w:cs="Arial" w:eastAsia="Arial" w:hAnsi="Arial"/>
                <w:sz w:val="17"/>
                <w:szCs w:val="17"/>
                <w:b w:val="1"/>
                <w:bCs w:val="1"/>
                <w:i w:val="1"/>
                <w:iCs w:val="1"/>
                <w:color w:val="auto"/>
              </w:rPr>
              <w:t>Summary of Cash Flows</w:t>
            </w: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170"/>
        </w:trPr>
        <w:tc>
          <w:tcPr>
            <w:tcW w:w="624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6"/>
              <w:spacing w:after="0" w:line="170" w:lineRule="exact"/>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6"/>
              <w:spacing w:after="0" w:line="170" w:lineRule="exact"/>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70"/>
        </w:trPr>
        <w:tc>
          <w:tcPr>
            <w:tcW w:w="6240" w:type="dxa"/>
            <w:vAlign w:val="bottom"/>
            <w:shd w:val="clear" w:color="auto" w:fill="CCEEFF"/>
          </w:tcPr>
          <w:p>
            <w:pPr>
              <w:spacing w:after="0" w:line="170" w:lineRule="exact"/>
              <w:rPr>
                <w:sz w:val="20"/>
                <w:szCs w:val="20"/>
                <w:color w:val="auto"/>
              </w:rPr>
            </w:pPr>
            <w:r>
              <w:rPr>
                <w:rFonts w:ascii="Arial" w:cs="Arial" w:eastAsia="Arial" w:hAnsi="Arial"/>
                <w:sz w:val="17"/>
                <w:szCs w:val="17"/>
                <w:color w:val="auto"/>
              </w:rPr>
              <w:t>Cash used in operating activities</w:t>
            </w:r>
          </w:p>
        </w:tc>
        <w:tc>
          <w:tcPr>
            <w:tcW w:w="16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1"/>
              <w:spacing w:after="0" w:line="170" w:lineRule="exact"/>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(139,592)</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1"/>
              <w:spacing w:after="0" w:line="170" w:lineRule="exact"/>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(38,816)</w:t>
            </w:r>
          </w:p>
        </w:tc>
        <w:tc>
          <w:tcPr>
            <w:tcW w:w="0" w:type="dxa"/>
            <w:vAlign w:val="bottom"/>
          </w:tcPr>
          <w:p>
            <w:pPr>
              <w:spacing w:after="0"/>
              <w:rPr>
                <w:sz w:val="1"/>
                <w:szCs w:val="1"/>
                <w:color w:val="auto"/>
              </w:rPr>
            </w:pPr>
          </w:p>
        </w:tc>
      </w:tr>
      <w:tr>
        <w:trPr>
          <w:trHeight w:val="177"/>
        </w:trPr>
        <w:tc>
          <w:tcPr>
            <w:tcW w:w="6240" w:type="dxa"/>
            <w:vAlign w:val="bottom"/>
          </w:tcPr>
          <w:p>
            <w:pPr>
              <w:spacing w:after="0" w:line="177" w:lineRule="exact"/>
              <w:rPr>
                <w:sz w:val="20"/>
                <w:szCs w:val="20"/>
                <w:color w:val="auto"/>
              </w:rPr>
            </w:pPr>
            <w:r>
              <w:rPr>
                <w:rFonts w:ascii="Arial" w:cs="Arial" w:eastAsia="Arial" w:hAnsi="Arial"/>
                <w:sz w:val="17"/>
                <w:szCs w:val="17"/>
                <w:color w:val="auto"/>
              </w:rPr>
              <w:t>Cash used in investing activities</w:t>
            </w: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jc w:val="right"/>
              <w:ind w:right="220"/>
              <w:spacing w:after="0" w:line="177" w:lineRule="exact"/>
              <w:rPr>
                <w:sz w:val="20"/>
                <w:szCs w:val="20"/>
                <w:color w:val="auto"/>
              </w:rPr>
            </w:pPr>
            <w:r>
              <w:rPr>
                <w:rFonts w:ascii="Arial" w:cs="Arial" w:eastAsia="Arial" w:hAnsi="Arial"/>
                <w:sz w:val="17"/>
                <w:szCs w:val="17"/>
                <w:color w:val="auto"/>
              </w:rPr>
              <w:t>(18,228)</w:t>
            </w:r>
          </w:p>
        </w:tc>
        <w:tc>
          <w:tcPr>
            <w:tcW w:w="360" w:type="dxa"/>
            <w:vAlign w:val="bottom"/>
          </w:tcPr>
          <w:p>
            <w:pPr>
              <w:spacing w:after="0"/>
              <w:rPr>
                <w:sz w:val="15"/>
                <w:szCs w:val="15"/>
                <w:color w:val="auto"/>
              </w:rPr>
            </w:pPr>
          </w:p>
        </w:tc>
        <w:tc>
          <w:tcPr>
            <w:tcW w:w="1180" w:type="dxa"/>
            <w:vAlign w:val="bottom"/>
          </w:tcPr>
          <w:p>
            <w:pPr>
              <w:jc w:val="right"/>
              <w:spacing w:after="0" w:line="177" w:lineRule="exact"/>
              <w:rPr>
                <w:sz w:val="20"/>
                <w:szCs w:val="20"/>
                <w:color w:val="auto"/>
              </w:rPr>
            </w:pPr>
            <w:r>
              <w:rPr>
                <w:rFonts w:ascii="Arial" w:cs="Arial" w:eastAsia="Arial" w:hAnsi="Arial"/>
                <w:sz w:val="17"/>
                <w:szCs w:val="17"/>
                <w:color w:val="auto"/>
              </w:rPr>
              <w:t>(452,638)</w:t>
            </w:r>
          </w:p>
        </w:tc>
        <w:tc>
          <w:tcPr>
            <w:tcW w:w="0" w:type="dxa"/>
            <w:vAlign w:val="bottom"/>
          </w:tcPr>
          <w:p>
            <w:pPr>
              <w:spacing w:after="0"/>
              <w:rPr>
                <w:sz w:val="1"/>
                <w:szCs w:val="1"/>
                <w:color w:val="auto"/>
              </w:rPr>
            </w:pPr>
          </w:p>
        </w:tc>
      </w:tr>
      <w:tr>
        <w:trPr>
          <w:trHeight w:val="177"/>
        </w:trPr>
        <w:tc>
          <w:tcPr>
            <w:tcW w:w="624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Cash provided by financing activities</w:t>
            </w:r>
          </w:p>
        </w:tc>
        <w:tc>
          <w:tcPr>
            <w:tcW w:w="16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5,670</w:t>
            </w:r>
          </w:p>
        </w:tc>
        <w:tc>
          <w:tcPr>
            <w:tcW w:w="2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7"/>
                <w:szCs w:val="17"/>
                <w:color w:val="auto"/>
              </w:rPr>
              <w:t>868,601</w:t>
            </w:r>
          </w:p>
        </w:tc>
        <w:tc>
          <w:tcPr>
            <w:tcW w:w="0" w:type="dxa"/>
            <w:vAlign w:val="bottom"/>
          </w:tcPr>
          <w:p>
            <w:pPr>
              <w:spacing w:after="0"/>
              <w:rPr>
                <w:sz w:val="1"/>
                <w:szCs w:val="1"/>
                <w:color w:val="auto"/>
              </w:rPr>
            </w:pPr>
          </w:p>
        </w:tc>
      </w:tr>
      <w:tr>
        <w:trPr>
          <w:trHeight w:val="170"/>
        </w:trPr>
        <w:tc>
          <w:tcPr>
            <w:tcW w:w="6240" w:type="dxa"/>
            <w:vAlign w:val="bottom"/>
          </w:tcPr>
          <w:p>
            <w:pPr>
              <w:spacing w:after="0" w:line="170" w:lineRule="exact"/>
              <w:rPr>
                <w:sz w:val="20"/>
                <w:szCs w:val="20"/>
                <w:color w:val="auto"/>
              </w:rPr>
            </w:pPr>
            <w:r>
              <w:rPr>
                <w:rFonts w:ascii="Arial" w:cs="Arial" w:eastAsia="Arial" w:hAnsi="Arial"/>
                <w:sz w:val="17"/>
                <w:szCs w:val="17"/>
                <w:color w:val="auto"/>
              </w:rPr>
              <w:t>Net (decrease) increase in cash, cash equivalents and restricted cash</w:t>
            </w:r>
          </w:p>
        </w:tc>
        <w:tc>
          <w:tcPr>
            <w:tcW w:w="1660" w:type="dxa"/>
            <w:vAlign w:val="bottom"/>
          </w:tcPr>
          <w:p>
            <w:pPr>
              <w:spacing w:after="0"/>
              <w:rPr>
                <w:sz w:val="14"/>
                <w:szCs w:val="14"/>
                <w:color w:val="auto"/>
              </w:rPr>
            </w:pPr>
          </w:p>
        </w:tc>
        <w:tc>
          <w:tcPr>
            <w:tcW w:w="360" w:type="dxa"/>
            <w:vAlign w:val="bottom"/>
            <w:tcBorders>
              <w:bottom w:val="single" w:sz="8" w:color="auto"/>
            </w:tcBorders>
          </w:tcPr>
          <w:p>
            <w:pPr>
              <w:jc w:val="right"/>
              <w:ind w:right="201"/>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(152,150)</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ind w:right="201"/>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377,147</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primary uses of cash in operating activities include the development of future products and product enhancements, manufacturing, and support functions related to our sales, general and administrative activities.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used $139.6 million of cash in operating activities for the six months ended June 30, 2022, compared to cash used in operating activities of $38.8 million for the six months ended June 30, 2021.</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Cash used in operating activities for the six months ended June 30, 2022, of $139.6 million was due primarily to a $152.9 million net loss that included non-cash items such as stock-based compensation of $41.7 million, depreciation expense of $4.6 million, amortization of right-of-use assets of $3.4 million, amortization of investment premium of $1.1 million, partially offset by a $6.5 million decrease in liability due to the change in estimated fair value of contingent consideration, and a net cash outflow due to $31.9 million in net changes to operating assets and liabilities. The change in net operating assets and liabilities was primarily attributable to a $13.2 million increase in inventory, a $11.4 million decrease in accrued expenses, a $3.8 million decrease in operating lease liabilities, a $2.8 million increase in accounts receivable, a $2.1 million decrease in deferred revenue, partially offset by a $1.3 million increase in accounts payable.</w:t>
      </w:r>
    </w:p>
    <w:p>
      <w:pPr>
        <w:spacing w:after="0" w:line="155"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Cash used in operating activities for the six months ended June 30, 2021 was due primarily to a $128.4 million net loss, partially offset by a loss of $52.0 million from Continuation Advances repaid to Illumina that is considered a financing activity, non-cash items such as stock-based compensation of $26.0 million and depreciation of $3.2 million and a net change in operating assets and liabilities of $4.9 million. The change in net operating assets and liabilities was primarily attributable to increases of $9.4 million in deferred revenue and $5.6 million in accrued expenses, partially offset by increases of $5.0 million in inventory and $3.1 million in accounts receivable and a decrease of $2.1 million in operating lease liabilities.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Our investing activities consist primarily of capital expenditures and investment purchases, sales and maturities. Cash used in investing activities for the six months ended June 30, 2022, was due to $241.1 million in purchases of investments offset by $230.5 million in maturities of investments, and $7.7 million in purchases of property and equipment.</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color w:val="auto"/>
        </w:rPr>
        <w:t>Cash used in investing activities for the six months ended June 30, 2021 was due primarily to net purchases of investments of $450.7 million and purchases of property and equipment of $2.0 million.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Cash provided by financing activities was $5.7 million and $868.6 million for the six months ended June 30, 2022 and 2021, respectively. Cash provided by financing activities during the six months ended June 30, 2022 primarily resulted from proceeds of $6.4 million from the issuance of common stock through our equity compensation plans.</w:t>
      </w:r>
    </w:p>
    <w:p>
      <w:pPr>
        <w:spacing w:after="0" w:line="16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Cash provided by financing activities during the six months ended June 30, 2021 resulted from the net proceeds of $895.5 million from our February 2021 issuance of $900 million of 1.50% Convertible Senior Notes after deducting debt issuance costs and proceeds of $25.3 million from the issuance of common stock through our equity compensation plans, partially offset by $52.0 million of Continuation Advances repaid to Illumina.</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8"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There have been no changes to our significant accounting policies as disclosed in the Annual Report on Form 10-K for the year ended December 31, 2021; however, as a result of certain changes to the standard contractual terms and conditions with customers implemented during the quarter ended March 31, 2022, we concluded that a change in the application of our accounting policy, in accordance with ASC 606, was appropriate.</w:t>
      </w:r>
    </w:p>
    <w:p>
      <w:pPr>
        <w:spacing w:after="0" w:line="166"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Specifically, we modified the standard contractual terms with customers during the first quarter of 2022, to reflect transfer of title and risk of loss and right to invoice upon delivery. We also updated the terms of the warranty provided with the instrument to remove the service component. As a result, the warranty is no longer a separate performance obligation and, accordingly, we accrue for the cost of the assurance warranty when revenue of the instrument is recognized. In addition, because of technical enhancements associated with our more recent instrument releases, including the Sequel IIe systems, installation services are now distinct from the instrument itself. Therefore, instrument revenue is now recognized upon transfer of control of the asset to the customer, which is generally upon delivery for sales made to our non-distributor customers.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3" w:lineRule="exact"/>
        <w:rPr>
          <w:sz w:val="20"/>
          <w:szCs w:val="20"/>
          <w:color w:val="auto"/>
        </w:rPr>
      </w:pPr>
    </w:p>
    <w:p>
      <w:pPr>
        <w:ind w:right="120"/>
        <w:spacing w:after="0" w:line="302" w:lineRule="auto"/>
        <w:rPr>
          <w:rFonts w:ascii="Arial" w:cs="Arial" w:eastAsia="Arial" w:hAnsi="Arial"/>
          <w:sz w:val="17"/>
          <w:szCs w:val="17"/>
          <w:color w:val="auto"/>
        </w:rPr>
      </w:pPr>
      <w:r>
        <w:rPr>
          <w:rFonts w:ascii="Arial" w:cs="Arial" w:eastAsia="Arial" w:hAnsi="Arial"/>
          <w:sz w:val="17"/>
          <w:szCs w:val="17"/>
          <w:color w:val="auto"/>
        </w:rPr>
        <w:t xml:space="preserve">Please see </w:t>
      </w:r>
      <w:hyperlink w:anchor="page7">
        <w:r>
          <w:rPr>
            <w:rFonts w:ascii="Arial" w:cs="Arial" w:eastAsia="Arial" w:hAnsi="Arial"/>
            <w:sz w:val="17"/>
            <w:szCs w:val="17"/>
            <w:i w:val="1"/>
            <w:iCs w:val="1"/>
            <w:u w:val="single" w:color="auto"/>
            <w:color w:val="0000FF"/>
          </w:rPr>
          <w:t>Note 1. Organization and Significant Accounting Policies</w:t>
        </w:r>
      </w:hyperlink>
      <w:r>
        <w:rPr>
          <w:rFonts w:ascii="Arial" w:cs="Arial" w:eastAsia="Arial" w:hAnsi="Arial"/>
          <w:sz w:val="17"/>
          <w:szCs w:val="17"/>
          <w:color w:val="auto"/>
        </w:rPr>
        <w:t>, subsection titled “Recent Accounting Pronouncements”, in Part II, Item 8 of the Annual Report on Form 10-K for information regarding applicable recent accounting pronouncements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we did not have any off-balance sheet arrangements.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69" w:lineRule="exact"/>
        <w:rPr>
          <w:sz w:val="20"/>
          <w:szCs w:val="20"/>
          <w:color w:val="auto"/>
        </w:rPr>
      </w:pPr>
    </w:p>
    <w:p>
      <w:pPr>
        <w:jc w:val="both"/>
        <w:spacing w:after="0" w:line="255" w:lineRule="auto"/>
        <w:rPr>
          <w:rFonts w:ascii="Arial" w:cs="Arial" w:eastAsia="Arial" w:hAnsi="Arial"/>
          <w:sz w:val="15"/>
          <w:szCs w:val="15"/>
          <w:i w:val="1"/>
          <w:iCs w:val="1"/>
          <w:color w:val="0000FF"/>
        </w:rPr>
      </w:pPr>
      <w:r>
        <w:rPr>
          <w:rFonts w:ascii="Arial" w:cs="Arial" w:eastAsia="Arial" w:hAnsi="Arial"/>
          <w:sz w:val="15"/>
          <w:szCs w:val="15"/>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w:t>
      </w:r>
      <w:hyperlink w:anchor="page19">
        <w:r>
          <w:rPr>
            <w:rFonts w:ascii="Arial" w:cs="Arial" w:eastAsia="Arial" w:hAnsi="Arial"/>
            <w:sz w:val="15"/>
            <w:szCs w:val="15"/>
            <w:color w:val="auto"/>
          </w:rPr>
          <w:t xml:space="preserve">in connection with such fundraising efforts. To the extent that such indemnification obligations apply to the lawsuits described in </w:t>
        </w:r>
        <w:r>
          <w:rPr>
            <w:rFonts w:ascii="Arial" w:cs="Arial" w:eastAsia="Arial" w:hAnsi="Arial"/>
            <w:sz w:val="15"/>
            <w:szCs w:val="15"/>
            <w:i w:val="1"/>
            <w:iCs w:val="1"/>
            <w:u w:val="single" w:color="auto"/>
            <w:color w:val="0000FF"/>
          </w:rPr>
          <w:t>Note 8. Commitments and</w:t>
        </w:r>
      </w:hyperlink>
      <w:r>
        <w:rPr>
          <w:rFonts w:ascii="Arial" w:cs="Arial" w:eastAsia="Arial" w:hAnsi="Arial"/>
          <w:sz w:val="15"/>
          <w:szCs w:val="15"/>
          <w:color w:val="auto"/>
        </w:rPr>
        <w:t xml:space="preserve"> </w:t>
      </w:r>
      <w:hyperlink w:anchor="page19">
        <w:r>
          <w:rPr>
            <w:rFonts w:ascii="Arial" w:cs="Arial" w:eastAsia="Arial" w:hAnsi="Arial"/>
            <w:sz w:val="15"/>
            <w:szCs w:val="15"/>
            <w:i w:val="1"/>
            <w:iCs w:val="1"/>
            <w:u w:val="single" w:color="auto"/>
            <w:color w:val="0000FF"/>
          </w:rPr>
          <w:t>Contingencies</w:t>
        </w:r>
        <w:r>
          <w:rPr>
            <w:rFonts w:ascii="Arial" w:cs="Arial" w:eastAsia="Arial" w:hAnsi="Arial"/>
            <w:sz w:val="15"/>
            <w:szCs w:val="15"/>
            <w:i w:val="1"/>
            <w:iCs w:val="1"/>
            <w:color w:val="0000FF"/>
          </w:rPr>
          <w:t xml:space="preserve"> </w:t>
        </w:r>
        <w:r>
          <w:rPr>
            <w:rFonts w:ascii="Arial" w:cs="Arial" w:eastAsia="Arial" w:hAnsi="Arial"/>
            <w:sz w:val="15"/>
            <w:szCs w:val="15"/>
            <w:color w:val="000000"/>
          </w:rPr>
          <w:t>in Part I, Item 1 of this Quarterly Report on Form 10-Q, any associated expenses incurred are included within the related accrued litigation expense</w:t>
        </w:r>
      </w:hyperlink>
      <w:r>
        <w:rPr>
          <w:rFonts w:ascii="Arial" w:cs="Arial" w:eastAsia="Arial" w:hAnsi="Arial"/>
          <w:sz w:val="15"/>
          <w:szCs w:val="15"/>
          <w:i w:val="1"/>
          <w:iCs w:val="1"/>
          <w:color w:val="0000FF"/>
        </w:rPr>
        <w:t xml:space="preserve"> </w:t>
      </w:r>
      <w:r>
        <w:rPr>
          <w:rFonts w:ascii="Arial" w:cs="Arial" w:eastAsia="Arial" w:hAnsi="Arial"/>
          <w:sz w:val="15"/>
          <w:szCs w:val="15"/>
          <w:color w:val="000000"/>
        </w:rPr>
        <w:t>amounts. No additional liability associated with such indemnification agreements has been recorded as of June 30, 2022.</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ind w:left="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Interest Rate and Market Risk</w:t>
      </w:r>
    </w:p>
    <w:p>
      <w:pPr>
        <w:spacing w:after="0" w:line="61" w:lineRule="exact"/>
        <w:rPr>
          <w:sz w:val="20"/>
          <w:szCs w:val="20"/>
          <w:color w:val="auto"/>
        </w:rPr>
      </w:pPr>
    </w:p>
    <w:p>
      <w:pPr>
        <w:jc w:val="both"/>
        <w:ind w:left="20"/>
        <w:spacing w:after="0" w:line="228" w:lineRule="auto"/>
        <w:rPr>
          <w:rFonts w:ascii="Arial" w:cs="Arial" w:eastAsia="Arial" w:hAnsi="Arial"/>
          <w:sz w:val="17"/>
          <w:szCs w:val="17"/>
          <w:color w:val="auto"/>
        </w:rPr>
      </w:pPr>
      <w:r>
        <w:rPr>
          <w:rFonts w:ascii="Arial" w:cs="Arial" w:eastAsia="Arial" w:hAnsi="Arial"/>
          <w:sz w:val="17"/>
          <w:szCs w:val="17"/>
          <w:color w:val="auto"/>
        </w:rPr>
        <w:t xml:space="preserve">We carry our convertible senior notes at the principal amount, less unamortized debt issuance costs, on our Condensed Consolidated Balance Sheets. Because the notes have a fixed annual interest rate of 1.50%, we do not have any economic interest rate exposure or financial statement risk associated with changes in interest rates. The fair value of the notes, however, may fluctuate when interest rates and the market price of our stock changes. See </w:t>
      </w:r>
      <w:hyperlink w:anchor="page17">
        <w:r>
          <w:rPr>
            <w:rFonts w:ascii="Arial" w:cs="Arial" w:eastAsia="Arial" w:hAnsi="Arial"/>
            <w:sz w:val="17"/>
            <w:szCs w:val="17"/>
            <w:i w:val="1"/>
            <w:iCs w:val="1"/>
            <w:u w:val="single" w:color="auto"/>
            <w:color w:val="0000FF"/>
          </w:rPr>
          <w:t>Note 7. Convertible Senior Notes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Part I, Item 1 of this Form 10-Q for additional information.</w:t>
      </w:r>
    </w:p>
    <w:p>
      <w:pPr>
        <w:spacing w:after="0" w:line="41" w:lineRule="exact"/>
        <w:rPr>
          <w:sz w:val="20"/>
          <w:szCs w:val="20"/>
          <w:color w:val="auto"/>
        </w:rPr>
      </w:pPr>
    </w:p>
    <w:p>
      <w:pPr>
        <w:jc w:val="both"/>
        <w:ind w:left="20"/>
        <w:spacing w:after="0" w:line="232" w:lineRule="auto"/>
        <w:rPr>
          <w:sz w:val="20"/>
          <w:szCs w:val="20"/>
          <w:color w:val="auto"/>
        </w:rPr>
      </w:pPr>
      <w:r>
        <w:rPr>
          <w:rFonts w:ascii="Arial" w:cs="Arial" w:eastAsia="Arial" w:hAnsi="Arial"/>
          <w:sz w:val="17"/>
          <w:szCs w:val="17"/>
          <w:color w:val="auto"/>
        </w:rPr>
        <w:t>During the six months ended June 30, 2022, we invested in cash equivalents, U.S. government and agency securities, U.S. Treasury securities, and corporate debt securities which were designated as cash equivalents and available-for-sale investments. Our cash equivalents and available-for-sale securities as of June 30, 2022 was $796.5 million.</w:t>
      </w:r>
    </w:p>
    <w:p>
      <w:pPr>
        <w:spacing w:after="0" w:line="40" w:lineRule="exact"/>
        <w:rPr>
          <w:sz w:val="20"/>
          <w:szCs w:val="20"/>
          <w:color w:val="auto"/>
        </w:rPr>
      </w:pPr>
    </w:p>
    <w:p>
      <w:pPr>
        <w:jc w:val="both"/>
        <w:ind w:left="20"/>
        <w:spacing w:after="0" w:line="238" w:lineRule="auto"/>
        <w:rPr>
          <w:sz w:val="20"/>
          <w:szCs w:val="20"/>
          <w:color w:val="auto"/>
        </w:rPr>
      </w:pPr>
      <w:r>
        <w:rPr>
          <w:rFonts w:ascii="Arial" w:cs="Arial" w:eastAsia="Arial" w:hAnsi="Arial"/>
          <w:sz w:val="16"/>
          <w:szCs w:val="16"/>
          <w:color w:val="auto"/>
        </w:rPr>
        <w:t>Our exposure to market risk for changes in interest rates relates primarily to our investment portfolio comprising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June 30, 2022 would have affected the fair value of our investment portfolio by approximately $4.0 million.</w:t>
      </w:r>
    </w:p>
    <w:p>
      <w:pPr>
        <w:spacing w:after="0" w:line="43" w:lineRule="exact"/>
        <w:rPr>
          <w:sz w:val="20"/>
          <w:szCs w:val="20"/>
          <w:color w:val="auto"/>
        </w:rPr>
      </w:pPr>
    </w:p>
    <w:p>
      <w:pPr>
        <w:jc w:val="both"/>
        <w:ind w:left="20"/>
        <w:spacing w:after="0"/>
        <w:rPr>
          <w:sz w:val="20"/>
          <w:szCs w:val="20"/>
          <w:color w:val="auto"/>
        </w:rPr>
      </w:pPr>
      <w:r>
        <w:rPr>
          <w:rFonts w:ascii="Arial" w:cs="Arial" w:eastAsia="Arial" w:hAnsi="Arial"/>
          <w:sz w:val="17"/>
          <w:szCs w:val="17"/>
          <w:color w:val="auto"/>
        </w:rPr>
        <w:t>There have been no other material changes in market risk from the information provided in our Annual Report on Form 10-K for the fiscal year ended December 31, 2021.</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4. Controls and Procedures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Disclosure Controls and Procedures</w:t>
      </w:r>
    </w:p>
    <w:p>
      <w:pPr>
        <w:spacing w:after="0" w:line="61" w:lineRule="exact"/>
        <w:rPr>
          <w:sz w:val="20"/>
          <w:szCs w:val="20"/>
          <w:color w:val="auto"/>
        </w:rPr>
      </w:pPr>
    </w:p>
    <w:p>
      <w:pPr>
        <w:jc w:val="both"/>
        <w:ind w:left="20"/>
        <w:spacing w:after="0" w:line="237" w:lineRule="auto"/>
        <w:rPr>
          <w:sz w:val="20"/>
          <w:szCs w:val="20"/>
          <w:color w:val="auto"/>
        </w:rPr>
      </w:pPr>
      <w:r>
        <w:rPr>
          <w:rFonts w:ascii="Arial" w:cs="Arial" w:eastAsia="Arial" w:hAnsi="Arial"/>
          <w:sz w:val="16"/>
          <w:szCs w:val="16"/>
          <w:color w:val="auto"/>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42" w:lineRule="exact"/>
        <w:rPr>
          <w:sz w:val="20"/>
          <w:szCs w:val="20"/>
          <w:color w:val="auto"/>
        </w:rPr>
      </w:pPr>
    </w:p>
    <w:p>
      <w:pPr>
        <w:jc w:val="both"/>
        <w:ind w:left="20"/>
        <w:spacing w:after="0" w:line="228"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61" w:lineRule="exact"/>
        <w:rPr>
          <w:sz w:val="20"/>
          <w:szCs w:val="20"/>
          <w:color w:val="auto"/>
        </w:rPr>
      </w:pPr>
    </w:p>
    <w:p>
      <w:pPr>
        <w:jc w:val="both"/>
        <w:ind w:left="20"/>
        <w:spacing w:after="0" w:line="226"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fiscal quarter ended June 30, 2022 that materially affected, or is reasonably likely to materially affect, our internal control over financial reporting. There were no material changes in our internal control over financial reporting during the fiscal quarter ended June 30, 2022, that have materially affected, or were reasonably likely to materially affect, our internal control over financial reporting.</w:t>
      </w:r>
    </w:p>
    <w:p>
      <w:pPr>
        <w:spacing w:after="0" w:line="31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00" w:lineRule="exact"/>
        <w:rPr>
          <w:sz w:val="20"/>
          <w:szCs w:val="20"/>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 xml:space="preserve">Please see </w:t>
      </w:r>
      <w:hyperlink w:anchor="page19">
        <w:r>
          <w:rPr>
            <w:rFonts w:ascii="Arial" w:cs="Arial" w:eastAsia="Arial" w:hAnsi="Arial"/>
            <w:sz w:val="17"/>
            <w:szCs w:val="17"/>
            <w:i w:val="1"/>
            <w:iCs w:val="1"/>
            <w:u w:val="single" w:color="auto"/>
            <w:color w:val="0000FF"/>
          </w:rPr>
          <w:t>Note 8. Commitments and Contingencies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Part I, Item 1 of this Quarterly Report on Form 10-Q.</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184150</wp:posOffset>
            </wp:positionV>
            <wp:extent cx="716661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37" w:name="page38"/>
    <w:bookmarkEnd w:id="37"/>
    <w:p>
      <w:pPr>
        <w:ind w:left="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6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88" w:lineRule="exact"/>
        <w:rPr>
          <w:sz w:val="20"/>
          <w:szCs w:val="20"/>
          <w:color w:val="auto"/>
        </w:rPr>
      </w:pPr>
    </w:p>
    <w:p>
      <w:pPr>
        <w:jc w:val="both"/>
        <w:ind w:left="20"/>
        <w:spacing w:after="0" w:line="260" w:lineRule="auto"/>
        <w:rPr>
          <w:sz w:val="20"/>
          <w:szCs w:val="20"/>
          <w:color w:val="auto"/>
        </w:rPr>
      </w:pPr>
      <w:r>
        <w:rPr>
          <w:rFonts w:ascii="Arial" w:cs="Arial" w:eastAsia="Arial" w:hAnsi="Arial"/>
          <w:sz w:val="15"/>
          <w:szCs w:val="15"/>
          <w:i w:val="1"/>
          <w:iCs w:val="1"/>
          <w:color w:val="auto"/>
        </w:rPr>
        <w:t>You should consider carefully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the ongoing COVID-19 pandemic and any worsening of the economic environment may exacerbate the risks described below, any of which could have a material impact on us. This situation is changing rapidly and additional impacts may arise that we are not aware of currently.</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Summary Risk Factors</w:t>
      </w:r>
    </w:p>
    <w:p>
      <w:pPr>
        <w:spacing w:after="0" w:line="188" w:lineRule="exact"/>
        <w:rPr>
          <w:sz w:val="20"/>
          <w:szCs w:val="20"/>
          <w:color w:val="auto"/>
        </w:rPr>
      </w:pPr>
    </w:p>
    <w:p>
      <w:pPr>
        <w:jc w:val="both"/>
        <w:ind w:left="20"/>
        <w:spacing w:after="0"/>
        <w:rPr>
          <w:sz w:val="20"/>
          <w:szCs w:val="20"/>
          <w:color w:val="auto"/>
        </w:rPr>
      </w:pPr>
      <w:r>
        <w:rPr>
          <w:rFonts w:ascii="Arial" w:cs="Arial" w:eastAsia="Arial" w:hAnsi="Arial"/>
          <w:sz w:val="17"/>
          <w:szCs w:val="17"/>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potential adverse impact of health epidemics, including the ongoing COVID-19 pandemic;</w:t>
      </w:r>
    </w:p>
    <w:p>
      <w:pPr>
        <w:spacing w:after="0" w:line="57" w:lineRule="exact"/>
        <w:rPr>
          <w:sz w:val="20"/>
          <w:szCs w:val="20"/>
          <w:color w:val="auto"/>
        </w:rPr>
      </w:pPr>
    </w:p>
    <w:p>
      <w:pPr>
        <w:ind w:left="620" w:right="2500"/>
        <w:spacing w:after="0" w:line="310" w:lineRule="auto"/>
        <w:rPr>
          <w:sz w:val="20"/>
          <w:szCs w:val="20"/>
          <w:color w:val="auto"/>
        </w:rPr>
      </w:pPr>
      <w:r>
        <w:rPr>
          <w:rFonts w:ascii="Arial" w:cs="Arial" w:eastAsia="Arial" w:hAnsi="Arial"/>
          <w:sz w:val="17"/>
          <w:szCs w:val="17"/>
          <w:color w:val="auto"/>
        </w:rPr>
        <w:t>Our ability to successfully market, commercialize, and sell current and future products and related maintenance services; Our ability to achieve profitability for our business;</w:t>
      </w:r>
    </w:p>
    <w:p>
      <w:pPr>
        <w:ind w:left="620"/>
        <w:spacing w:after="0"/>
        <w:rPr>
          <w:sz w:val="20"/>
          <w:szCs w:val="20"/>
          <w:color w:val="auto"/>
        </w:rPr>
      </w:pPr>
      <w:r>
        <w:rPr>
          <w:rFonts w:ascii="Arial" w:cs="Arial" w:eastAsia="Arial" w:hAnsi="Arial"/>
          <w:sz w:val="17"/>
          <w:szCs w:val="17"/>
          <w:color w:val="auto"/>
        </w:rPr>
        <w:t>Our ability to successfully leverage and integrate our acquisitions and future acquisitions;</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ability to successfully research, develop and timely manufacture our current and future products;</w:t>
      </w:r>
    </w:p>
    <w:p>
      <w:pPr>
        <w:spacing w:after="0" w:line="57" w:lineRule="exact"/>
        <w:rPr>
          <w:sz w:val="20"/>
          <w:szCs w:val="20"/>
          <w:color w:val="auto"/>
        </w:rPr>
      </w:pPr>
    </w:p>
    <w:p>
      <w:pPr>
        <w:ind w:left="620" w:right="1360"/>
        <w:spacing w:after="0" w:line="310" w:lineRule="auto"/>
        <w:rPr>
          <w:sz w:val="20"/>
          <w:szCs w:val="20"/>
          <w:color w:val="auto"/>
        </w:rPr>
      </w:pPr>
      <w:r>
        <w:rPr>
          <w:rFonts w:ascii="Arial" w:cs="Arial" w:eastAsia="Arial" w:hAnsi="Arial"/>
          <w:sz w:val="17"/>
          <w:szCs w:val="17"/>
          <w:color w:val="auto"/>
        </w:rPr>
        <w:t>Management of new product introductions and transitions, resultant costs, and ability of new products to generate promised performance; Recent significant changes to our leadership team and resultant disruptions to our business;</w:t>
      </w:r>
    </w:p>
    <w:p>
      <w:pPr>
        <w:ind w:left="620" w:right="3760"/>
        <w:spacing w:after="0" w:line="351" w:lineRule="auto"/>
        <w:rPr>
          <w:sz w:val="20"/>
          <w:szCs w:val="20"/>
          <w:color w:val="auto"/>
        </w:rPr>
      </w:pPr>
      <w:r>
        <w:rPr>
          <w:rFonts w:ascii="Arial" w:cs="Arial" w:eastAsia="Arial" w:hAnsi="Arial"/>
          <w:sz w:val="15"/>
          <w:szCs w:val="15"/>
          <w:color w:val="auto"/>
        </w:rPr>
        <w:t>Retention, recruitment, and training of senior management, key personnel, scientists and engineers; Our ability to further penetrate nucleic acid sequencing applications, as well as grow product demand;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reliance on outsourcing to other companies for manufacturing certain components and sub-assemblies, some of which are sole-sourced;</w:t>
      </w:r>
    </w:p>
    <w:p>
      <w:pPr>
        <w:spacing w:after="0" w:line="57" w:lineRule="exact"/>
        <w:rPr>
          <w:sz w:val="20"/>
          <w:szCs w:val="20"/>
          <w:color w:val="auto"/>
        </w:rPr>
      </w:pPr>
    </w:p>
    <w:p>
      <w:pPr>
        <w:ind w:left="620" w:right="340"/>
        <w:spacing w:after="0" w:line="310" w:lineRule="auto"/>
        <w:rPr>
          <w:sz w:val="20"/>
          <w:szCs w:val="20"/>
          <w:color w:val="auto"/>
        </w:rPr>
      </w:pPr>
      <w:r>
        <w:rPr>
          <w:rFonts w:ascii="Arial" w:cs="Arial" w:eastAsia="Arial" w:hAnsi="Arial"/>
          <w:sz w:val="17"/>
          <w:szCs w:val="17"/>
          <w:color w:val="auto"/>
        </w:rPr>
        <w:t>Our ability to consistently manufacture our instruments and consumables to meet customers’ specifications, quantity, cost, or performance requirements; The high amount of competition we face in our industry;</w:t>
      </w:r>
    </w:p>
    <w:p>
      <w:pPr>
        <w:ind w:left="620"/>
        <w:spacing w:after="0"/>
        <w:rPr>
          <w:sz w:val="20"/>
          <w:szCs w:val="20"/>
          <w:color w:val="auto"/>
        </w:rPr>
      </w:pPr>
      <w:r>
        <w:rPr>
          <w:rFonts w:ascii="Arial" w:cs="Arial" w:eastAsia="Arial" w:hAnsi="Arial"/>
          <w:sz w:val="17"/>
          <w:szCs w:val="17"/>
          <w:color w:val="auto"/>
        </w:rPr>
        <w:t>Our ability to attract customers and increase sales of current and future products;</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Reliance on a limited number of customers for a significant portion of our revenues, including academic, research and government institutions;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complexity of our products giving rise to defects or errors;</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unpredictable and lengthy sales cycle;</w:t>
      </w:r>
    </w:p>
    <w:p>
      <w:pPr>
        <w:spacing w:after="0" w:line="57" w:lineRule="exact"/>
        <w:rPr>
          <w:sz w:val="20"/>
          <w:szCs w:val="20"/>
          <w:color w:val="auto"/>
        </w:rPr>
      </w:pPr>
    </w:p>
    <w:p>
      <w:pPr>
        <w:ind w:left="620"/>
        <w:spacing w:after="0" w:line="333" w:lineRule="auto"/>
        <w:rPr>
          <w:sz w:val="20"/>
          <w:szCs w:val="20"/>
          <w:color w:val="auto"/>
        </w:rPr>
      </w:pPr>
      <w:r>
        <w:rPr>
          <w:rFonts w:ascii="Arial" w:cs="Arial" w:eastAsia="Arial" w:hAnsi="Arial"/>
          <w:sz w:val="17"/>
          <w:szCs w:val="17"/>
          <w:color w:val="auto"/>
        </w:rPr>
        <w:t>Our business, financial condition and results of operations could be adversely affected by political and economic tensions between the United States and other countries, including China and Russia;</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Securing and maintaining patent or other intellectual property protection for our products and related improvements;</w:t>
      </w:r>
    </w:p>
    <w:p>
      <w:pPr>
        <w:spacing w:after="0" w:line="57" w:lineRule="exact"/>
        <w:rPr>
          <w:sz w:val="20"/>
          <w:szCs w:val="20"/>
          <w:color w:val="auto"/>
        </w:rPr>
      </w:pPr>
    </w:p>
    <w:p>
      <w:pPr>
        <w:ind w:left="5560" w:right="4100" w:hanging="4931"/>
        <w:spacing w:after="0" w:line="286" w:lineRule="auto"/>
        <w:rPr>
          <w:sz w:val="20"/>
          <w:szCs w:val="20"/>
          <w:color w:val="auto"/>
        </w:rPr>
      </w:pPr>
      <w:r>
        <w:rPr>
          <w:rFonts w:ascii="Arial" w:cs="Arial" w:eastAsia="Arial" w:hAnsi="Arial"/>
          <w:sz w:val="17"/>
          <w:szCs w:val="17"/>
          <w:color w:val="auto"/>
        </w:rPr>
        <w:t>Current and future legal proceedings filed against us claiming intellectual property infringement;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148590</wp:posOffset>
            </wp:positionV>
            <wp:extent cx="716661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Governmental regulations that burden operations or narrow the market for our products;</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Evolving ethical, legal, privacy, social, and regulatory concerns regarding genetic testing;</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Volatility of the price of our common stock; and</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stock price falling as a result of future offerings or sales.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adversely affected by health epidemics, including the ongoing COVID-19 pandemic.</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business has been and could be further adversely impacted by the effects of COVID-19 or other epidemics or pandemics. As a result of the ongoing COVID-19 pandemic, our financial results continue to be impacted negatively as our customers in multiple regions around the world suspended or curtailed their normal operations in efforts to curb the spread of COVID-19. While a significant number of our customer sites that shut down due to COVID-19 have re-opened, a significant number of our customers had delayed purchases of capital assets due to the negative impact of the pandemic on their businesses. This dynamic continues to negatively impact the recognition of revenue related to the sale of our Sequel and Sequel II/IIe instruments and the associated consumables and software. The inability to receive or accept shipments of orders for our products on a timely basis, or at all, the delay or possible cancellation of orders for our products or related maintenance and support services, and the reduced utilization of our products has negatively affected and may negatively affect in the future our operations and revenues. We are continuing to monitor this evolving situation.</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manufacturing partners and suppliers have been and could continue to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on our business. Infections may resurge or become more widespread and the limitation on our ability to travel and timely sell and distribute our products, as well as any closures or supply disruptions, may be extended for longer periods of time, which could have a negative impact on our business, financial condition and operating results. For example, because our semiconductor manufacturers are located in a region where immunization rates in certain communities may be low, the Omicron variant of COVID-19, as well as any future variants that evolve, could impact workforce availability at those locations and disrupt supply. For example, in response to a surge in COVID-19 infections in the first half of 2022, the Chinese government imposed lockdowns in certain parts of the country, which has had, and may continue to have, a negative impact on manufacturing and/or supply chains, as well as customer demand for our products and demand through certain distributors.</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COVID-19 pandemic has caused us to modify our business practices, including limiting certain of our commercial operations and limiting certain employees from working in the office. Starting in April 2022, we invited employees located near those reopened offices to return to the office. The reopening of our U.S. offices has created and may continue to create additional risks and operational challenges and may require us to make additional investments in the design, implementation and enforcement of new workplace health and safety protocols. Even if we follow what we believe to be best practices, our efforts to reopen our offices safely may not be successful and could expose our employees, partners and customers to health risks, and us to associated liability. Furthermore, additional and/or extended governmental restrictions, new regulations or other changing conditions could cause us to temporarily close certain office locations again. We have offered, and may plan to continue to offer, a significant percentage of our employees flexibility in the amount of time they work in an office, which could adversely impact the productivity of certain employees and harm our business, including our future operating results. This may also present risks for our strategy and may present operational, cybersecurity and workplace culture challenges that may adversely affect our business.</w:t>
      </w:r>
    </w:p>
    <w:p>
      <w:pPr>
        <w:spacing w:after="0" w:line="166"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changes to the government funding environment, a reduction in or the lapsing of COVID-19-related governmental stimulus measures, increased and prolonged unemployment or a decline in consumer confidence as a result of the COVID-19 pandemic, as well as limited or significantly reduced points of access of our products, could have 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continuing adverse effect on the demand for some of our products and, consequently, related maintenance and support services. The degree of impact of COVID-19 on our business will depend on several factors, such as the duration and the extent of the pandemic, the risk of waning immunity among persons already vaccinated and an increase in fatigue or skepticism with respect to initial or booster vaccinations, as well as actions taken by governments, businesses and consumers in response to the pandemic, all of which continue to evolve and remain uncertain at this time.</w:t>
      </w:r>
    </w:p>
    <w:p>
      <w:pPr>
        <w:spacing w:after="0" w:line="167" w:lineRule="exact"/>
        <w:rPr>
          <w:sz w:val="20"/>
          <w:szCs w:val="20"/>
          <w:color w:val="auto"/>
        </w:rPr>
      </w:pPr>
    </w:p>
    <w:p>
      <w:pPr>
        <w:jc w:val="both"/>
        <w:spacing w:after="0" w:line="303" w:lineRule="auto"/>
        <w:rPr>
          <w:sz w:val="20"/>
          <w:szCs w:val="20"/>
          <w:color w:val="auto"/>
        </w:rPr>
      </w:pPr>
      <w:r>
        <w:rPr>
          <w:rFonts w:ascii="Arial" w:cs="Arial" w:eastAsia="Arial" w:hAnsi="Arial"/>
          <w:sz w:val="14"/>
          <w:szCs w:val="14"/>
          <w:b w:val="1"/>
          <w:bCs w:val="1"/>
          <w:i w:val="1"/>
          <w:iCs w:val="1"/>
          <w:color w:val="auto"/>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150"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In September 2015, we launched the PacBio Sequel</w:t>
      </w:r>
      <w:r>
        <w:rPr>
          <w:rFonts w:ascii="Arial" w:cs="Arial" w:eastAsia="Arial" w:hAnsi="Arial"/>
          <w:sz w:val="27"/>
          <w:szCs w:val="27"/>
          <w:color w:val="auto"/>
          <w:vertAlign w:val="superscript"/>
        </w:rPr>
        <w:t>®</w:t>
      </w:r>
      <w:r>
        <w:rPr>
          <w:rFonts w:ascii="Arial" w:cs="Arial" w:eastAsia="Arial" w:hAnsi="Arial"/>
          <w:sz w:val="16"/>
          <w:szCs w:val="16"/>
          <w:color w:val="auto"/>
        </w:rPr>
        <w:t xml:space="preserve"> System, and concurrently began phasing out production of PacBio RS II instruments, and, in April 2019 we announced the commercial launch of the Sequel II System. In October 2020, we launched the Sequel IIe System, which has increased computational capacity, and is designed to enable customers to generate PacBio HiFi reads more efficiently. In April 2021, we released a new HiFi sequencing workflow allowing for more accurate HiFi reads with limited sample quantities. At June 30, 2022, our installed based was 460 Sequel II and Sequel IIe systems compared to the 282 systems as of June 30, 2021, and we expect the number of Sequel II/IIe placements to continue to grow during the remainder of 2022.</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have made and expect to continue making substantial investments to develop new products and enhance our existing products through our acquisitions and research and development efforts. For example, we are developing a SBB short read sequencing platform. However, due to challenges we may experience in developing and marketing our existing products and launching new products, we may not be able to effectively:</w:t>
      </w:r>
    </w:p>
    <w:p>
      <w:pPr>
        <w:spacing w:after="0" w:line="4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manage the timeliness of our new product introductions and the rate at which sales of our new products may cannibalize sales of our older products or manage sales and marketing of multiple sequencing platforms;</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drive adoption of our current and future products, including the Sequel II/IIe Systems and products under development related to our emerging SBB technology;</w:t>
      </w:r>
    </w:p>
    <w:p>
      <w:pPr>
        <w:spacing w:after="0" w:line="39" w:lineRule="exact"/>
        <w:rPr>
          <w:sz w:val="20"/>
          <w:szCs w:val="20"/>
          <w:color w:val="auto"/>
        </w:rPr>
      </w:pPr>
    </w:p>
    <w:p>
      <w:pPr>
        <w:ind w:left="1020" w:right="3720"/>
        <w:spacing w:after="0" w:line="310" w:lineRule="auto"/>
        <w:rPr>
          <w:sz w:val="20"/>
          <w:szCs w:val="20"/>
          <w:color w:val="auto"/>
        </w:rPr>
      </w:pPr>
      <w:r>
        <w:rPr>
          <w:rFonts w:ascii="Arial" w:cs="Arial" w:eastAsia="Arial" w:hAnsi="Arial"/>
          <w:sz w:val="17"/>
          <w:szCs w:val="17"/>
          <w:color w:val="auto"/>
        </w:rPr>
        <w:t>maintain our competitive position by continuing to attract and retain customers for our products; provide appropriate levels of customer training and support for our products; implement an effective marketing strategy to promote awareness of our products;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develop and implement an effective sales and distribution strategy for our current and future products;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develop, manufacture and commercialize new products or achieve an acceptable return on our manufacturing or research and development efforts and expenses;</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comply with regulatory requirements applicable to our products;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anticipate and adapt to changes in our market;</w:t>
      </w:r>
    </w:p>
    <w:p>
      <w:pPr>
        <w:spacing w:after="0" w:line="200" w:lineRule="exact"/>
        <w:rPr>
          <w:sz w:val="20"/>
          <w:szCs w:val="20"/>
          <w:color w:val="auto"/>
        </w:rPr>
      </w:pPr>
    </w:p>
    <w:p>
      <w:pPr>
        <w:spacing w:after="0" w:line="36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accommodate customer expectations and demands with respect to our products, increase product adoption by our existing customers or develop new customer relationships;</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deliver our future products in a timely manner to our customers;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grow our share by marketing and selling our products for new and additional applications;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manage the significant burdens that expanding our existing or future products into current and new markets may impose on marketing, compliance, and other administrative and managerial resources;</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39" w:lineRule="exact"/>
        <w:rPr>
          <w:sz w:val="20"/>
          <w:szCs w:val="20"/>
          <w:color w:val="auto"/>
        </w:rPr>
      </w:pPr>
    </w:p>
    <w:p>
      <w:pPr>
        <w:ind w:left="5540" w:right="2060" w:hanging="4519"/>
        <w:spacing w:after="0"/>
        <w:rPr>
          <w:sz w:val="20"/>
          <w:szCs w:val="20"/>
          <w:color w:val="auto"/>
        </w:rPr>
      </w:pPr>
      <w:r>
        <w:rPr>
          <w:rFonts w:ascii="Arial" w:cs="Arial" w:eastAsia="Arial" w:hAnsi="Arial"/>
          <w:sz w:val="17"/>
          <w:szCs w:val="17"/>
          <w:color w:val="auto"/>
        </w:rPr>
        <w:t>adapt or scale our manufacturing activities to meet performance specifications and potential demand at a reasonable cost;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172085</wp:posOffset>
            </wp:positionV>
            <wp:extent cx="716661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avoid infringement and misappropriation of third-party intellectual property;</w:t>
      </w:r>
    </w:p>
    <w:p>
      <w:pPr>
        <w:spacing w:after="0" w:line="57" w:lineRule="exact"/>
        <w:rPr>
          <w:sz w:val="20"/>
          <w:szCs w:val="20"/>
          <w:color w:val="auto"/>
        </w:rPr>
      </w:pPr>
    </w:p>
    <w:p>
      <w:pPr>
        <w:ind w:left="1020" w:right="2580"/>
        <w:spacing w:after="0" w:line="310" w:lineRule="auto"/>
        <w:rPr>
          <w:sz w:val="20"/>
          <w:szCs w:val="20"/>
          <w:color w:val="auto"/>
        </w:rPr>
      </w:pPr>
      <w:r>
        <w:rPr>
          <w:rFonts w:ascii="Arial" w:cs="Arial" w:eastAsia="Arial" w:hAnsi="Arial"/>
          <w:sz w:val="17"/>
          <w:szCs w:val="17"/>
          <w:color w:val="auto"/>
        </w:rPr>
        <w:t>obtain and maintain any necessary licenses to third-party intellectual property on commercially reasonable terms; obtain valid and enforceable patents that give us a competitive advantage or enforce existing patents; protect our proprietary technology; and</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attract, retain and motivate qualified personnel.</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risks noted above, especially with respect to the marketing, sales, and commercialization of our products, may be heightened by the impact of the COVID-19 pandemic.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to date, and we expect to continue to incur significant losses as we develop our business and may never achieve profitability.</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Except for the quarters ended September 30, 2015 (as a result of a one-time gain on lease amendments), March 31, 2020 (as a result of the recognition of a gain relating to the Continuation Advances), December 31, 2020 (as a result of recognition of gain relating to the Reverse Termination Fee), September 30, 2021 (as a result of the recognition of a one-time income tax benefit from business acquisitions), and the year ended December 31, 2020 (as a result of recognition of gain relating to the Reverse Termination Fee and gain relating to the Continuation Advances), we have incurred net losses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make it more difficult for us to satisfy our obligations;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increase our vulnerability to general adverse economic and industry conditions;</w:t>
      </w:r>
    </w:p>
    <w:p>
      <w:pPr>
        <w:spacing w:after="0" w:line="57" w:lineRule="exact"/>
        <w:rPr>
          <w:sz w:val="20"/>
          <w:szCs w:val="20"/>
          <w:color w:val="auto"/>
        </w:rPr>
      </w:pPr>
    </w:p>
    <w:p>
      <w:pPr>
        <w:ind w:left="1020" w:right="1560"/>
        <w:spacing w:after="0" w:line="310" w:lineRule="auto"/>
        <w:rPr>
          <w:sz w:val="20"/>
          <w:szCs w:val="20"/>
          <w:color w:val="auto"/>
        </w:rPr>
      </w:pPr>
      <w:r>
        <w:rPr>
          <w:rFonts w:ascii="Arial" w:cs="Arial" w:eastAsia="Arial" w:hAnsi="Arial"/>
          <w:sz w:val="17"/>
          <w:szCs w:val="17"/>
          <w:color w:val="auto"/>
        </w:rPr>
        <w:t>limit our ability to fund future working capital, capital expenditures, research and development and other business opportunities; increase the volatility of the price of our common stock;</w:t>
      </w:r>
    </w:p>
    <w:p>
      <w:pPr>
        <w:ind w:left="1020"/>
        <w:spacing w:after="0"/>
        <w:rPr>
          <w:sz w:val="20"/>
          <w:szCs w:val="20"/>
          <w:color w:val="auto"/>
        </w:rPr>
      </w:pPr>
      <w:r>
        <w:rPr>
          <w:rFonts w:ascii="Arial" w:cs="Arial" w:eastAsia="Arial" w:hAnsi="Arial"/>
          <w:sz w:val="17"/>
          <w:szCs w:val="17"/>
          <w:color w:val="auto"/>
        </w:rPr>
        <w:t>limit our flexibility to react to changes in our business and the industry in which we operate;</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place us at a disadvantage to other companies that offer nucleic acid sequencing equipment or consumables; and</w:t>
      </w:r>
    </w:p>
    <w:p>
      <w:pPr>
        <w:spacing w:after="0" w:line="200" w:lineRule="exact"/>
        <w:rPr>
          <w:sz w:val="20"/>
          <w:szCs w:val="20"/>
          <w:color w:val="auto"/>
        </w:rPr>
      </w:pPr>
    </w:p>
    <w:p>
      <w:pPr>
        <w:spacing w:after="0" w:line="36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limit our ability to borrow additional funds.</w:t>
      </w:r>
    </w:p>
    <w:p>
      <w:pPr>
        <w:spacing w:after="0" w:line="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or all of the foregoing may have a material adverse effect on our business, operations, financial condition,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not cash flow positive and may not have sufficient cash to make required payments under the terms of our debt or fund our long-term planned operations.</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and may further incur additional debt, including the debt incurred through issuance of $900.0 million in aggregate principal amount of 1.50% Convertible Senior Notes due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2028.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We believe that our growth will depend, in part, on our ability to fund our commercialization efforts and our efforts to develop new products, including any improvements to the SMRT Cell 8M and Sequel II/IIe Systems and our planned development of a SBB short read sequencing platform.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w:t>
      </w:r>
    </w:p>
    <w:p>
      <w:pPr>
        <w:spacing w:after="0" w:line="130"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6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b w:val="1"/>
          <w:bCs w:val="1"/>
          <w:i w:val="1"/>
          <w:iCs w:val="1"/>
          <w:color w:val="auto"/>
        </w:rPr>
        <w:t>We have made acquisitions and, in the future, may continue to acquire businesses, technologies or assets, form joint ventures or make other strategic investments with companies that could harm our operating results, dilute our stockholders’ ownership, or cause us to incur debt or significant expense.</w:t>
      </w:r>
    </w:p>
    <w:p>
      <w:pPr>
        <w:spacing w:after="0" w:line="11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 In July 2021, we acquired Circulomics and in September 2021, we acquired Omniome.</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color w:val="auto"/>
        </w:rPr>
        <w:t>Acquisitions and strategic transactions involve numerous risks, any of which could harm our business and negatively affect our financial condition and results of operations, including:</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intense competition for suitable acquisition targets, which could increase prices and adversely affect our ability to consummate deals on favorable or acceptable terms;</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failure or material delay in closing a transaction;</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transaction-related lawsuits or claims;</w:t>
      </w:r>
    </w:p>
    <w:p>
      <w:pPr>
        <w:spacing w:after="0" w:line="57" w:lineRule="exact"/>
        <w:rPr>
          <w:sz w:val="20"/>
          <w:szCs w:val="20"/>
          <w:color w:val="auto"/>
        </w:rPr>
      </w:pPr>
    </w:p>
    <w:p>
      <w:pPr>
        <w:ind w:left="1020" w:right="2620"/>
        <w:spacing w:after="0" w:line="329" w:lineRule="auto"/>
        <w:rPr>
          <w:sz w:val="20"/>
          <w:szCs w:val="20"/>
          <w:color w:val="auto"/>
        </w:rPr>
      </w:pPr>
      <w:r>
        <w:rPr>
          <w:rFonts w:ascii="Arial" w:cs="Arial" w:eastAsia="Arial" w:hAnsi="Arial"/>
          <w:sz w:val="16"/>
          <w:szCs w:val="16"/>
          <w:color w:val="auto"/>
        </w:rPr>
        <w:t>difficulties in integrating the technologies, operations, existing contracts, and personnel of an acquired company; difficulties in retaining key employees or business partners of an acquired company;</w:t>
      </w:r>
    </w:p>
    <w:p>
      <w:pPr>
        <w:spacing w:after="0" w:line="1" w:lineRule="exact"/>
        <w:rPr>
          <w:sz w:val="20"/>
          <w:szCs w:val="20"/>
          <w:color w:val="auto"/>
        </w:rPr>
      </w:pPr>
    </w:p>
    <w:p>
      <w:pPr>
        <w:ind w:left="1020" w:right="4520"/>
        <w:spacing w:after="0" w:line="351" w:lineRule="auto"/>
        <w:rPr>
          <w:sz w:val="20"/>
          <w:szCs w:val="20"/>
          <w:color w:val="auto"/>
        </w:rPr>
      </w:pPr>
      <w:r>
        <w:rPr>
          <w:rFonts w:ascii="Arial" w:cs="Arial" w:eastAsia="Arial" w:hAnsi="Arial"/>
          <w:sz w:val="15"/>
          <w:szCs w:val="15"/>
          <w:color w:val="auto"/>
        </w:rPr>
        <w:t>difficulties in retaining suppliers, partners or customers of an acquired company; challenges with integrating the brand identity of an acquired company with our own;</w:t>
      </w:r>
    </w:p>
    <w:p>
      <w:pPr>
        <w:spacing w:after="0" w:line="1" w:lineRule="exact"/>
        <w:rPr>
          <w:sz w:val="20"/>
          <w:szCs w:val="20"/>
          <w:color w:val="auto"/>
        </w:rPr>
      </w:pPr>
    </w:p>
    <w:p>
      <w:pPr>
        <w:ind w:left="1020" w:right="2540"/>
        <w:spacing w:after="0" w:line="284" w:lineRule="auto"/>
        <w:rPr>
          <w:sz w:val="20"/>
          <w:szCs w:val="20"/>
          <w:color w:val="auto"/>
        </w:rPr>
      </w:pPr>
      <w:r>
        <w:rPr>
          <w:rFonts w:ascii="Arial" w:cs="Arial" w:eastAsia="Arial" w:hAnsi="Arial"/>
          <w:sz w:val="17"/>
          <w:szCs w:val="17"/>
          <w:color w:val="auto"/>
        </w:rPr>
        <w:t>diversion of financial and management resources from existing operations or alternative acquisition opportunities; failure to realize the anticipated benefits or synergies of a transaction; difficulties in developing technology post-acquisition;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8" w:lineRule="exact"/>
        <w:rPr>
          <w:sz w:val="20"/>
          <w:szCs w:val="20"/>
          <w:color w:val="auto"/>
        </w:rPr>
      </w:pPr>
    </w:p>
    <w:p>
      <w:pPr>
        <w:ind w:left="1020"/>
        <w:spacing w:after="0" w:line="270" w:lineRule="auto"/>
        <w:rPr>
          <w:sz w:val="20"/>
          <w:szCs w:val="20"/>
          <w:color w:val="auto"/>
        </w:rPr>
      </w:pPr>
      <w:r>
        <w:rPr>
          <w:rFonts w:ascii="Arial" w:cs="Arial" w:eastAsia="Arial" w:hAnsi="Arial"/>
          <w:sz w:val="16"/>
          <w:szCs w:val="16"/>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16" w:lineRule="exact"/>
        <w:rPr>
          <w:sz w:val="20"/>
          <w:szCs w:val="20"/>
          <w:color w:val="auto"/>
        </w:rPr>
      </w:pPr>
    </w:p>
    <w:p>
      <w:pPr>
        <w:ind w:left="1020" w:right="1280"/>
        <w:spacing w:after="0" w:line="329" w:lineRule="auto"/>
        <w:rPr>
          <w:sz w:val="20"/>
          <w:szCs w:val="20"/>
          <w:color w:val="auto"/>
        </w:rPr>
      </w:pPr>
      <w:r>
        <w:rPr>
          <w:rFonts w:ascii="Arial" w:cs="Arial" w:eastAsia="Arial" w:hAnsi="Arial"/>
          <w:sz w:val="16"/>
          <w:szCs w:val="16"/>
          <w:color w:val="auto"/>
        </w:rPr>
        <w:t>risks that regulatory bodies may enact new laws or promulgate new regulations that are adverse to an acquired company or business; risks that regulatory bodies do not approve our acquisitions or business combinations or delay such approvals; theft of our trade secrets or confidential information that we share with potential acquisition candidates;</w:t>
      </w:r>
    </w:p>
    <w:p>
      <w:pPr>
        <w:spacing w:after="0" w:line="2" w:lineRule="exact"/>
        <w:rPr>
          <w:sz w:val="20"/>
          <w:szCs w:val="20"/>
          <w:color w:val="auto"/>
        </w:rPr>
      </w:pPr>
    </w:p>
    <w:p>
      <w:pPr>
        <w:ind w:left="1020" w:right="2660"/>
        <w:spacing w:after="0" w:line="333" w:lineRule="auto"/>
        <w:rPr>
          <w:sz w:val="20"/>
          <w:szCs w:val="20"/>
          <w:color w:val="auto"/>
        </w:rPr>
      </w:pPr>
      <w:r>
        <w:rPr>
          <w:rFonts w:ascii="Arial" w:cs="Arial" w:eastAsia="Arial" w:hAnsi="Arial"/>
          <w:sz w:val="17"/>
          <w:szCs w:val="17"/>
          <w:color w:val="auto"/>
        </w:rPr>
        <w:t>risk that an acquired company or investment in new services cannibalizes a portion of our existing business; and adverse market reaction to an acquisition.</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If we are unable to successfully develop and timely manufacture our current and future products, including with respect to SMRT Cell Sequel II/IIe Systems, the SBB products under development, and related products, our business may be adversely affected.</w:t>
      </w:r>
    </w:p>
    <w:p>
      <w:pPr>
        <w:spacing w:after="0" w:line="16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II/IIe Systems, depends on a number of factors, including performance and reliability of the system,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SMRT Cells, reagents, Sequel II/IIe Systems, SBB products under development,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SMRT Cell 8M. We have designed SMRT Cells and other consumables specifically for the Sequel and Sequel II/IIe Systems, and may need to develop in the future, other customized SMRT Cells and consumables for our future products. Our production of the SMRT Cells for the Sequel and Sequel II/IIe Systems has been and may in the future be below desired levels and yields, and we have experienced and may experience in the future manufacturing delays, product or quality defects, SMRT Cell variability, and other issues. For example, the COVID–19 pandemic outbreak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SMRT Cell 8M and Sequel II/IIe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8M and Sequel II/IIe Systems, could materially and adversely affect our business, operations, financial condition, and prospects.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8M and the Sequel II/IIe Systems, in addition to SBB products currently under development.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For example, in January 2021, we entered into the Development Agreement, a multi-year collaboration with Invitae to begin development of a production-scale high-throughput sequencing platform, which was amended and restated on June 24, 2022 (the “Amended and Restated Agreement”). While we anticipate that in connection with the Amended and Restated Agreement, we will continue to receive feedback, input and insight from Invitae in connection with our intended development of new high-throughput sequencing systems, such feedback will not be contractually required and Invitae has no contractual right to participate in decisions regarding the development program for such new sequencing systems. Invitae will not be contractually obligated to reimburse us for development costs under the Amended and Restated Agreement. In consideration of non-refundable Development Costs (as defined in the Development Agreement) paid by Invitae to us pursuant to the Development Agreement, we will provide Invitae with credits in connection with Invitae’s anticipated purchase of currently available and in-development sequencing systems (instruments and consumables). In addition, subject to certain conditions, Invitae will be entitled to most favored pricing for our Sequel IIe systems and certain in-development systems. Furthermore, we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We must successfully manage new product introductions and transitions, including with respect to the SMRT Cell 8M and Sequel II/IIe Systems, and the development of our proposed SBB short read sequencing platform, and we may incur significant costs during these transitions and development, and these efforts may not result in the benefits we anticipate.</w:t>
      </w:r>
    </w:p>
    <w:p>
      <w:pPr>
        <w:spacing w:after="0" w:line="166"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8M and Sequel II/IIe Systems, our proposed SBB short read sequencing platform, and any future products that may be developed for medical and clinical uses,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8M and Sequel II/IIe System, and any future long-read and short-read products, our business, operations, financial condition, and prospects may be materially and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changes to our leadership team and the resulting management transitions might harm our future operating results.</w:t>
      </w:r>
    </w:p>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We have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was appointed effective January 8, 2021. Jeff Eidel has been appointed Chief Commercial Officer, effective August 16, 2022, succeeding Peter Fromen who resigned effective May 20, 2022. Also, our Vice President and Chief Accounting Officer Michele Farmer was appointed effective May 17, 2021, and our Chair of the Board Dr. John F. Milligan was appointed effective September 14, 2020.</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This competition has become exacerbated by the increase in employee resignations in 2021 reported by employers nationwide and continued high rates of employee turnover continuing into 2022. To induce valuable employees to remain at our company, in addition to salary and cash incentives, we have issued stock options and restricted stock units that vest over time. The value to employees of stock options and restricted stock units that vest over time may be significantly affected by movements in our stock price that are beyond our control and may at any time be insufficient to counteract more lucrative offers from other companies. We may face challenges in retaining and recruiting such individuals due to sustained declines in our stock price that could reduce the retention value of equity awards.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and financial condition. In addition, we will need to continue to recruit, hire and retain sales personnel to support the commercialization of our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Further, our vaccination and return to office protocols related to COVID-19 may also impact the recruitment and retention of key employees.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5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 8M and Sequel II/IIe Systems, and related products may not grow sufficiently to cover our costs.</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There can be no assurance that we will be successful in adding new products or securing additional customers for our current and future products, including with respect to the SMRT Cell 8M and Sequel II/IIe Systems and products related to our recent Circulomics and Omniome acquisitions. If we are unable to develop SBB technology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170"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Nucleic acid sequencing applications are new and dynamic, and there can be no assurance that they will develop as quickly as we anticipate, that they will reach their full potential or that our products will be appropriate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5" w:lineRule="exact"/>
        <w:rPr>
          <w:sz w:val="20"/>
          <w:szCs w:val="20"/>
          <w:color w:val="auto"/>
        </w:rPr>
      </w:pPr>
    </w:p>
    <w:p>
      <w:pPr>
        <w:jc w:val="both"/>
        <w:spacing w:after="0"/>
        <w:rPr>
          <w:sz w:val="20"/>
          <w:szCs w:val="20"/>
          <w:color w:val="auto"/>
        </w:rPr>
      </w:pPr>
      <w:r>
        <w:rPr>
          <w:rFonts w:ascii="Arial" w:cs="Arial" w:eastAsia="Arial" w:hAnsi="Arial"/>
          <w:sz w:val="17"/>
          <w:szCs w:val="17"/>
          <w:color w:val="auto"/>
        </w:rPr>
        <w:t>growth with existing customers that we are expecting, our current and future sales and revenue may be materially and adversely harmed, or we may recognize an impairment loss, and our business may not succeed.</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operations of our third-party manufacturing partners and suppliers have been and could continue to be disrupted by conditions unrelated to our business or operations or that are beyond our control, including but not limited to international trade restrictions, inflation, supply chain disruptions,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Our suppliers have raised their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For example, in response to a surge in COVID-19 infections in the first half of 2022, the Chinese government imposed lockdowns in certain parts of the country, which has had, and may continue to have, a negative impact on manufacturing and/or supply chains, in addition to customer demand for our products and demand through certain distributors. If as a result of global economic or political instability, such as the ongoing escalation of the situation in Ukraine, other disease outbreaks, or supply issues, we or our contractors could experience shortages, business disruptions or delays for materials sourced or manufactured in the affected countries, and their ability to supply us with instruments or product components may be affected. From time to time, certain components of our systems and reagents may reach the end of their life cycles or become obsoleted by our suppliers, and we would have to procure alternative sources for these end-of-life products.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from COVID-19 infections are reduced, supply issues or business disruptions are resolved and/or other sources can be developed.</w:t>
      </w:r>
    </w:p>
    <w:p>
      <w:pPr>
        <w:spacing w:after="0" w:line="34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addition, because our semiconductor suppliers are in regions that may have communities with low vaccination rates, the Omicron variant of COVID-19, or any variants that evolve in the future, could lead to increased infections among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our business, operations, financial condition, and prospects could be materially and adversely harmed.</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and has been and may in the future be below desired yields and resulting output levels. We have experienced and may experience in the future manufacturing delays, product defects, variability in the performance of SMRT Cells and other products, inadequate reserves for inventory, or other issues.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we experience increased cases of COVID-19 among our employees, or if our suppliers are unable to meet our increased demand at a time when the supply chain is under duress due to potential dislocations and disruptions in product and employee availability due to COVID-19.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Rapidly changing technology in life sciences and research diagnostics could make our products obsolete unless we continue to develop, manufacture and commercialize new and improved products and pursue new opportunities.</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8M and Sequel II/IIe Systems, could diminish future demand for our products and may materially and adversely harm our future operating results.</w:t>
      </w:r>
    </w:p>
    <w:p>
      <w:pPr>
        <w:spacing w:after="0" w:line="170" w:lineRule="exact"/>
        <w:rPr>
          <w:sz w:val="20"/>
          <w:szCs w:val="20"/>
          <w:color w:val="auto"/>
        </w:rPr>
      </w:pPr>
    </w:p>
    <w:p>
      <w:pPr>
        <w:jc w:val="both"/>
        <w:spacing w:after="0" w:line="225" w:lineRule="auto"/>
        <w:rPr>
          <w:sz w:val="20"/>
          <w:szCs w:val="20"/>
          <w:color w:val="auto"/>
        </w:rPr>
      </w:pPr>
      <w:r>
        <w:rPr>
          <w:rFonts w:ascii="Arial" w:cs="Arial" w:eastAsia="Arial" w:hAnsi="Arial"/>
          <w:sz w:val="17"/>
          <w:szCs w:val="17"/>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not able to compete effectively, our business and operating results will likely be harmed.</w:t>
      </w:r>
    </w:p>
    <w:p>
      <w:pPr>
        <w:spacing w:after="0" w:line="195"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Thermo Fisher Scientific, Oxford Nanopore Technologies Ltd. (“ONT Ltd.”), Roche, and Qiagen. Companies that may enter the market may include Ultima Genomics, Element Biosciences and Singular Genomics.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successfully increase sales of our current products or market and sell our future products.</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4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our ability to attract, retain and manage qualified sales, marketing and service personnel necessary to expand market acceptance for our technologies;</w:t>
      </w:r>
    </w:p>
    <w:p>
      <w:pPr>
        <w:spacing w:after="0" w:line="333" w:lineRule="exact"/>
        <w:rPr>
          <w:sz w:val="20"/>
          <w:szCs w:val="20"/>
          <w:color w:val="auto"/>
        </w:rPr>
      </w:pPr>
    </w:p>
    <w:p>
      <w:pPr>
        <w:ind w:left="1020" w:right="120"/>
        <w:spacing w:after="0" w:line="351" w:lineRule="auto"/>
        <w:rPr>
          <w:sz w:val="20"/>
          <w:szCs w:val="20"/>
          <w:color w:val="auto"/>
        </w:rPr>
      </w:pPr>
      <w:r>
        <w:rPr>
          <w:rFonts w:ascii="Arial" w:cs="Arial" w:eastAsia="Arial" w:hAnsi="Arial"/>
          <w:sz w:val="15"/>
          <w:szCs w:val="15"/>
          <w:color w:val="auto"/>
        </w:rPr>
        <w:t>the performance and commercial availability expectations of our existing and potential customers with respect to new and existing products; availability of potential sales and distribution partners to sell our technologies, and our ability to attract and retain such sales and distribution partners;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time and cost of maintaining and growing a specialized sales, marketing and service force for a particular application, which may be difficult to justify in light of the revenue generated; and</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our sales, marketing and service force may be unable to execute successful commercial activities.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rPr>
          <w:sz w:val="20"/>
          <w:szCs w:val="20"/>
          <w:color w:val="auto"/>
        </w:rPr>
      </w:pPr>
      <w:r>
        <w:rPr>
          <w:rFonts w:ascii="Arial" w:cs="Arial" w:eastAsia="Arial" w:hAnsi="Arial"/>
          <w:sz w:val="17"/>
          <w:szCs w:val="17"/>
          <w:color w:val="auto"/>
        </w:rPr>
        <w:t>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5"/>
          <w:szCs w:val="15"/>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1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We receive a significant portion of our revenue from a limited number of customers. For example, for the fiscal years ended December 31, 2021, 2020 and 2019, one of our customers, who is our primary distributor in China, accounted for approximately 13%, 14% and 17% of our total revenue, respectively.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4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6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Products using our SMRT sequencing technology are highly complex and may develop or contain undetected defects or errors. Our customers have experienced and may continue to experience reliability issues with our existing and future products, including the Sequel System and the Sequel II/IIe Systems.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SMRT Cell 8M and Sequel II/IIe Systems, or enhancements to our existing products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172"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65"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convert our orders in backlog into revenue.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4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Our sales cycle is unpredictable and lengthy, which makes it difficult to forecast revenue and may increase the magnitude of quarterly or annual fluctuations in our operating results.</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Because some of our customers and suppliers are based in China, our business, financial condition and results of operations could be adversely affected by the political and economic tensions between the United States and China.</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We are subject to risks associated with political conflicts between the U.S. and China. A significant portion of our revenue is generated from China. For example, for the fiscal years ended December 31, 2021, 2020 and 2019, one customer, who is our primary distributor in China, accounted for approximately 13%, 14% and 17% of our total revenue, respectively.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Tariffs and or other trade barriers were previously imposed between the U.S. and China, the scope and duration of which, remain uncertain. Beginning in September 2018, the U.S. Trade Representative (the “USTR”) enacted various tariffs of 7.5%, 10%, 15% and 25% on the import of Chinese products, including non-U.S. components and materials that may be used in our products. These tariffs have and could continue to raise our costs. China also has imposed tariffs on imports into China from the United States. 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 Biden Administration has continued to provide updated lists of emerging technologies subject to national security consents, and it continues to include biotechnologies including “[g]enome and protein engineering including design tools” and “[b]iomanufacturing and bioprocessing technologies.” Therefore, it is possible that our ability to export our products to China may be restricted in the future.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and adversely impact our financial results and results of operations.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Other risks could include:</w:t>
      </w:r>
    </w:p>
    <w:p>
      <w:pPr>
        <w:spacing w:after="0" w:line="57" w:lineRule="exact"/>
        <w:rPr>
          <w:sz w:val="20"/>
          <w:szCs w:val="20"/>
          <w:color w:val="auto"/>
        </w:rPr>
      </w:pPr>
    </w:p>
    <w:p>
      <w:pPr>
        <w:jc w:val="both"/>
        <w:ind w:left="1020"/>
        <w:spacing w:after="0" w:line="232" w:lineRule="auto"/>
        <w:rPr>
          <w:sz w:val="20"/>
          <w:szCs w:val="20"/>
          <w:color w:val="auto"/>
        </w:rPr>
      </w:pPr>
      <w:r>
        <w:rPr>
          <w:rFonts w:ascii="Arial" w:cs="Arial" w:eastAsia="Arial" w:hAnsi="Arial"/>
          <w:sz w:val="17"/>
          <w:szCs w:val="17"/>
          <w:color w:val="auto"/>
        </w:rPr>
        <w:t>interruptions to operations in China as a result of the COVID-19 pandemic or other disease outbreaks and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40" w:lineRule="exact"/>
        <w:rPr>
          <w:sz w:val="20"/>
          <w:szCs w:val="20"/>
          <w:color w:val="auto"/>
        </w:rPr>
      </w:pPr>
    </w:p>
    <w:p>
      <w:pPr>
        <w:jc w:val="both"/>
        <w:ind w:left="1020"/>
        <w:spacing w:after="0"/>
        <w:rPr>
          <w:sz w:val="20"/>
          <w:szCs w:val="20"/>
          <w:color w:val="auto"/>
        </w:rPr>
      </w:pPr>
      <w:r>
        <w:rPr>
          <w:rFonts w:ascii="Arial" w:cs="Arial" w:eastAsia="Arial" w:hAnsi="Arial"/>
          <w:sz w:val="17"/>
          <w:szCs w:val="17"/>
          <w:color w:val="auto"/>
        </w:rPr>
        <w:t>product supply disruptions and increased costs as a result of heightened exposure to changes in the policies of the Chinese government, political unrest or unstable economic conditions in China; and</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nationalization or other expropriation of private enterprises or intellectual property by the Chinese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Difficulties in this relationship may require us to take actions adverse to our business to comply with governmental restrictions on business and trade with China.</w:t>
      </w:r>
    </w:p>
    <w:p>
      <w:pPr>
        <w:spacing w:after="0" w:line="207"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In addition, our consumable chips are partly manufactured by a company based in Taiwan. Our supply of consumables chips and other critical components may be materially and adversely affected by diplomatic, geopolitical and other developments affecting the relationship between China and Taiwan. Accordingly, there is a risk that current political tensions between China and Taiwan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 may cause fluctuations in our revenue and results of operations.</w:t>
      </w:r>
    </w:p>
    <w:p>
      <w:pPr>
        <w:spacing w:after="0" w:line="184"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operate on a December 31st year-end and believe that there are significant seasonal factors which may cause sales of our products, and particularly our sequencing instruments, to vary on a quarterly or yearly basis, contribute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have materially impacted the value of our deferred tax assets and liabilities, and could adversely affect our future taxable income and effective tax rate.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39" w:lineRule="exact"/>
        <w:rPr>
          <w:sz w:val="20"/>
          <w:szCs w:val="20"/>
          <w:color w:val="auto"/>
        </w:rPr>
      </w:pPr>
    </w:p>
    <w:p>
      <w:pPr>
        <w:ind w:left="1020" w:right="700"/>
        <w:spacing w:after="0" w:line="310" w:lineRule="auto"/>
        <w:rPr>
          <w:sz w:val="20"/>
          <w:szCs w:val="20"/>
          <w:color w:val="auto"/>
        </w:rPr>
      </w:pPr>
      <w:r>
        <w:rPr>
          <w:rFonts w:ascii="Arial" w:cs="Arial" w:eastAsia="Arial" w:hAnsi="Arial"/>
          <w:sz w:val="17"/>
          <w:szCs w:val="17"/>
          <w:color w:val="auto"/>
        </w:rPr>
        <w:t>we or our licensors might not have been the first to make the inventions covered by each of our pending patent applications or issued patents; we or our licensors might not have been the first to file patent applications for these inventions;</w:t>
      </w:r>
    </w:p>
    <w:p>
      <w:pPr>
        <w:ind w:left="1020"/>
        <w:spacing w:after="0"/>
        <w:rPr>
          <w:sz w:val="20"/>
          <w:szCs w:val="20"/>
          <w:color w:val="auto"/>
        </w:rPr>
      </w:pPr>
      <w:r>
        <w:rPr>
          <w:rFonts w:ascii="Arial" w:cs="Arial" w:eastAsia="Arial" w:hAnsi="Arial"/>
          <w:sz w:val="16"/>
          <w:szCs w:val="16"/>
          <w:color w:val="auto"/>
        </w:rPr>
        <w:t>it is possible that neither our pending patent applications nor the pending patent applications of our licensors will result in issued patents;</w:t>
      </w:r>
    </w:p>
    <w:p>
      <w:pPr>
        <w:spacing w:after="0" w:line="69" w:lineRule="exact"/>
        <w:rPr>
          <w:sz w:val="20"/>
          <w:szCs w:val="20"/>
          <w:color w:val="auto"/>
        </w:rPr>
      </w:pPr>
    </w:p>
    <w:p>
      <w:pPr>
        <w:jc w:val="both"/>
        <w:ind w:left="1020"/>
        <w:spacing w:after="0" w:line="270" w:lineRule="auto"/>
        <w:rPr>
          <w:sz w:val="20"/>
          <w:szCs w:val="20"/>
          <w:color w:val="auto"/>
        </w:rPr>
      </w:pPr>
      <w:r>
        <w:rPr>
          <w:rFonts w:ascii="Arial" w:cs="Arial" w:eastAsia="Arial" w:hAnsi="Arial"/>
          <w:sz w:val="16"/>
          <w:szCs w:val="16"/>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16" w:lineRule="exact"/>
        <w:rPr>
          <w:sz w:val="20"/>
          <w:szCs w:val="20"/>
          <w:color w:val="auto"/>
        </w:rPr>
      </w:pPr>
    </w:p>
    <w:p>
      <w:pPr>
        <w:jc w:val="both"/>
        <w:ind w:left="1020"/>
        <w:spacing w:after="0" w:line="232" w:lineRule="auto"/>
        <w:rPr>
          <w:sz w:val="20"/>
          <w:szCs w:val="20"/>
          <w:color w:val="auto"/>
        </w:rPr>
      </w:pPr>
      <w:r>
        <w:rPr>
          <w:rFonts w:ascii="Arial" w:cs="Arial" w:eastAsia="Arial" w:hAnsi="Arial"/>
          <w:sz w:val="17"/>
          <w:szCs w:val="17"/>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4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our enforcement of patents and proprietary rights in other countries may be problematic or unpredictable;</w:t>
      </w:r>
    </w:p>
    <w:p>
      <w:pPr>
        <w:spacing w:after="0" w:line="57" w:lineRule="exact"/>
        <w:rPr>
          <w:sz w:val="20"/>
          <w:szCs w:val="20"/>
          <w:color w:val="auto"/>
        </w:rPr>
      </w:pPr>
    </w:p>
    <w:p>
      <w:pPr>
        <w:jc w:val="both"/>
        <w:ind w:left="1020"/>
        <w:spacing w:after="0"/>
        <w:rPr>
          <w:sz w:val="20"/>
          <w:szCs w:val="20"/>
          <w:color w:val="auto"/>
        </w:rPr>
      </w:pPr>
      <w:r>
        <w:rPr>
          <w:rFonts w:ascii="Arial" w:cs="Arial" w:eastAsia="Arial" w:hAnsi="Arial"/>
          <w:sz w:val="17"/>
          <w:szCs w:val="17"/>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we or our partners may not adequately protect our trade secrets;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we may not develop additional proprietary technologies that are patentable; or</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patents of others may limit our freedom to operate and prevent us from commercializing our technology in accordance with our plans.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Variability in intellectual property laws may adversely affect our intellectual property position.</w:t>
      </w:r>
    </w:p>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65"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intellectual property may be subject to challenges in the United States or foreign jurisdictions that could adversely affect our intellectual property position.</w:t>
      </w:r>
    </w:p>
    <w:p>
      <w:pPr>
        <w:spacing w:after="0" w:line="21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certain patents that we have asserted against ONT Inc. and ONT Ltd. in litigation proceedings for patent infringement. While none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requested by ONT were instituted by the U.S. Patent and Trademark Office, challenges of this nature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technology is subject to “march-in” rights by the U.S. government.</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involved in legal proceedings to enforce our intellectual property rights.</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Personal Genomics of Taiwan, Inc.(“PGI”), and we were previously involved in other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not yet registered some of our trademarks in all of our potential markets, and failure to secure those registrations could adversely affect our business.</w:t>
      </w:r>
    </w:p>
    <w:p>
      <w:pPr>
        <w:spacing w:after="0" w:line="21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“open source” software could adversely affect our ability to sell our products and subject us to possible litigation.</w:t>
      </w:r>
    </w:p>
    <w:p>
      <w:pPr>
        <w:spacing w:after="0" w:line="184"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and may become, subject to governmental regulations that may impose burdens on our operations, and the markets for our products may be narrowed.</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increases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169" w:lineRule="exact"/>
        <w:rPr>
          <w:sz w:val="20"/>
          <w:szCs w:val="20"/>
          <w:color w:val="auto"/>
        </w:rPr>
      </w:pPr>
    </w:p>
    <w:p>
      <w:pPr>
        <w:jc w:val="both"/>
        <w:spacing w:after="0" w:line="303" w:lineRule="auto"/>
        <w:rPr>
          <w:sz w:val="20"/>
          <w:szCs w:val="20"/>
          <w:color w:val="auto"/>
        </w:rPr>
      </w:pPr>
      <w:r>
        <w:rPr>
          <w:rFonts w:ascii="Arial" w:cs="Arial" w:eastAsia="Arial" w:hAnsi="Arial"/>
          <w:sz w:val="14"/>
          <w:szCs w:val="14"/>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12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176"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developing and offering LDTs. However, in 2014, the FDA issued two draft guidance documents that set forth the FDA’s proposed risk-based framework for regulating LDTs, which are designed, manufactured, and used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5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Additionally,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As part of the Trump Administration’s efforts to combat COVID-19 and consistent with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(“EUA”), for an LDT may nonetheless voluntarily submit a premarket approval application (“PMA”),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In November 2021, HHS under the Biden Administration issued a statement that withdrew the 2020 policy announcement issued under the Trump Administration, stating that HHS does not have a policy on LDTs that is separate from FDA’s longstanding approach. The FDA also issued a revised version of its COVID-19 test policy that states the FDA expects newly offered COVID-19 tests, including LDTs, to have an EUA, or traditional marketing authorization such as a granted De Novo or cleared 510(k), prior to clinical use.</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6"/>
          <w:szCs w:val="16"/>
          <w:color w:val="auto"/>
        </w:rPr>
        <w:t>Further, in June 2021, Congress introduced an updated legislation called the Verifying Accurate, Leading-edge IVCT Development Act (VALID Act), which, if enacted, will establish a new risk-based regulatory framework for in vitro clinical tests (IVCTs), which include IVDs, LDTs, collection devices, and instruments used with such tests, and a technology certification program, among other proposals. The adoption of new restrictions on IVDs, LDTs, or RUOs, whether by the FDA or Congress, could adversely affect our ability to commercialize our products and the demand for our specialized reagents and instruments. Further, we could be required to obtain premarket clearance or approval from the FDA before we can sell our products to certain customers.</w:t>
      </w:r>
    </w:p>
    <w:p>
      <w:pPr>
        <w:spacing w:after="0" w:line="167"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rPr>
          <w:sz w:val="20"/>
          <w:szCs w:val="20"/>
          <w:color w:val="auto"/>
        </w:rPr>
      </w:pPr>
      <w:r>
        <w:rPr>
          <w:rFonts w:ascii="Arial" w:cs="Arial" w:eastAsia="Arial" w:hAnsi="Arial"/>
          <w:sz w:val="17"/>
          <w:szCs w:val="17"/>
          <w:color w:val="auto"/>
        </w:rPr>
        <w:t>operations and financial condition may be adversely affected. In addition, the FDA could consider our products to be misbranded or adulterated under the Federal Food, Drug, and Cosmetic Act and subject to recall and/or other enforcement action.</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auto"/>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16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5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Enhanced trade tariffs, import restrictions, export restrictions, Chinese regulations or other trade barriers may materially harm our business.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We are continuing to expand our international operations as part of our growth strategy and have experienced an increasing concentration of sales in certain regions outside the United States, especially the Asia-Pacific region.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and adversely impact our financial results and results of operations.</w:t>
      </w:r>
    </w:p>
    <w:p>
      <w:pPr>
        <w:spacing w:after="0" w:line="37"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Our international business could expose us to business, regulatory, political, operational, financial, and economic risks associated with doing business outside of the United States.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33" w:lineRule="exact"/>
        <w:rPr>
          <w:sz w:val="20"/>
          <w:szCs w:val="20"/>
          <w:color w:val="auto"/>
        </w:rPr>
      </w:pPr>
    </w:p>
    <w:p>
      <w:pPr>
        <w:jc w:val="both"/>
        <w:ind w:left="1020"/>
        <w:spacing w:after="0" w:line="265" w:lineRule="auto"/>
        <w:rPr>
          <w:sz w:val="20"/>
          <w:szCs w:val="20"/>
          <w:color w:val="auto"/>
        </w:rPr>
      </w:pPr>
      <w:r>
        <w:rPr>
          <w:rFonts w:ascii="Arial" w:cs="Arial" w:eastAsia="Arial" w:hAnsi="Arial"/>
          <w:sz w:val="15"/>
          <w:szCs w:val="15"/>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22" w:lineRule="exact"/>
        <w:rPr>
          <w:sz w:val="20"/>
          <w:szCs w:val="20"/>
          <w:color w:val="auto"/>
        </w:rPr>
      </w:pPr>
    </w:p>
    <w:p>
      <w:pPr>
        <w:jc w:val="both"/>
        <w:ind w:left="1020"/>
        <w:spacing w:after="0"/>
        <w:rPr>
          <w:sz w:val="20"/>
          <w:szCs w:val="20"/>
          <w:color w:val="auto"/>
        </w:rPr>
      </w:pPr>
      <w:r>
        <w:rPr>
          <w:rFonts w:ascii="Arial" w:cs="Arial" w:eastAsia="Arial" w:hAnsi="Arial"/>
          <w:sz w:val="17"/>
          <w:szCs w:val="17"/>
          <w:color w:val="auto"/>
        </w:rPr>
        <w:t>required compliance with U.S. laws such as the Foreign Corrupt Practices Act, and other U.S. federal laws and regulations established by the Office of Foreign Asset Control;</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export requirements and import or trade restrictions;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laws and business practices favoring local companies;</w:t>
      </w:r>
    </w:p>
    <w:p>
      <w:pPr>
        <w:spacing w:after="0" w:line="57" w:lineRule="exact"/>
        <w:rPr>
          <w:sz w:val="20"/>
          <w:szCs w:val="20"/>
          <w:color w:val="auto"/>
        </w:rPr>
      </w:pPr>
    </w:p>
    <w:p>
      <w:pPr>
        <w:jc w:val="both"/>
        <w:ind w:left="1020"/>
        <w:spacing w:after="0"/>
        <w:rPr>
          <w:sz w:val="20"/>
          <w:szCs w:val="20"/>
          <w:color w:val="auto"/>
        </w:rPr>
      </w:pPr>
      <w:r>
        <w:rPr>
          <w:rFonts w:ascii="Arial" w:cs="Arial" w:eastAsia="Arial" w:hAnsi="Arial"/>
          <w:sz w:val="17"/>
          <w:szCs w:val="17"/>
          <w:color w:val="auto"/>
        </w:rPr>
        <w:t>foreign currency exchange, longer payment cycles and difficulties in enforcing agreements and collecting receivables through certain foreign legal systems;</w:t>
      </w:r>
    </w:p>
    <w:p>
      <w:pPr>
        <w:spacing w:after="0" w:line="39" w:lineRule="exact"/>
        <w:rPr>
          <w:sz w:val="20"/>
          <w:szCs w:val="20"/>
          <w:color w:val="auto"/>
        </w:rPr>
      </w:pPr>
    </w:p>
    <w:p>
      <w:pPr>
        <w:jc w:val="both"/>
        <w:ind w:left="1020"/>
        <w:spacing w:after="0" w:line="226" w:lineRule="auto"/>
        <w:rPr>
          <w:sz w:val="20"/>
          <w:szCs w:val="20"/>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and ongoing geopolitical tensions related to the ongoing escalation of the situation in Ukraine, resulting sanctions imposed by the U.S. and other countries, and retaliatory actions taken by Russia in response to such sanctions;</w:t>
      </w:r>
    </w:p>
    <w:p>
      <w:pPr>
        <w:spacing w:after="0" w:line="40" w:lineRule="exact"/>
        <w:rPr>
          <w:sz w:val="20"/>
          <w:szCs w:val="20"/>
          <w:color w:val="auto"/>
        </w:rPr>
      </w:pPr>
    </w:p>
    <w:p>
      <w:pPr>
        <w:ind w:left="5540" w:right="2520" w:hanging="4519"/>
        <w:spacing w:after="0"/>
        <w:rPr>
          <w:sz w:val="20"/>
          <w:szCs w:val="20"/>
          <w:color w:val="auto"/>
        </w:rPr>
      </w:pPr>
      <w:r>
        <w:rPr>
          <w:rFonts w:ascii="Arial" w:cs="Arial" w:eastAsia="Arial" w:hAnsi="Arial"/>
          <w:sz w:val="17"/>
          <w:szCs w:val="17"/>
          <w:color w:val="auto"/>
        </w:rPr>
        <w:t>potentially adverse tax consequences, tariffs, customs charges, bureaucratic requirements, and other trade barriers;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172085</wp:posOffset>
            </wp:positionV>
            <wp:extent cx="716661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difficulties and costs of staffing and managing foreign operations; and</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difficulties protecting, maintaining, enforcing or procuring intellectual property rights and defending against intellectual property claims under the law and judicial systems of other countries.</w:t>
      </w:r>
    </w:p>
    <w:p>
      <w:pPr>
        <w:spacing w:after="0" w:line="114" w:lineRule="exact"/>
        <w:rPr>
          <w:sz w:val="20"/>
          <w:szCs w:val="20"/>
          <w:color w:val="auto"/>
        </w:rPr>
      </w:pPr>
    </w:p>
    <w:p>
      <w:pPr>
        <w:jc w:val="both"/>
        <w:spacing w:after="0"/>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Ethical, legal, privacy, data protection and social concerns or governmental restrictions surrounding the use of genetic information could reduce demand for our technology.</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Owning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has been, is, and may continue to be, highly volatile, and you may be unable to sell your shares at or above the price you paid to acquire them.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actual or anticipated fluctuations in our financial condition and operating results;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announcements of new products, technological innovations or strategic partnerships by us or our competitors;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overall conditions in our industry and market;</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addition or loss of significant customers;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changes in laws or regulations applicable to our products;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actual or anticipated changes in our growth rate relative to our competitors;</w:t>
      </w:r>
    </w:p>
    <w:p>
      <w:pPr>
        <w:spacing w:after="0" w:line="57" w:lineRule="exact"/>
        <w:rPr>
          <w:sz w:val="20"/>
          <w:szCs w:val="20"/>
          <w:color w:val="auto"/>
        </w:rPr>
      </w:pPr>
    </w:p>
    <w:p>
      <w:pPr>
        <w:jc w:val="both"/>
        <w:ind w:left="1020"/>
        <w:spacing w:after="0"/>
        <w:rPr>
          <w:sz w:val="20"/>
          <w:szCs w:val="20"/>
          <w:color w:val="auto"/>
        </w:rPr>
      </w:pPr>
      <w:r>
        <w:rPr>
          <w:rFonts w:ascii="Arial" w:cs="Arial" w:eastAsia="Arial" w:hAnsi="Arial"/>
          <w:sz w:val="17"/>
          <w:szCs w:val="17"/>
          <w:color w:val="auto"/>
        </w:rPr>
        <w:t>announcements by us or our competitors of significant acquisitions, strategic partnerships, joint ventures, capital commitments or achievement of significant milestones;</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additions or departures of key personnel;</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competition from existing products or new products that may emerge;</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issuance of new or updated research or reports by securities analysts;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fluctuations in the valuation of companies perceived by investors to be comparable to us;</w:t>
      </w:r>
    </w:p>
    <w:p>
      <w:pPr>
        <w:spacing w:after="0" w:line="57" w:lineRule="exact"/>
        <w:rPr>
          <w:sz w:val="20"/>
          <w:szCs w:val="20"/>
          <w:color w:val="auto"/>
        </w:rPr>
      </w:pPr>
    </w:p>
    <w:p>
      <w:pPr>
        <w:jc w:val="both"/>
        <w:ind w:left="1020"/>
        <w:spacing w:after="0"/>
        <w:rPr>
          <w:sz w:val="20"/>
          <w:szCs w:val="20"/>
          <w:color w:val="auto"/>
        </w:rPr>
      </w:pPr>
      <w:r>
        <w:rPr>
          <w:rFonts w:ascii="Arial" w:cs="Arial" w:eastAsia="Arial" w:hAnsi="Arial"/>
          <w:sz w:val="17"/>
          <w:szCs w:val="17"/>
          <w:color w:val="auto"/>
        </w:rPr>
        <w:t>disputes or other developments related to proprietary rights, including patents, litigation matters or our ability to obtain intellectual property protection for our technologies;</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announcement or expectation of additional financing efforts;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sales of our common stock by us or our stockholders;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stock price and volume fluctuations attributable to inconsistent trading volume levels of our shares;</w:t>
      </w:r>
    </w:p>
    <w:p>
      <w:pPr>
        <w:spacing w:after="0" w:line="5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reports, guidance and ratings issued by securities or industry analysts;</w:t>
      </w:r>
    </w:p>
    <w:p>
      <w:pPr>
        <w:ind w:left="1020"/>
        <w:spacing w:after="0"/>
        <w:rPr>
          <w:sz w:val="20"/>
          <w:szCs w:val="20"/>
          <w:color w:val="auto"/>
        </w:rPr>
      </w:pPr>
      <w:r>
        <w:rPr>
          <w:rFonts w:ascii="Arial" w:cs="Arial" w:eastAsia="Arial" w:hAnsi="Arial"/>
          <w:sz w:val="17"/>
          <w:szCs w:val="17"/>
          <w:color w:val="auto"/>
        </w:rPr>
        <w:t>operating results below the expectations of securities analysts or investors; and</w:t>
      </w:r>
    </w:p>
    <w:p>
      <w:pPr>
        <w:spacing w:after="0" w:line="43" w:lineRule="exact"/>
        <w:rPr>
          <w:sz w:val="20"/>
          <w:szCs w:val="20"/>
          <w:color w:val="auto"/>
        </w:rPr>
      </w:pPr>
    </w:p>
    <w:p>
      <w:pPr>
        <w:jc w:val="both"/>
        <w:ind w:left="1020"/>
        <w:spacing w:after="0" w:line="228" w:lineRule="auto"/>
        <w:rPr>
          <w:sz w:val="20"/>
          <w:szCs w:val="20"/>
          <w:color w:val="auto"/>
        </w:rPr>
      </w:pPr>
      <w:r>
        <w:rPr>
          <w:rFonts w:ascii="Arial" w:cs="Arial" w:eastAsia="Arial" w:hAnsi="Arial"/>
          <w:sz w:val="17"/>
          <w:szCs w:val="17"/>
          <w:color w:val="auto"/>
        </w:rPr>
        <w:t>general economic and market conditions, which could be impacted by various events including COVID-19 or interest rate fluctuations, increases in fuel prices, foreign currency fluctuations, international tariffs, acts of terrorism, hostilities or the perception that hostilities may be imminent, military conflict and acts of war, including a further escalation of the situation in Ukraine and the related response, including sanctions or other restrictive actions, by the United States and/or other countries.</w:t>
      </w:r>
    </w:p>
    <w:p>
      <w:pPr>
        <w:spacing w:after="0" w:line="167"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If any of the forgoing occurs, it would cause our stock price or trading volume to decline. Stock markets in general and the market for companies in our industry in particular have experienced price and volume fluctuations, which have been exacerbated by the COVID-19 pandemic, and current macroeconomic trends and geopolitical events, and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166"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142"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On September 20, 2021, in connection with the closing of the Omniome Merger, we completed a Private Placement for the sale of an aggregate of 11,214,953 shares of our common stock, at a price of $26.75 per share, for aggregate gross proceeds of approximately $300 million (the “Private Placement”), and registered the Private Placement shares for resale on a registration statement on Form S-3. The Private Placement Investors may sell any or all of their shares pursuant to the registration statement from time to time.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ownership by our principal stockholders may result in control by such stockholders of the composition of our board of directors.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Also, SB Northstar LP, a subsidiary of SoftBank Group Corp., purchased $900 million in aggregate principal amount of our 1.50% Convertible Senior Notes due 2028, convertible at the option of the holders at any time into shares of our common stock based on an initial conversion rate of 22.9885 shares of common stock per $1,000 principal amount of the Notes (which is equal to an initial conversion price of $43.50 per share). In addition, the Private Placement included the sale of approximately $60 million of our common stock to SB Northstar LP. As a result, these current and future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5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17"/>
          <w:szCs w:val="17"/>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6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specify that special meetings of our stockholders can be called only by our board of directors, the Chair of the Board, the Chief Executive Officer or the President;</w:t>
      </w:r>
    </w:p>
    <w:p>
      <w:pPr>
        <w:spacing w:after="0" w:line="200" w:lineRule="exact"/>
        <w:rPr>
          <w:sz w:val="20"/>
          <w:szCs w:val="20"/>
          <w:color w:val="auto"/>
        </w:rPr>
      </w:pPr>
    </w:p>
    <w:p>
      <w:pPr>
        <w:spacing w:after="0" w:line="344" w:lineRule="exact"/>
        <w:rPr>
          <w:sz w:val="20"/>
          <w:szCs w:val="20"/>
          <w:color w:val="auto"/>
        </w:rPr>
      </w:pPr>
    </w:p>
    <w:p>
      <w:pPr>
        <w:ind w:left="1020"/>
        <w:spacing w:after="0" w:line="225" w:lineRule="auto"/>
        <w:rPr>
          <w:sz w:val="20"/>
          <w:szCs w:val="20"/>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8" w:lineRule="exact"/>
        <w:rPr>
          <w:sz w:val="20"/>
          <w:szCs w:val="20"/>
          <w:color w:val="auto"/>
        </w:rPr>
      </w:pPr>
    </w:p>
    <w:p>
      <w:pPr>
        <w:ind w:left="1020" w:right="1100"/>
        <w:spacing w:after="0" w:line="310" w:lineRule="auto"/>
        <w:rPr>
          <w:sz w:val="20"/>
          <w:szCs w:val="20"/>
          <w:color w:val="auto"/>
        </w:rPr>
      </w:pPr>
      <w:r>
        <w:rPr>
          <w:rFonts w:ascii="Arial" w:cs="Arial" w:eastAsia="Arial" w:hAnsi="Arial"/>
          <w:sz w:val="17"/>
          <w:szCs w:val="17"/>
          <w:color w:val="auto"/>
        </w:rPr>
        <w:t>establish that our board of directors is divided into three classes, Class I, Class II and Class III, with each class serving staggered terms; provide that our directors may be removed only for cause; and</w:t>
      </w:r>
    </w:p>
    <w:p>
      <w:pPr>
        <w:ind w:left="1020"/>
        <w:spacing w:after="0"/>
        <w:rPr>
          <w:sz w:val="20"/>
          <w:szCs w:val="20"/>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breach of fiduciary duty owed by any of our current or former directors, officers or other employees to us or our stockholders; (iii) any action asserting a claim arising pursuant to any provision of the Delaware General Corporation Law;</w:t>
      </w:r>
    </w:p>
    <w:p>
      <w:pPr>
        <w:spacing w:after="0" w:line="2" w:lineRule="exact"/>
        <w:rPr>
          <w:sz w:val="20"/>
          <w:szCs w:val="20"/>
          <w:color w:val="auto"/>
        </w:rPr>
      </w:pPr>
    </w:p>
    <w:p>
      <w:pPr>
        <w:jc w:val="both"/>
        <w:ind w:firstLine="1"/>
        <w:spacing w:after="0" w:line="237" w:lineRule="auto"/>
        <w:tabs>
          <w:tab w:leader="none" w:pos="285"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action to interpret, apply, enforce or determine the validity of our amended and restated certificate of incorporation or our amended and restated bylaws; or (v) any action asserting a claim against us that is governed by the internal affairs doctrine, subject to the court having personal jurisdiction over the indispensable parties named as defendants therein. This provision is not intended to apply to actions arising under the Securities Act or the Exchange Act, or any claim for which the federal courts have exclusive jurisdiction. Any person or entity purchasing or otherwise acquiring any interest in shares of our capital stock shall be deemed to have notice of and consented to this provision. This exclusive-forum provision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large number of authorized but unissued shares of common stock may potentially dilute existing stockholders’ stockholdings.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Notes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 February 2021, we issued $900.0 million in aggregate principal amount of 1.50% Convertible Senior Notes due 2028, which we refer to as the Notes. The Notes will mature on February 15, 2028, subject to earlier conversion, redemption or repurchase, including upon a fundamental change. 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Notes are converted, it may adversely affect our financial condition and operating results.</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General conditions in the global economy and in the global financial markets could adversely affect our results of operations, including the potential effects from the ongoing COVID-19 pandemic as discussed above,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escalation of the situation in Ukraine and the related response,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Delivery of our products could be delayed or disrupted by factors beyond our control, and we could lose customers as a result.</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Doing business internationally creates operational and financial risks for our business.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4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limits to travel as a result of the COVID-19 pandemic;</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challenges in staffing and managing foreign operations;</w:t>
      </w:r>
    </w:p>
    <w:p>
      <w:pPr>
        <w:spacing w:after="0" w:line="57" w:lineRule="exact"/>
        <w:rPr>
          <w:sz w:val="20"/>
          <w:szCs w:val="20"/>
          <w:color w:val="auto"/>
        </w:rPr>
      </w:pPr>
    </w:p>
    <w:p>
      <w:pPr>
        <w:ind w:left="1020" w:right="260"/>
        <w:spacing w:after="0" w:line="310" w:lineRule="auto"/>
        <w:rPr>
          <w:sz w:val="20"/>
          <w:szCs w:val="20"/>
          <w:color w:val="auto"/>
        </w:rPr>
      </w:pPr>
      <w:r>
        <w:rPr>
          <w:rFonts w:ascii="Arial" w:cs="Arial" w:eastAsia="Arial" w:hAnsi="Arial"/>
          <w:sz w:val="17"/>
          <w:szCs w:val="17"/>
          <w:color w:val="auto"/>
        </w:rPr>
        <w:t>potentially longer sales cycles and more time required to engage and educate customers on the benefits of our platform outside of the United States; the potential need for localized software and documentation;</w:t>
      </w:r>
    </w:p>
    <w:p>
      <w:pPr>
        <w:ind w:left="1020"/>
        <w:spacing w:after="0"/>
        <w:rPr>
          <w:sz w:val="20"/>
          <w:szCs w:val="20"/>
          <w:color w:val="auto"/>
        </w:rPr>
      </w:pPr>
      <w:r>
        <w:rPr>
          <w:rFonts w:ascii="Arial" w:cs="Arial" w:eastAsia="Arial" w:hAnsi="Arial"/>
          <w:sz w:val="17"/>
          <w:szCs w:val="17"/>
          <w:color w:val="auto"/>
        </w:rPr>
        <w:t>reduced protection for intellectual property rights in some countries and practical difficulties of enforcing intellectual property and contract rights abroad;</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defending against intellectual property claims in other countries;</w:t>
      </w:r>
    </w:p>
    <w:p>
      <w:pPr>
        <w:spacing w:after="0" w:line="310" w:lineRule="exact"/>
        <w:rPr>
          <w:sz w:val="20"/>
          <w:szCs w:val="20"/>
          <w:color w:val="auto"/>
        </w:rPr>
      </w:pPr>
    </w:p>
    <w:p>
      <w:pPr>
        <w:ind w:left="1020"/>
        <w:spacing w:after="0" w:line="225" w:lineRule="auto"/>
        <w:rPr>
          <w:sz w:val="20"/>
          <w:szCs w:val="20"/>
          <w:color w:val="auto"/>
        </w:rPr>
      </w:pPr>
      <w:r>
        <w:rPr>
          <w:rFonts w:ascii="Arial" w:cs="Arial" w:eastAsia="Arial" w:hAnsi="Arial"/>
          <w:sz w:val="17"/>
          <w:szCs w:val="17"/>
          <w:color w:val="auto"/>
        </w:rPr>
        <w:t>restriction on cross-border investment, including enhanced oversight by the Committee on Foreign Investment in the United States (“CFIUS”) and substantial restrictions on investment from China;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8" w:lineRule="exact"/>
        <w:rPr>
          <w:sz w:val="20"/>
          <w:szCs w:val="20"/>
          <w:color w:val="auto"/>
        </w:rPr>
      </w:pPr>
    </w:p>
    <w:p>
      <w:pPr>
        <w:jc w:val="both"/>
        <w:ind w:left="1020"/>
        <w:spacing w:after="0"/>
        <w:rPr>
          <w:sz w:val="20"/>
          <w:szCs w:val="20"/>
          <w:color w:val="auto"/>
        </w:rPr>
      </w:pPr>
      <w:r>
        <w:rPr>
          <w:rFonts w:ascii="Arial" w:cs="Arial" w:eastAsia="Arial" w:hAnsi="Arial"/>
          <w:sz w:val="17"/>
          <w:szCs w:val="17"/>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39" w:lineRule="exact"/>
        <w:rPr>
          <w:sz w:val="20"/>
          <w:szCs w:val="20"/>
          <w:color w:val="auto"/>
        </w:rPr>
      </w:pPr>
    </w:p>
    <w:p>
      <w:pPr>
        <w:jc w:val="both"/>
        <w:ind w:left="1020"/>
        <w:spacing w:after="0"/>
        <w:rPr>
          <w:sz w:val="20"/>
          <w:szCs w:val="20"/>
          <w:color w:val="auto"/>
        </w:rPr>
      </w:pPr>
      <w:r>
        <w:rPr>
          <w:rFonts w:ascii="Arial" w:cs="Arial" w:eastAsia="Arial" w:hAnsi="Arial"/>
          <w:sz w:val="17"/>
          <w:szCs w:val="17"/>
          <w:color w:val="auto"/>
        </w:rPr>
        <w:t>changes in diplomatic and trade relationships, including new tariffs, trade protection measures, import or export licensing requirements, trade embargoes, sanctions and other trade barriers;</w:t>
      </w:r>
    </w:p>
    <w:p>
      <w:pPr>
        <w:spacing w:after="0" w:line="39" w:lineRule="exact"/>
        <w:rPr>
          <w:sz w:val="20"/>
          <w:szCs w:val="20"/>
          <w:color w:val="auto"/>
        </w:rPr>
      </w:pPr>
    </w:p>
    <w:p>
      <w:pPr>
        <w:jc w:val="both"/>
        <w:ind w:left="1020"/>
        <w:spacing w:after="0" w:line="228" w:lineRule="auto"/>
        <w:rPr>
          <w:sz w:val="20"/>
          <w:szCs w:val="20"/>
          <w:color w:val="auto"/>
        </w:rPr>
      </w:pPr>
      <w:r>
        <w:rPr>
          <w:rFonts w:ascii="Arial" w:cs="Arial" w:eastAsia="Arial" w:hAnsi="Arial"/>
          <w:sz w:val="17"/>
          <w:szCs w:val="17"/>
          <w:color w:val="auto"/>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p>
      <w:pPr>
        <w:spacing w:after="0" w:line="41" w:lineRule="exact"/>
        <w:rPr>
          <w:sz w:val="20"/>
          <w:szCs w:val="20"/>
          <w:color w:val="auto"/>
        </w:rPr>
      </w:pPr>
    </w:p>
    <w:p>
      <w:pPr>
        <w:jc w:val="both"/>
        <w:ind w:left="1020"/>
        <w:spacing w:after="0"/>
        <w:rPr>
          <w:sz w:val="20"/>
          <w:szCs w:val="20"/>
          <w:color w:val="auto"/>
        </w:rPr>
      </w:pPr>
      <w:r>
        <w:rPr>
          <w:rFonts w:ascii="Arial" w:cs="Arial" w:eastAsia="Arial" w:hAnsi="Arial"/>
          <w:sz w:val="17"/>
          <w:szCs w:val="17"/>
          <w:color w:val="auto"/>
        </w:rPr>
        <w:t>deterioration of political relations between the U.S. and Russia, China, Japan, Korea, Canada, the United Kingdom (“U.K.”) and the E.U., which could have a material adverse effect on our sales and operations in these countries;</w:t>
      </w:r>
    </w:p>
    <w:p>
      <w:pPr>
        <w:spacing w:after="0" w:line="39" w:lineRule="exact"/>
        <w:rPr>
          <w:sz w:val="20"/>
          <w:szCs w:val="20"/>
          <w:color w:val="auto"/>
        </w:rPr>
      </w:pPr>
    </w:p>
    <w:p>
      <w:pPr>
        <w:jc w:val="both"/>
        <w:ind w:left="1020"/>
        <w:spacing w:after="0" w:line="232" w:lineRule="auto"/>
        <w:rPr>
          <w:sz w:val="20"/>
          <w:szCs w:val="20"/>
          <w:color w:val="auto"/>
        </w:rPr>
      </w:pPr>
      <w:r>
        <w:rPr>
          <w:rFonts w:ascii="Arial" w:cs="Arial" w:eastAsia="Arial" w:hAnsi="Arial"/>
          <w:sz w:val="17"/>
          <w:szCs w:val="17"/>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spacing w:after="0" w:line="40" w:lineRule="exact"/>
        <w:rPr>
          <w:sz w:val="20"/>
          <w:szCs w:val="20"/>
          <w:color w:val="auto"/>
        </w:rPr>
      </w:pPr>
    </w:p>
    <w:p>
      <w:pPr>
        <w:ind w:left="1020" w:right="2080"/>
        <w:spacing w:after="0" w:line="310" w:lineRule="auto"/>
        <w:rPr>
          <w:sz w:val="20"/>
          <w:szCs w:val="20"/>
          <w:color w:val="auto"/>
        </w:rPr>
      </w:pPr>
      <w:r>
        <w:rPr>
          <w:rFonts w:ascii="Arial" w:cs="Arial" w:eastAsia="Arial" w:hAnsi="Arial"/>
          <w:sz w:val="17"/>
          <w:szCs w:val="17"/>
          <w:color w:val="auto"/>
        </w:rPr>
        <w:t>difficulties in obtaining export licenses or in overcoming other trade barriers and restrictions resulting in delivery delays; fluctuations in currency exchange rates and the related effect on our results of operations; increased financial accounting and reporting burdens and complexities;</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disruptions to global trade due to disease outbreaks or conflicts;</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potential increases on tariffs or restrictions on trade generally; and</w:t>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significant taxes or other burdens of complying with a variety of foreign laws and regulations, including laws and regulations relating to privacy and data protection such as the E.U. General Data Protection Regulation which took effect in the E.U. in 2018.</w:t>
      </w:r>
    </w:p>
    <w:p>
      <w:pPr>
        <w:spacing w:after="0" w:line="140"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6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w:t>
      </w: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rPr>
          <w:sz w:val="20"/>
          <w:szCs w:val="20"/>
          <w:color w:val="auto"/>
        </w:rPr>
      </w:pPr>
      <w:r>
        <w:rPr>
          <w:rFonts w:ascii="Arial" w:cs="Arial" w:eastAsia="Arial" w:hAnsi="Arial"/>
          <w:sz w:val="17"/>
          <w:szCs w:val="17"/>
          <w:color w:val="auto"/>
        </w:rPr>
        <w:t>actions by the United States and other countries to offset the effects of such fluctuations. Such actions may materially and adversely impact our financial condition and results of operations.</w:t>
      </w:r>
    </w:p>
    <w:p>
      <w:pPr>
        <w:spacing w:after="0" w:line="16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6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impacted by changes in the United States political environment.</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Disruption of critical information technology systems or material breaches in the security of our systems could harm our business, customer relations and financial condition.</w:t>
      </w:r>
    </w:p>
    <w:p>
      <w:pPr>
        <w:spacing w:after="0" w:line="165"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Our IT systems may be vulnerable to damage from a variety of sources, including telecommunications or network failures, power loss, natural disasters, human acts, computer viruses, ransomware,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computer denial-of-service attacks, unauthorized access to customer or employee data or company trade secrets, and other attempts to harm our systems. Furthermore, there may be a heightened risk of potential cyberattacks to which we could be vulnerable by state-sponsored actors or others in connection with the escalation of the situation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Security breaches and other disruptions could compromise our information and expose us to liability, which would cause our business and reputation to suffer.</w:t>
      </w: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 Retaliatory acts by Russia in response to Western sanctions could include cyber attacks that could disrupt the economy generally or that may either directly or indirectly impact our operations specifically.</w:t>
      </w:r>
    </w:p>
    <w:p>
      <w:pPr>
        <w:spacing w:after="0" w:line="33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7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40"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expands the CCPA, including by introducing additional obligations such as data minimization and storage limitations and granting additional rights to consumers, among others.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7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175260</wp:posOffset>
            </wp:positionV>
            <wp:extent cx="716661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If our ESG practices fail to meet regulatory requirements or investor or other industry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184150</wp:posOffset>
            </wp:positionV>
            <wp:extent cx="716661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ind w:left="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 Upon Senior Securities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 applicable.</w:t>
      </w:r>
    </w:p>
    <w:p>
      <w:pPr>
        <w:spacing w:after="0" w:line="20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184150</wp:posOffset>
            </wp:positionV>
            <wp:extent cx="716661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59"/>
          </w:cols>
          <w:pgMar w:left="300" w:top="114"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0000FF"/>
            </w:tcBorders>
          </w:tcPr>
          <w:p>
            <w:pPr>
              <w:spacing w:after="0"/>
              <w:rPr>
                <w:sz w:val="16"/>
                <w:szCs w:val="16"/>
                <w:color w:val="auto"/>
              </w:rPr>
            </w:pPr>
          </w:p>
        </w:tc>
        <w:tc>
          <w:tcPr>
            <w:tcW w:w="1200" w:type="dxa"/>
            <w:vAlign w:val="bottom"/>
            <w:tcBorders>
              <w:bottom w:val="single" w:sz="8" w:color="0000FF"/>
            </w:tcBorders>
            <w:gridSpan w:val="4"/>
          </w:tcPr>
          <w:p>
            <w:pPr>
              <w:spacing w:after="0"/>
              <w:rPr>
                <w:rFonts w:ascii="Arial" w:cs="Arial" w:eastAsia="Arial" w:hAnsi="Arial"/>
                <w:sz w:val="17"/>
                <w:szCs w:val="17"/>
                <w:color w:val="0000FF"/>
                <w:w w:val="87"/>
              </w:rPr>
            </w:pPr>
            <w:hyperlink w:anchor="page2">
              <w:r>
                <w:rPr>
                  <w:rFonts w:ascii="Arial" w:cs="Arial" w:eastAsia="Arial" w:hAnsi="Arial"/>
                  <w:sz w:val="17"/>
                  <w:szCs w:val="17"/>
                  <w:color w:val="0000FF"/>
                  <w:w w:val="87"/>
                </w:rPr>
                <w:t>Table of Contents</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1"/>
        </w:trPr>
        <w:tc>
          <w:tcPr>
            <w:tcW w:w="760" w:type="dxa"/>
            <w:vAlign w:val="bottom"/>
            <w:gridSpan w:val="4"/>
          </w:tcPr>
          <w:p>
            <w:pPr>
              <w:spacing w:after="0"/>
              <w:rPr>
                <w:sz w:val="20"/>
                <w:szCs w:val="20"/>
                <w:color w:val="auto"/>
              </w:rPr>
            </w:pPr>
            <w:r>
              <w:rPr>
                <w:rFonts w:ascii="Arial" w:cs="Arial" w:eastAsia="Arial" w:hAnsi="Arial"/>
                <w:sz w:val="17"/>
                <w:szCs w:val="17"/>
                <w:b w:val="1"/>
                <w:bCs w:val="1"/>
                <w:color w:val="auto"/>
              </w:rPr>
              <w:t>Item 6.</w:t>
            </w:r>
          </w:p>
        </w:tc>
        <w:tc>
          <w:tcPr>
            <w:tcW w:w="6660" w:type="dxa"/>
            <w:vAlign w:val="bottom"/>
            <w:gridSpan w:val="17"/>
          </w:tcPr>
          <w:p>
            <w:pPr>
              <w:ind w:left="180"/>
              <w:spacing w:after="0"/>
              <w:rPr>
                <w:sz w:val="20"/>
                <w:szCs w:val="20"/>
                <w:color w:val="auto"/>
              </w:rPr>
            </w:pPr>
            <w:r>
              <w:rPr>
                <w:rFonts w:ascii="Arial" w:cs="Arial" w:eastAsia="Arial" w:hAnsi="Arial"/>
                <w:sz w:val="17"/>
                <w:szCs w:val="17"/>
                <w:b w:val="1"/>
                <w:bCs w:val="1"/>
                <w:color w:val="auto"/>
              </w:rPr>
              <w:t>Exhibits</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5"/>
                <w:szCs w:val="15"/>
                <w:color w:val="auto"/>
              </w:rPr>
              <w:t>Exhibit No.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13"/>
            <w:vMerge w:val="restart"/>
          </w:tcPr>
          <w:p>
            <w:pPr>
              <w:ind w:left="580"/>
              <w:spacing w:after="0"/>
              <w:rPr>
                <w:sz w:val="20"/>
                <w:szCs w:val="20"/>
                <w:color w:val="auto"/>
              </w:rPr>
            </w:pPr>
            <w:r>
              <w:rPr>
                <w:rFonts w:ascii="Arial" w:cs="Arial" w:eastAsia="Arial" w:hAnsi="Arial"/>
                <w:sz w:val="15"/>
                <w:szCs w:val="15"/>
                <w:color w:val="auto"/>
              </w:rPr>
              <w:t>Description</w:t>
            </w:r>
          </w:p>
        </w:tc>
        <w:tc>
          <w:tcPr>
            <w:tcW w:w="7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ind w:left="220"/>
              <w:spacing w:after="0"/>
              <w:rPr>
                <w:sz w:val="20"/>
                <w:szCs w:val="20"/>
                <w:color w:val="auto"/>
              </w:rPr>
            </w:pPr>
            <w:r>
              <w:rPr>
                <w:rFonts w:ascii="Arial" w:cs="Arial" w:eastAsia="Arial" w:hAnsi="Arial"/>
                <w:sz w:val="15"/>
                <w:szCs w:val="15"/>
                <w:color w:val="auto"/>
              </w:rPr>
              <w:t>Incorporated by reference herein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3980" w:type="dxa"/>
            <w:vAlign w:val="bottom"/>
            <w:tcBorders>
              <w:bottom w:val="single" w:sz="8" w:color="auto"/>
            </w:tcBorders>
            <w:gridSpan w:val="13"/>
            <w:vMerge w:val="continue"/>
          </w:tcPr>
          <w:p>
            <w:pPr>
              <w:spacing w:after="0"/>
              <w:rPr>
                <w:sz w:val="12"/>
                <w:szCs w:val="12"/>
                <w:color w:val="auto"/>
              </w:rPr>
            </w:pPr>
          </w:p>
        </w:tc>
        <w:tc>
          <w:tcPr>
            <w:tcW w:w="720" w:type="dxa"/>
            <w:vAlign w:val="bottom"/>
            <w:tcBorders>
              <w:bottom w:val="single" w:sz="8" w:color="auto"/>
            </w:tcBorders>
          </w:tcPr>
          <w:p>
            <w:pPr>
              <w:ind w:left="180"/>
              <w:spacing w:after="0" w:line="144" w:lineRule="exact"/>
              <w:rPr>
                <w:sz w:val="20"/>
                <w:szCs w:val="20"/>
                <w:color w:val="auto"/>
              </w:rPr>
            </w:pPr>
            <w:r>
              <w:rPr>
                <w:rFonts w:ascii="Arial" w:cs="Arial" w:eastAsia="Arial" w:hAnsi="Arial"/>
                <w:sz w:val="15"/>
                <w:szCs w:val="15"/>
                <w:color w:val="auto"/>
              </w:rPr>
              <w:t>Form</w:t>
            </w:r>
          </w:p>
        </w:tc>
        <w:tc>
          <w:tcPr>
            <w:tcW w:w="1300" w:type="dxa"/>
            <w:vAlign w:val="bottom"/>
            <w:tcBorders>
              <w:bottom w:val="single" w:sz="8" w:color="auto"/>
            </w:tcBorders>
          </w:tcPr>
          <w:p>
            <w:pPr>
              <w:jc w:val="right"/>
              <w:ind w:right="244"/>
              <w:spacing w:after="0" w:line="144" w:lineRule="exact"/>
              <w:rPr>
                <w:sz w:val="20"/>
                <w:szCs w:val="20"/>
                <w:color w:val="auto"/>
              </w:rPr>
            </w:pPr>
            <w:r>
              <w:rPr>
                <w:rFonts w:ascii="Arial" w:cs="Arial" w:eastAsia="Arial" w:hAnsi="Arial"/>
                <w:sz w:val="15"/>
                <w:szCs w:val="15"/>
                <w:color w:val="auto"/>
              </w:rPr>
              <w:t>Exhibit No.</w:t>
            </w:r>
          </w:p>
        </w:tc>
        <w:tc>
          <w:tcPr>
            <w:tcW w:w="4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center"/>
              <w:ind w:right="480"/>
              <w:spacing w:after="0" w:line="144" w:lineRule="exact"/>
              <w:rPr>
                <w:sz w:val="20"/>
                <w:szCs w:val="20"/>
                <w:color w:val="auto"/>
              </w:rPr>
            </w:pPr>
            <w:r>
              <w:rPr>
                <w:rFonts w:ascii="Arial" w:cs="Arial" w:eastAsia="Arial" w:hAnsi="Arial"/>
                <w:sz w:val="15"/>
                <w:szCs w:val="15"/>
                <w:color w:val="auto"/>
                <w:w w:val="94"/>
              </w:rPr>
              <w:t>Filing Date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spacing w:after="0" w:line="132" w:lineRule="exact"/>
              <w:rPr>
                <w:rFonts w:ascii="Arial" w:cs="Arial" w:eastAsia="Arial" w:hAnsi="Arial"/>
                <w:sz w:val="15"/>
                <w:szCs w:val="15"/>
                <w:color w:val="0000FF"/>
              </w:rPr>
            </w:pPr>
            <w:hyperlink w:anchor="page78">
              <w:r>
                <w:rPr>
                  <w:rFonts w:ascii="Arial" w:cs="Arial" w:eastAsia="Arial" w:hAnsi="Arial"/>
                  <w:sz w:val="15"/>
                  <w:szCs w:val="15"/>
                  <w:color w:val="0000FF"/>
                </w:rPr>
                <w:t>10.</w:t>
              </w:r>
              <w:r>
                <w:rPr>
                  <w:rFonts w:ascii="Arial" w:cs="Arial" w:eastAsia="Arial" w:hAnsi="Arial"/>
                  <w:sz w:val="15"/>
                  <w:szCs w:val="15"/>
                  <w:u w:val="single" w:color="auto"/>
                  <w:color w:val="0000FF"/>
                </w:rPr>
                <w:t>1</w:t>
              </w:r>
            </w:hyperlink>
            <w:r>
              <w:rPr>
                <w:rFonts w:ascii="Arial" w:cs="Arial" w:eastAsia="Arial" w:hAnsi="Arial"/>
                <w:sz w:val="15"/>
                <w:szCs w:val="15"/>
                <w:color w:val="000000"/>
              </w:rPr>
              <w:t>†</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80" w:type="dxa"/>
            <w:vAlign w:val="bottom"/>
            <w:gridSpan w:val="15"/>
            <w:shd w:val="clear" w:color="auto" w:fill="CCEEFF"/>
          </w:tcPr>
          <w:p>
            <w:pPr>
              <w:spacing w:after="0" w:line="132" w:lineRule="exact"/>
              <w:rPr>
                <w:rFonts w:ascii="Arial" w:cs="Arial" w:eastAsia="Arial" w:hAnsi="Arial"/>
                <w:sz w:val="15"/>
                <w:szCs w:val="15"/>
                <w:color w:val="0000FF"/>
                <w:w w:val="97"/>
              </w:rPr>
            </w:pPr>
            <w:hyperlink w:anchor="page78">
              <w:r>
                <w:rPr>
                  <w:rFonts w:ascii="Arial" w:cs="Arial" w:eastAsia="Arial" w:hAnsi="Arial"/>
                  <w:sz w:val="15"/>
                  <w:szCs w:val="15"/>
                  <w:color w:val="0000FF"/>
                  <w:w w:val="97"/>
                </w:rPr>
                <w:t>Amended and Restated Development and Commercialization Agreement by and between the</w:t>
              </w:r>
            </w:hyperlink>
          </w:p>
        </w:tc>
        <w:tc>
          <w:tcPr>
            <w:tcW w:w="7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480"/>
              <w:spacing w:after="0" w:line="132" w:lineRule="exact"/>
              <w:rPr>
                <w:sz w:val="20"/>
                <w:szCs w:val="20"/>
                <w:color w:val="auto"/>
              </w:rPr>
            </w:pPr>
            <w:r>
              <w:rPr>
                <w:rFonts w:ascii="Arial" w:cs="Arial" w:eastAsia="Arial" w:hAnsi="Arial"/>
                <w:sz w:val="15"/>
                <w:szCs w:val="15"/>
                <w:color w:val="auto"/>
                <w:w w:val="94"/>
              </w:rPr>
              <w:t>Filed herewith</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0000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920" w:type="dxa"/>
            <w:vAlign w:val="bottom"/>
            <w:tcBorders>
              <w:top w:val="single" w:sz="8" w:color="0000FF"/>
            </w:tcBorders>
            <w:gridSpan w:val="8"/>
            <w:shd w:val="clear" w:color="auto" w:fill="CCEEFF"/>
          </w:tcPr>
          <w:p>
            <w:pPr>
              <w:spacing w:after="0" w:line="132" w:lineRule="exact"/>
              <w:rPr>
                <w:rFonts w:ascii="Arial" w:cs="Arial" w:eastAsia="Arial" w:hAnsi="Arial"/>
                <w:sz w:val="15"/>
                <w:szCs w:val="15"/>
                <w:color w:val="0000FF"/>
              </w:rPr>
            </w:pPr>
            <w:hyperlink w:anchor="page78">
              <w:r>
                <w:rPr>
                  <w:rFonts w:ascii="Arial" w:cs="Arial" w:eastAsia="Arial" w:hAnsi="Arial"/>
                  <w:sz w:val="15"/>
                  <w:szCs w:val="15"/>
                  <w:color w:val="0000FF"/>
                </w:rPr>
                <w:t>Registrant and Invitae Corporation dated June 24, 2022</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740" w:type="dxa"/>
            <w:vAlign w:val="bottom"/>
            <w:gridSpan w:val="3"/>
          </w:tcPr>
          <w:p>
            <w:pPr>
              <w:ind w:left="20"/>
              <w:spacing w:after="0" w:line="132" w:lineRule="exact"/>
              <w:rPr>
                <w:rFonts w:ascii="Arial" w:cs="Arial" w:eastAsia="Arial" w:hAnsi="Arial"/>
                <w:sz w:val="15"/>
                <w:szCs w:val="15"/>
                <w:color w:val="0000FF"/>
              </w:rPr>
            </w:pPr>
            <w:hyperlink r:id="rId117">
              <w:r>
                <w:rPr>
                  <w:rFonts w:ascii="Arial" w:cs="Arial" w:eastAsia="Arial" w:hAnsi="Arial"/>
                  <w:sz w:val="15"/>
                  <w:szCs w:val="15"/>
                  <w:color w:val="0000FF"/>
                </w:rPr>
                <w:t>10.</w:t>
              </w:r>
              <w:r>
                <w:rPr>
                  <w:rFonts w:ascii="Arial" w:cs="Arial" w:eastAsia="Arial" w:hAnsi="Arial"/>
                  <w:sz w:val="15"/>
                  <w:szCs w:val="15"/>
                  <w:u w:val="single" w:color="auto"/>
                  <w:color w:val="0000FF"/>
                </w:rPr>
                <w:t>2</w:t>
              </w:r>
            </w:hyperlink>
            <w:r>
              <w:rPr>
                <w:rFonts w:ascii="Arial" w:cs="Arial" w:eastAsia="Arial" w:hAnsi="Arial"/>
                <w:sz w:val="15"/>
                <w:szCs w:val="15"/>
                <w:color w:val="000000"/>
              </w:rPr>
              <w:t>+</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80" w:type="dxa"/>
            <w:vAlign w:val="bottom"/>
            <w:gridSpan w:val="15"/>
          </w:tcPr>
          <w:p>
            <w:pPr>
              <w:spacing w:after="0" w:line="132" w:lineRule="exact"/>
              <w:rPr>
                <w:rFonts w:ascii="Arial" w:cs="Arial" w:eastAsia="Arial" w:hAnsi="Arial"/>
                <w:sz w:val="15"/>
                <w:szCs w:val="15"/>
                <w:color w:val="0000FF"/>
              </w:rPr>
            </w:pPr>
            <w:hyperlink r:id="rId117">
              <w:r>
                <w:rPr>
                  <w:rFonts w:ascii="Arial" w:cs="Arial" w:eastAsia="Arial" w:hAnsi="Arial"/>
                  <w:sz w:val="15"/>
                  <w:szCs w:val="15"/>
                  <w:color w:val="0000FF"/>
                </w:rPr>
                <w:t>Pacific Biosciences of California, Inc. 2020 Equity Incentive Plan, as amended</w:t>
              </w:r>
            </w:hyperlink>
          </w:p>
        </w:tc>
        <w:tc>
          <w:tcPr>
            <w:tcW w:w="720" w:type="dxa"/>
            <w:vAlign w:val="bottom"/>
          </w:tcPr>
          <w:p>
            <w:pPr>
              <w:ind w:left="260"/>
              <w:spacing w:after="0" w:line="132" w:lineRule="exact"/>
              <w:rPr>
                <w:sz w:val="20"/>
                <w:szCs w:val="20"/>
                <w:color w:val="auto"/>
              </w:rPr>
            </w:pPr>
            <w:r>
              <w:rPr>
                <w:rFonts w:ascii="Arial" w:cs="Arial" w:eastAsia="Arial" w:hAnsi="Arial"/>
                <w:sz w:val="15"/>
                <w:szCs w:val="15"/>
                <w:color w:val="auto"/>
              </w:rPr>
              <w:t>8-K</w:t>
            </w:r>
          </w:p>
        </w:tc>
        <w:tc>
          <w:tcPr>
            <w:tcW w:w="1300" w:type="dxa"/>
            <w:vAlign w:val="bottom"/>
          </w:tcPr>
          <w:p>
            <w:pPr>
              <w:jc w:val="right"/>
              <w:ind w:right="524"/>
              <w:spacing w:after="0" w:line="132" w:lineRule="exact"/>
              <w:rPr>
                <w:sz w:val="20"/>
                <w:szCs w:val="20"/>
                <w:color w:val="auto"/>
              </w:rPr>
            </w:pPr>
            <w:r>
              <w:rPr>
                <w:rFonts w:ascii="Arial" w:cs="Arial" w:eastAsia="Arial" w:hAnsi="Arial"/>
                <w:sz w:val="15"/>
                <w:szCs w:val="15"/>
                <w:color w:val="auto"/>
              </w:rPr>
              <w:t>10.1</w:t>
            </w:r>
          </w:p>
        </w:tc>
        <w:tc>
          <w:tcPr>
            <w:tcW w:w="460" w:type="dxa"/>
            <w:vAlign w:val="bottom"/>
          </w:tcPr>
          <w:p>
            <w:pPr>
              <w:spacing w:after="0"/>
              <w:rPr>
                <w:sz w:val="11"/>
                <w:szCs w:val="11"/>
                <w:color w:val="auto"/>
              </w:rPr>
            </w:pPr>
          </w:p>
        </w:tc>
        <w:tc>
          <w:tcPr>
            <w:tcW w:w="1360" w:type="dxa"/>
            <w:vAlign w:val="bottom"/>
            <w:gridSpan w:val="2"/>
          </w:tcPr>
          <w:p>
            <w:pPr>
              <w:jc w:val="center"/>
              <w:ind w:right="480"/>
              <w:spacing w:after="0" w:line="132" w:lineRule="exact"/>
              <w:rPr>
                <w:sz w:val="20"/>
                <w:szCs w:val="20"/>
                <w:color w:val="auto"/>
              </w:rPr>
            </w:pPr>
            <w:r>
              <w:rPr>
                <w:rFonts w:ascii="Arial" w:cs="Arial" w:eastAsia="Arial" w:hAnsi="Arial"/>
                <w:sz w:val="15"/>
                <w:szCs w:val="15"/>
                <w:color w:val="auto"/>
                <w:w w:val="92"/>
              </w:rPr>
              <w:t>May 26, 2022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740" w:type="dxa"/>
            <w:vAlign w:val="bottom"/>
            <w:gridSpan w:val="3"/>
            <w:shd w:val="clear" w:color="auto" w:fill="CCEEFF"/>
          </w:tcPr>
          <w:p>
            <w:pPr>
              <w:ind w:left="20"/>
              <w:spacing w:after="0" w:line="132" w:lineRule="exact"/>
              <w:rPr>
                <w:rFonts w:ascii="Arial" w:cs="Arial" w:eastAsia="Arial" w:hAnsi="Arial"/>
                <w:sz w:val="15"/>
                <w:szCs w:val="15"/>
                <w:color w:val="0000FF"/>
              </w:rPr>
            </w:pPr>
            <w:hyperlink r:id="rId118">
              <w:r>
                <w:rPr>
                  <w:rFonts w:ascii="Arial" w:cs="Arial" w:eastAsia="Arial" w:hAnsi="Arial"/>
                  <w:sz w:val="15"/>
                  <w:szCs w:val="15"/>
                  <w:color w:val="0000FF"/>
                </w:rPr>
                <w:t>10.</w:t>
              </w:r>
              <w:r>
                <w:rPr>
                  <w:rFonts w:ascii="Arial" w:cs="Arial" w:eastAsia="Arial" w:hAnsi="Arial"/>
                  <w:sz w:val="15"/>
                  <w:szCs w:val="15"/>
                  <w:u w:val="single" w:color="auto"/>
                  <w:color w:val="0000FF"/>
                </w:rPr>
                <w:t>3</w:t>
              </w:r>
            </w:hyperlink>
            <w:r>
              <w:rPr>
                <w:rFonts w:ascii="Arial" w:cs="Arial" w:eastAsia="Arial" w:hAnsi="Arial"/>
                <w:sz w:val="15"/>
                <w:szCs w:val="15"/>
                <w:color w:val="000000"/>
              </w:rPr>
              <w:t>+</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80" w:type="dxa"/>
            <w:vAlign w:val="bottom"/>
            <w:gridSpan w:val="15"/>
            <w:shd w:val="clear" w:color="auto" w:fill="CCEEFF"/>
          </w:tcPr>
          <w:p>
            <w:pPr>
              <w:spacing w:after="0" w:line="132" w:lineRule="exact"/>
              <w:rPr>
                <w:rFonts w:ascii="Arial" w:cs="Arial" w:eastAsia="Arial" w:hAnsi="Arial"/>
                <w:sz w:val="15"/>
                <w:szCs w:val="15"/>
                <w:color w:val="0000FF"/>
                <w:w w:val="97"/>
              </w:rPr>
            </w:pPr>
            <w:hyperlink r:id="rId118">
              <w:r>
                <w:rPr>
                  <w:rFonts w:ascii="Arial" w:cs="Arial" w:eastAsia="Arial" w:hAnsi="Arial"/>
                  <w:sz w:val="15"/>
                  <w:szCs w:val="15"/>
                  <w:color w:val="0000FF"/>
                  <w:w w:val="97"/>
                </w:rPr>
                <w:t>Form of Global Stock Option Agreement under the Pacific Biosciences of California, Inc. 2020</w:t>
              </w:r>
            </w:hyperlink>
          </w:p>
        </w:tc>
        <w:tc>
          <w:tcPr>
            <w:tcW w:w="720" w:type="dxa"/>
            <w:vAlign w:val="bottom"/>
            <w:shd w:val="clear" w:color="auto" w:fill="CCEEFF"/>
          </w:tcPr>
          <w:p>
            <w:pPr>
              <w:ind w:left="260"/>
              <w:spacing w:after="0" w:line="132" w:lineRule="exact"/>
              <w:rPr>
                <w:sz w:val="20"/>
                <w:szCs w:val="20"/>
                <w:color w:val="auto"/>
              </w:rPr>
            </w:pPr>
            <w:r>
              <w:rPr>
                <w:rFonts w:ascii="Arial" w:cs="Arial" w:eastAsia="Arial" w:hAnsi="Arial"/>
                <w:sz w:val="15"/>
                <w:szCs w:val="15"/>
                <w:color w:val="auto"/>
              </w:rPr>
              <w:t>8-K</w:t>
            </w:r>
          </w:p>
        </w:tc>
        <w:tc>
          <w:tcPr>
            <w:tcW w:w="1300" w:type="dxa"/>
            <w:vAlign w:val="bottom"/>
            <w:shd w:val="clear" w:color="auto" w:fill="CCEEFF"/>
          </w:tcPr>
          <w:p>
            <w:pPr>
              <w:jc w:val="right"/>
              <w:ind w:right="524"/>
              <w:spacing w:after="0" w:line="132" w:lineRule="exact"/>
              <w:rPr>
                <w:sz w:val="20"/>
                <w:szCs w:val="20"/>
                <w:color w:val="auto"/>
              </w:rPr>
            </w:pPr>
            <w:r>
              <w:rPr>
                <w:rFonts w:ascii="Arial" w:cs="Arial" w:eastAsia="Arial" w:hAnsi="Arial"/>
                <w:sz w:val="15"/>
                <w:szCs w:val="15"/>
                <w:color w:val="auto"/>
              </w:rPr>
              <w:t>10.2</w:t>
            </w:r>
          </w:p>
        </w:tc>
        <w:tc>
          <w:tcPr>
            <w:tcW w:w="4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480"/>
              <w:spacing w:after="0" w:line="132" w:lineRule="exact"/>
              <w:rPr>
                <w:sz w:val="20"/>
                <w:szCs w:val="20"/>
                <w:color w:val="auto"/>
              </w:rPr>
            </w:pPr>
            <w:r>
              <w:rPr>
                <w:rFonts w:ascii="Arial" w:cs="Arial" w:eastAsia="Arial" w:hAnsi="Arial"/>
                <w:sz w:val="15"/>
                <w:szCs w:val="15"/>
                <w:color w:val="auto"/>
                <w:w w:val="92"/>
              </w:rPr>
              <w:t>May 26, 2022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0000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00" w:type="dxa"/>
            <w:vAlign w:val="bottom"/>
            <w:tcBorders>
              <w:top w:val="single" w:sz="8" w:color="0000FF"/>
            </w:tcBorders>
            <w:gridSpan w:val="12"/>
            <w:shd w:val="clear" w:color="auto" w:fill="CCEEFF"/>
          </w:tcPr>
          <w:p>
            <w:pPr>
              <w:spacing w:after="0" w:line="132" w:lineRule="exact"/>
              <w:rPr>
                <w:rFonts w:ascii="Arial" w:cs="Arial" w:eastAsia="Arial" w:hAnsi="Arial"/>
                <w:sz w:val="15"/>
                <w:szCs w:val="15"/>
                <w:color w:val="0000FF"/>
              </w:rPr>
            </w:pPr>
            <w:hyperlink r:id="rId118">
              <w:r>
                <w:rPr>
                  <w:rFonts w:ascii="Arial" w:cs="Arial" w:eastAsia="Arial" w:hAnsi="Arial"/>
                  <w:sz w:val="15"/>
                  <w:szCs w:val="15"/>
                  <w:color w:val="0000FF"/>
                </w:rPr>
                <w:t>Equity Incentive Plan, as amended</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740" w:type="dxa"/>
            <w:vAlign w:val="bottom"/>
            <w:gridSpan w:val="3"/>
          </w:tcPr>
          <w:p>
            <w:pPr>
              <w:ind w:left="20"/>
              <w:spacing w:after="0" w:line="132" w:lineRule="exact"/>
              <w:rPr>
                <w:rFonts w:ascii="Arial" w:cs="Arial" w:eastAsia="Arial" w:hAnsi="Arial"/>
                <w:sz w:val="15"/>
                <w:szCs w:val="15"/>
                <w:color w:val="0000FF"/>
              </w:rPr>
            </w:pPr>
            <w:hyperlink r:id="rId119">
              <w:r>
                <w:rPr>
                  <w:rFonts w:ascii="Arial" w:cs="Arial" w:eastAsia="Arial" w:hAnsi="Arial"/>
                  <w:sz w:val="15"/>
                  <w:szCs w:val="15"/>
                  <w:color w:val="0000FF"/>
                </w:rPr>
                <w:t>10.</w:t>
              </w:r>
              <w:r>
                <w:rPr>
                  <w:rFonts w:ascii="Arial" w:cs="Arial" w:eastAsia="Arial" w:hAnsi="Arial"/>
                  <w:sz w:val="15"/>
                  <w:szCs w:val="15"/>
                  <w:u w:val="single" w:color="auto"/>
                  <w:color w:val="0000FF"/>
                </w:rPr>
                <w:t>4</w:t>
              </w:r>
            </w:hyperlink>
            <w:r>
              <w:rPr>
                <w:rFonts w:ascii="Arial" w:cs="Arial" w:eastAsia="Arial" w:hAnsi="Arial"/>
                <w:sz w:val="15"/>
                <w:szCs w:val="15"/>
                <w:color w:val="000000"/>
              </w:rPr>
              <w:t>+</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80" w:type="dxa"/>
            <w:vAlign w:val="bottom"/>
            <w:gridSpan w:val="15"/>
          </w:tcPr>
          <w:p>
            <w:pPr>
              <w:spacing w:after="0" w:line="132" w:lineRule="exact"/>
              <w:rPr>
                <w:rFonts w:ascii="Arial" w:cs="Arial" w:eastAsia="Arial" w:hAnsi="Arial"/>
                <w:sz w:val="15"/>
                <w:szCs w:val="15"/>
                <w:color w:val="0000FF"/>
                <w:w w:val="99"/>
              </w:rPr>
            </w:pPr>
            <w:hyperlink r:id="rId119">
              <w:r>
                <w:rPr>
                  <w:rFonts w:ascii="Arial" w:cs="Arial" w:eastAsia="Arial" w:hAnsi="Arial"/>
                  <w:sz w:val="15"/>
                  <w:szCs w:val="15"/>
                  <w:color w:val="0000FF"/>
                  <w:w w:val="99"/>
                </w:rPr>
                <w:t>Form of Global Restricted Stock Unit Agreement under the Pacific Biosciences of California,</w:t>
              </w:r>
            </w:hyperlink>
          </w:p>
        </w:tc>
        <w:tc>
          <w:tcPr>
            <w:tcW w:w="720" w:type="dxa"/>
            <w:vAlign w:val="bottom"/>
          </w:tcPr>
          <w:p>
            <w:pPr>
              <w:ind w:left="260"/>
              <w:spacing w:after="0" w:line="132" w:lineRule="exact"/>
              <w:rPr>
                <w:sz w:val="20"/>
                <w:szCs w:val="20"/>
                <w:color w:val="auto"/>
              </w:rPr>
            </w:pPr>
            <w:r>
              <w:rPr>
                <w:rFonts w:ascii="Arial" w:cs="Arial" w:eastAsia="Arial" w:hAnsi="Arial"/>
                <w:sz w:val="15"/>
                <w:szCs w:val="15"/>
                <w:color w:val="auto"/>
              </w:rPr>
              <w:t>8-K</w:t>
            </w:r>
          </w:p>
        </w:tc>
        <w:tc>
          <w:tcPr>
            <w:tcW w:w="1300" w:type="dxa"/>
            <w:vAlign w:val="bottom"/>
          </w:tcPr>
          <w:p>
            <w:pPr>
              <w:jc w:val="right"/>
              <w:ind w:right="524"/>
              <w:spacing w:after="0" w:line="132" w:lineRule="exact"/>
              <w:rPr>
                <w:sz w:val="20"/>
                <w:szCs w:val="20"/>
                <w:color w:val="auto"/>
              </w:rPr>
            </w:pPr>
            <w:r>
              <w:rPr>
                <w:rFonts w:ascii="Arial" w:cs="Arial" w:eastAsia="Arial" w:hAnsi="Arial"/>
                <w:sz w:val="15"/>
                <w:szCs w:val="15"/>
                <w:color w:val="auto"/>
              </w:rPr>
              <w:t>10.3</w:t>
            </w:r>
          </w:p>
        </w:tc>
        <w:tc>
          <w:tcPr>
            <w:tcW w:w="460" w:type="dxa"/>
            <w:vAlign w:val="bottom"/>
          </w:tcPr>
          <w:p>
            <w:pPr>
              <w:spacing w:after="0"/>
              <w:rPr>
                <w:sz w:val="11"/>
                <w:szCs w:val="11"/>
                <w:color w:val="auto"/>
              </w:rPr>
            </w:pPr>
          </w:p>
        </w:tc>
        <w:tc>
          <w:tcPr>
            <w:tcW w:w="1360" w:type="dxa"/>
            <w:vAlign w:val="bottom"/>
            <w:gridSpan w:val="2"/>
          </w:tcPr>
          <w:p>
            <w:pPr>
              <w:jc w:val="center"/>
              <w:ind w:right="480"/>
              <w:spacing w:after="0" w:line="132" w:lineRule="exact"/>
              <w:rPr>
                <w:sz w:val="20"/>
                <w:szCs w:val="20"/>
                <w:color w:val="auto"/>
              </w:rPr>
            </w:pPr>
            <w:r>
              <w:rPr>
                <w:rFonts w:ascii="Arial" w:cs="Arial" w:eastAsia="Arial" w:hAnsi="Arial"/>
                <w:sz w:val="15"/>
                <w:szCs w:val="15"/>
                <w:color w:val="auto"/>
                <w:w w:val="92"/>
              </w:rPr>
              <w:t>May 26, 2022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tcBorders>
              <w:top w:val="single" w:sz="8" w:color="0000FF"/>
              <w:bottom w:val="single" w:sz="8" w:color="0000FF"/>
            </w:tcBorders>
            <w:gridSpan w:val="2"/>
          </w:tcPr>
          <w:p>
            <w:pPr>
              <w:spacing w:after="0" w:line="132" w:lineRule="exact"/>
              <w:rPr>
                <w:rFonts w:ascii="Arial" w:cs="Arial" w:eastAsia="Arial" w:hAnsi="Arial"/>
                <w:sz w:val="15"/>
                <w:szCs w:val="15"/>
                <w:color w:val="0000FF"/>
                <w:w w:val="90"/>
              </w:rPr>
            </w:pPr>
            <w:hyperlink r:id="rId119">
              <w:r>
                <w:rPr>
                  <w:rFonts w:ascii="Arial" w:cs="Arial" w:eastAsia="Arial" w:hAnsi="Arial"/>
                  <w:sz w:val="15"/>
                  <w:szCs w:val="15"/>
                  <w:color w:val="0000FF"/>
                  <w:w w:val="90"/>
                </w:rPr>
                <w:t>Inc. 2020 Equity Incentive Plan, as amended</w:t>
              </w:r>
            </w:hyperlink>
          </w:p>
        </w:tc>
        <w:tc>
          <w:tcPr>
            <w:tcW w:w="3240" w:type="dxa"/>
            <w:vAlign w:val="bottom"/>
            <w:tcBorders>
              <w:top w:val="single" w:sz="8" w:color="0000FF"/>
            </w:tcBorders>
            <w:gridSpan w:val="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gridSpan w:val="2"/>
            <w:shd w:val="clear" w:color="auto" w:fill="CCEEFF"/>
          </w:tcPr>
          <w:p>
            <w:pPr>
              <w:ind w:left="20"/>
              <w:spacing w:after="0" w:line="132" w:lineRule="exact"/>
              <w:rPr>
                <w:rFonts w:ascii="Arial" w:cs="Arial" w:eastAsia="Arial" w:hAnsi="Arial"/>
                <w:sz w:val="15"/>
                <w:szCs w:val="15"/>
                <w:color w:val="0000FF"/>
                <w:w w:val="82"/>
              </w:rPr>
            </w:pPr>
            <w:hyperlink w:anchor="page95">
              <w:r>
                <w:rPr>
                  <w:rFonts w:ascii="Arial" w:cs="Arial" w:eastAsia="Arial" w:hAnsi="Arial"/>
                  <w:sz w:val="15"/>
                  <w:szCs w:val="15"/>
                  <w:color w:val="0000FF"/>
                  <w:w w:val="82"/>
                </w:rPr>
                <w:t>31.</w:t>
              </w:r>
              <w:r>
                <w:rPr>
                  <w:rFonts w:ascii="Arial" w:cs="Arial" w:eastAsia="Arial" w:hAnsi="Arial"/>
                  <w:sz w:val="15"/>
                  <w:szCs w:val="15"/>
                  <w:u w:val="single" w:color="auto"/>
                  <w:color w:val="0000FF"/>
                  <w:w w:val="82"/>
                </w:rPr>
                <w:t>1</w:t>
              </w:r>
            </w:hyperlink>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80" w:type="dxa"/>
            <w:vAlign w:val="bottom"/>
            <w:gridSpan w:val="15"/>
            <w:shd w:val="clear" w:color="auto" w:fill="CCEEFF"/>
          </w:tcPr>
          <w:p>
            <w:pPr>
              <w:spacing w:after="0" w:line="132" w:lineRule="exact"/>
              <w:rPr>
                <w:rFonts w:ascii="Arial" w:cs="Arial" w:eastAsia="Arial" w:hAnsi="Arial"/>
                <w:sz w:val="15"/>
                <w:szCs w:val="15"/>
                <w:color w:val="0000FF"/>
              </w:rPr>
            </w:pPr>
            <w:hyperlink w:anchor="page95">
              <w:r>
                <w:rPr>
                  <w:rFonts w:ascii="Arial" w:cs="Arial" w:eastAsia="Arial" w:hAnsi="Arial"/>
                  <w:sz w:val="15"/>
                  <w:szCs w:val="15"/>
                  <w:color w:val="0000FF"/>
                </w:rPr>
                <w:t>Certification of Chief Executive Officer pursuant to Exchange Act Rules 13a-14(a) and 15d-</w:t>
              </w:r>
            </w:hyperlink>
          </w:p>
        </w:tc>
        <w:tc>
          <w:tcPr>
            <w:tcW w:w="7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480"/>
              <w:spacing w:after="0" w:line="132" w:lineRule="exact"/>
              <w:rPr>
                <w:sz w:val="20"/>
                <w:szCs w:val="20"/>
                <w:color w:val="auto"/>
              </w:rPr>
            </w:pPr>
            <w:r>
              <w:rPr>
                <w:rFonts w:ascii="Arial" w:cs="Arial" w:eastAsia="Arial" w:hAnsi="Arial"/>
                <w:sz w:val="15"/>
                <w:szCs w:val="15"/>
                <w:color w:val="auto"/>
                <w:w w:val="94"/>
              </w:rPr>
              <w:t>Filed herewith</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0000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20" w:type="dxa"/>
            <w:vAlign w:val="bottom"/>
            <w:tcBorders>
              <w:top w:val="single" w:sz="8" w:color="0000FF"/>
            </w:tcBorders>
            <w:gridSpan w:val="13"/>
            <w:shd w:val="clear" w:color="auto" w:fill="CCEEFF"/>
          </w:tcPr>
          <w:p>
            <w:pPr>
              <w:spacing w:after="0" w:line="132" w:lineRule="exact"/>
              <w:rPr>
                <w:rFonts w:ascii="Arial" w:cs="Arial" w:eastAsia="Arial" w:hAnsi="Arial"/>
                <w:sz w:val="15"/>
                <w:szCs w:val="15"/>
                <w:color w:val="0000FF"/>
              </w:rPr>
            </w:pPr>
            <w:hyperlink w:anchor="page95">
              <w:r>
                <w:rPr>
                  <w:rFonts w:ascii="Arial" w:cs="Arial" w:eastAsia="Arial" w:hAnsi="Arial"/>
                  <w:sz w:val="15"/>
                  <w:szCs w:val="15"/>
                  <w:color w:val="0000FF"/>
                </w:rPr>
                <w:t>14(a), as adopted pursuant to Section 302 of the Sarbanes-Oxley Act of 2002</w:t>
              </w:r>
            </w:hyperlink>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92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280" w:type="dxa"/>
            <w:vAlign w:val="bottom"/>
            <w:gridSpan w:val="2"/>
          </w:tcPr>
          <w:p>
            <w:pPr>
              <w:ind w:left="20"/>
              <w:spacing w:after="0" w:line="139" w:lineRule="exact"/>
              <w:rPr>
                <w:rFonts w:ascii="Arial" w:cs="Arial" w:eastAsia="Arial" w:hAnsi="Arial"/>
                <w:sz w:val="15"/>
                <w:szCs w:val="15"/>
                <w:color w:val="0000FF"/>
                <w:w w:val="82"/>
              </w:rPr>
            </w:pPr>
            <w:hyperlink w:anchor="page96">
              <w:r>
                <w:rPr>
                  <w:rFonts w:ascii="Arial" w:cs="Arial" w:eastAsia="Arial" w:hAnsi="Arial"/>
                  <w:sz w:val="15"/>
                  <w:szCs w:val="15"/>
                  <w:color w:val="0000FF"/>
                  <w:w w:val="82"/>
                </w:rPr>
                <w:t>31.</w:t>
              </w:r>
              <w:r>
                <w:rPr>
                  <w:rFonts w:ascii="Arial" w:cs="Arial" w:eastAsia="Arial" w:hAnsi="Arial"/>
                  <w:sz w:val="15"/>
                  <w:szCs w:val="15"/>
                  <w:u w:val="single" w:color="auto"/>
                  <w:color w:val="0000FF"/>
                  <w:w w:val="82"/>
                </w:rPr>
                <w:t>2</w:t>
              </w:r>
            </w:hyperlink>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80" w:type="dxa"/>
            <w:vAlign w:val="bottom"/>
            <w:gridSpan w:val="15"/>
          </w:tcPr>
          <w:p>
            <w:pPr>
              <w:spacing w:after="0" w:line="139" w:lineRule="exact"/>
              <w:rPr>
                <w:rFonts w:ascii="Arial" w:cs="Arial" w:eastAsia="Arial" w:hAnsi="Arial"/>
                <w:sz w:val="15"/>
                <w:szCs w:val="15"/>
                <w:color w:val="0000FF"/>
                <w:w w:val="95"/>
              </w:rPr>
            </w:pPr>
            <w:hyperlink w:anchor="page96">
              <w:r>
                <w:rPr>
                  <w:rFonts w:ascii="Arial" w:cs="Arial" w:eastAsia="Arial" w:hAnsi="Arial"/>
                  <w:sz w:val="15"/>
                  <w:szCs w:val="15"/>
                  <w:color w:val="0000FF"/>
                  <w:w w:val="95"/>
                </w:rPr>
                <w:t>Certification of Chief Financial Officer pursuant to Exchange Act Rules 13a-14(a) and 15d-14(a),</w:t>
              </w:r>
            </w:hyperlink>
          </w:p>
        </w:tc>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480"/>
              <w:spacing w:after="0" w:line="139" w:lineRule="exact"/>
              <w:rPr>
                <w:sz w:val="20"/>
                <w:szCs w:val="20"/>
                <w:color w:val="auto"/>
              </w:rPr>
            </w:pPr>
            <w:r>
              <w:rPr>
                <w:rFonts w:ascii="Arial" w:cs="Arial" w:eastAsia="Arial" w:hAnsi="Arial"/>
                <w:sz w:val="15"/>
                <w:szCs w:val="15"/>
                <w:color w:val="auto"/>
                <w:w w:val="94"/>
              </w:rPr>
              <w:t>Filed herewith</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20" w:type="dxa"/>
            <w:vAlign w:val="bottom"/>
            <w:tcBorders>
              <w:top w:val="single" w:sz="8" w:color="0000FF"/>
            </w:tcBorders>
            <w:gridSpan w:val="13"/>
          </w:tcPr>
          <w:p>
            <w:pPr>
              <w:spacing w:after="0" w:line="132" w:lineRule="exact"/>
              <w:rPr>
                <w:rFonts w:ascii="Arial" w:cs="Arial" w:eastAsia="Arial" w:hAnsi="Arial"/>
                <w:sz w:val="15"/>
                <w:szCs w:val="15"/>
                <w:color w:val="0000FF"/>
              </w:rPr>
            </w:pPr>
            <w:hyperlink w:anchor="page96">
              <w:r>
                <w:rPr>
                  <w:rFonts w:ascii="Arial" w:cs="Arial" w:eastAsia="Arial" w:hAnsi="Arial"/>
                  <w:sz w:val="15"/>
                  <w:szCs w:val="15"/>
                  <w:color w:val="0000FF"/>
                </w:rPr>
                <w:t>as adopted pursuant to Section 302 of the Sarbanes-Oxley Act of 2002</w:t>
              </w:r>
            </w:hyperlink>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740" w:type="dxa"/>
            <w:vAlign w:val="bottom"/>
            <w:gridSpan w:val="3"/>
            <w:shd w:val="clear" w:color="auto" w:fill="CCEEFF"/>
          </w:tcPr>
          <w:p>
            <w:pPr>
              <w:ind w:left="20"/>
              <w:spacing w:after="0" w:line="119" w:lineRule="exact"/>
              <w:rPr>
                <w:rFonts w:ascii="Arial" w:cs="Arial" w:eastAsia="Arial" w:hAnsi="Arial"/>
                <w:sz w:val="13"/>
                <w:szCs w:val="13"/>
                <w:color w:val="0000FF"/>
              </w:rPr>
            </w:pPr>
            <w:hyperlink w:anchor="page97">
              <w:r>
                <w:rPr>
                  <w:rFonts w:ascii="Arial" w:cs="Arial" w:eastAsia="Arial" w:hAnsi="Arial"/>
                  <w:sz w:val="13"/>
                  <w:szCs w:val="13"/>
                  <w:color w:val="0000FF"/>
                </w:rPr>
                <w:t>32.</w:t>
              </w:r>
              <w:r>
                <w:rPr>
                  <w:rFonts w:ascii="Arial" w:cs="Arial" w:eastAsia="Arial" w:hAnsi="Arial"/>
                  <w:sz w:val="13"/>
                  <w:szCs w:val="13"/>
                  <w:u w:val="single" w:color="auto"/>
                  <w:color w:val="0000FF"/>
                </w:rPr>
                <w:t>1</w:t>
              </w:r>
            </w:hyperlink>
            <w:r>
              <w:rPr>
                <w:rFonts w:ascii="Arial" w:cs="Arial" w:eastAsia="Arial" w:hAnsi="Arial"/>
                <w:sz w:val="13"/>
                <w:szCs w:val="13"/>
                <w:color w:val="000000"/>
              </w:rPr>
              <w:t>*</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80" w:type="dxa"/>
            <w:vAlign w:val="bottom"/>
            <w:gridSpan w:val="15"/>
            <w:shd w:val="clear" w:color="auto" w:fill="CCEEFF"/>
          </w:tcPr>
          <w:p>
            <w:pPr>
              <w:spacing w:after="0" w:line="119" w:lineRule="exact"/>
              <w:rPr>
                <w:rFonts w:ascii="Arial" w:cs="Arial" w:eastAsia="Arial" w:hAnsi="Arial"/>
                <w:sz w:val="13"/>
                <w:szCs w:val="13"/>
                <w:color w:val="0000FF"/>
              </w:rPr>
            </w:pPr>
            <w:hyperlink w:anchor="page97">
              <w:r>
                <w:rPr>
                  <w:rFonts w:ascii="Arial" w:cs="Arial" w:eastAsia="Arial" w:hAnsi="Arial"/>
                  <w:sz w:val="13"/>
                  <w:szCs w:val="13"/>
                  <w:color w:val="0000FF"/>
                </w:rPr>
                <w:t>Certification of Chief Executive Officer pursuant to 18 U.S.C. Section 1350, as adopted pursuant</w:t>
              </w:r>
            </w:hyperlink>
          </w:p>
        </w:tc>
        <w:tc>
          <w:tcPr>
            <w:tcW w:w="7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20" w:type="dxa"/>
            <w:vAlign w:val="bottom"/>
            <w:gridSpan w:val="3"/>
            <w:shd w:val="clear" w:color="auto" w:fill="CCEEFF"/>
          </w:tcPr>
          <w:p>
            <w:pPr>
              <w:jc w:val="center"/>
              <w:ind w:right="20"/>
              <w:spacing w:after="0" w:line="119" w:lineRule="exact"/>
              <w:rPr>
                <w:sz w:val="20"/>
                <w:szCs w:val="20"/>
                <w:color w:val="auto"/>
              </w:rPr>
            </w:pPr>
            <w:r>
              <w:rPr>
                <w:rFonts w:ascii="Arial" w:cs="Arial" w:eastAsia="Arial" w:hAnsi="Arial"/>
                <w:sz w:val="13"/>
                <w:szCs w:val="13"/>
                <w:color w:val="auto"/>
              </w:rPr>
              <w:t>Furnished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0000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vMerge w:val="restart"/>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0000EE"/>
          </w:tcPr>
          <w:p>
            <w:pPr>
              <w:spacing w:after="0" w:line="20" w:lineRule="exact"/>
              <w:rPr>
                <w:sz w:val="1"/>
                <w:szCs w:val="1"/>
                <w:color w:val="auto"/>
              </w:rPr>
            </w:pPr>
          </w:p>
        </w:tc>
        <w:tc>
          <w:tcPr>
            <w:tcW w:w="3020" w:type="dxa"/>
            <w:vAlign w:val="bottom"/>
            <w:tcBorders>
              <w:bottom w:val="single" w:sz="8" w:color="CCEEFF"/>
            </w:tcBorders>
            <w:gridSpan w:val="3"/>
            <w:shd w:val="clear" w:color="auto" w:fill="0000FF"/>
          </w:tcPr>
          <w:p>
            <w:pPr>
              <w:spacing w:after="0" w:line="20" w:lineRule="exact"/>
              <w:rPr>
                <w:sz w:val="1"/>
                <w:szCs w:val="1"/>
                <w:color w:val="auto"/>
              </w:rPr>
            </w:pPr>
          </w:p>
        </w:tc>
        <w:tc>
          <w:tcPr>
            <w:tcW w:w="2940" w:type="dxa"/>
            <w:vAlign w:val="bottom"/>
            <w:tcBorders>
              <w:bottom w:val="single" w:sz="8" w:color="CCEEFF"/>
            </w:tcBorders>
            <w:gridSpan w:val="7"/>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80" w:type="dxa"/>
            <w:vAlign w:val="bottom"/>
            <w:tcBorders>
              <w:bottom w:val="single" w:sz="8" w:color="CCEEFF"/>
            </w:tcBorders>
            <w:gridSpan w:val="3"/>
            <w:vMerge w:val="restart"/>
            <w:shd w:val="clear" w:color="auto" w:fill="CCEEFF"/>
          </w:tcPr>
          <w:p>
            <w:pPr>
              <w:spacing w:after="0" w:line="20" w:lineRule="exact"/>
              <w:rPr>
                <w:sz w:val="1"/>
                <w:szCs w:val="1"/>
                <w:color w:val="auto"/>
              </w:rPr>
            </w:pPr>
          </w:p>
        </w:tc>
        <w:tc>
          <w:tcPr>
            <w:tcW w:w="7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88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6000" w:type="dxa"/>
            <w:vAlign w:val="bottom"/>
            <w:gridSpan w:val="12"/>
            <w:shd w:val="clear" w:color="auto" w:fill="CCEEFF"/>
          </w:tcPr>
          <w:p>
            <w:pPr>
              <w:spacing w:after="0" w:line="112" w:lineRule="exact"/>
              <w:rPr>
                <w:rFonts w:ascii="Arial" w:cs="Arial" w:eastAsia="Arial" w:hAnsi="Arial"/>
                <w:sz w:val="12"/>
                <w:szCs w:val="12"/>
                <w:color w:val="0000FF"/>
              </w:rPr>
            </w:pPr>
            <w:hyperlink w:anchor="page97">
              <w:r>
                <w:rPr>
                  <w:rFonts w:ascii="Arial" w:cs="Arial" w:eastAsia="Arial" w:hAnsi="Arial"/>
                  <w:sz w:val="12"/>
                  <w:szCs w:val="12"/>
                  <w:color w:val="0000FF"/>
                </w:rPr>
                <w:t>to Section 906 of the Sarbanes-Oxley Act of 2002</w:t>
              </w:r>
            </w:hyperlink>
          </w:p>
        </w:tc>
        <w:tc>
          <w:tcPr>
            <w:tcW w:w="80" w:type="dxa"/>
            <w:vAlign w:val="bottom"/>
            <w:gridSpan w:val="3"/>
            <w:vMerge w:val="continue"/>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740" w:type="dxa"/>
            <w:vAlign w:val="bottom"/>
            <w:gridSpan w:val="3"/>
          </w:tcPr>
          <w:p>
            <w:pPr>
              <w:ind w:left="20"/>
              <w:spacing w:after="0" w:line="119" w:lineRule="exact"/>
              <w:rPr>
                <w:rFonts w:ascii="Arial" w:cs="Arial" w:eastAsia="Arial" w:hAnsi="Arial"/>
                <w:sz w:val="13"/>
                <w:szCs w:val="13"/>
                <w:color w:val="0000FF"/>
              </w:rPr>
            </w:pPr>
            <w:hyperlink w:anchor="page98">
              <w:r>
                <w:rPr>
                  <w:rFonts w:ascii="Arial" w:cs="Arial" w:eastAsia="Arial" w:hAnsi="Arial"/>
                  <w:sz w:val="13"/>
                  <w:szCs w:val="13"/>
                  <w:color w:val="0000FF"/>
                </w:rPr>
                <w:t>32.</w:t>
              </w:r>
              <w:r>
                <w:rPr>
                  <w:rFonts w:ascii="Arial" w:cs="Arial" w:eastAsia="Arial" w:hAnsi="Arial"/>
                  <w:sz w:val="13"/>
                  <w:szCs w:val="13"/>
                  <w:u w:val="single" w:color="auto"/>
                  <w:color w:val="0000FF"/>
                </w:rPr>
                <w:t>2</w:t>
              </w:r>
            </w:hyperlink>
            <w:r>
              <w:rPr>
                <w:rFonts w:ascii="Arial" w:cs="Arial" w:eastAsia="Arial" w:hAnsi="Arial"/>
                <w:sz w:val="13"/>
                <w:szCs w:val="13"/>
                <w:color w:val="000000"/>
              </w:rPr>
              <w:t>*</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80" w:type="dxa"/>
            <w:vAlign w:val="bottom"/>
            <w:gridSpan w:val="15"/>
          </w:tcPr>
          <w:p>
            <w:pPr>
              <w:spacing w:after="0" w:line="119" w:lineRule="exact"/>
              <w:rPr>
                <w:rFonts w:ascii="Arial" w:cs="Arial" w:eastAsia="Arial" w:hAnsi="Arial"/>
                <w:sz w:val="13"/>
                <w:szCs w:val="13"/>
                <w:color w:val="0000FF"/>
              </w:rPr>
            </w:pPr>
            <w:hyperlink w:anchor="page98">
              <w:r>
                <w:rPr>
                  <w:rFonts w:ascii="Arial" w:cs="Arial" w:eastAsia="Arial" w:hAnsi="Arial"/>
                  <w:sz w:val="13"/>
                  <w:szCs w:val="13"/>
                  <w:color w:val="0000FF"/>
                </w:rPr>
                <w:t>Certification of Chief Financial Officer pursuant to 18 U.S.C. Section 1350, as adopted pursuant</w:t>
              </w:r>
            </w:hyperlink>
          </w:p>
        </w:tc>
        <w:tc>
          <w:tcPr>
            <w:tcW w:w="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20" w:type="dxa"/>
            <w:vAlign w:val="bottom"/>
            <w:gridSpan w:val="3"/>
          </w:tcPr>
          <w:p>
            <w:pPr>
              <w:jc w:val="center"/>
              <w:ind w:right="20"/>
              <w:spacing w:after="0" w:line="119" w:lineRule="exact"/>
              <w:rPr>
                <w:sz w:val="20"/>
                <w:szCs w:val="20"/>
                <w:color w:val="auto"/>
              </w:rPr>
            </w:pPr>
            <w:r>
              <w:rPr>
                <w:rFonts w:ascii="Arial" w:cs="Arial" w:eastAsia="Arial" w:hAnsi="Arial"/>
                <w:sz w:val="13"/>
                <w:szCs w:val="13"/>
                <w:color w:val="auto"/>
              </w:rPr>
              <w:t>Furnished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960" w:type="dxa"/>
            <w:vAlign w:val="bottom"/>
            <w:gridSpan w:val="10"/>
            <w:shd w:val="clear" w:color="auto" w:fill="0000FF"/>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980" w:type="dxa"/>
            <w:vAlign w:val="bottom"/>
            <w:gridSpan w:val="11"/>
          </w:tcPr>
          <w:p>
            <w:pPr>
              <w:spacing w:after="0" w:line="112" w:lineRule="exact"/>
              <w:rPr>
                <w:rFonts w:ascii="Arial" w:cs="Arial" w:eastAsia="Arial" w:hAnsi="Arial"/>
                <w:sz w:val="12"/>
                <w:szCs w:val="12"/>
                <w:color w:val="0000FF"/>
              </w:rPr>
            </w:pPr>
            <w:hyperlink w:anchor="page98">
              <w:r>
                <w:rPr>
                  <w:rFonts w:ascii="Arial" w:cs="Arial" w:eastAsia="Arial" w:hAnsi="Arial"/>
                  <w:sz w:val="12"/>
                  <w:szCs w:val="12"/>
                  <w:color w:val="0000FF"/>
                </w:rPr>
                <w:t>to Section 906 of the Sarbanes-Oxley Act of 2002</w:t>
              </w:r>
            </w:hyperlink>
          </w:p>
        </w:tc>
        <w:tc>
          <w:tcPr>
            <w:tcW w:w="10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spacing w:after="0" w:line="124" w:lineRule="exact"/>
              <w:rPr>
                <w:sz w:val="20"/>
                <w:szCs w:val="20"/>
                <w:color w:val="auto"/>
              </w:rPr>
            </w:pPr>
            <w:r>
              <w:rPr>
                <w:rFonts w:ascii="Arial" w:cs="Arial" w:eastAsia="Arial" w:hAnsi="Arial"/>
                <w:sz w:val="14"/>
                <w:szCs w:val="14"/>
                <w:color w:val="auto"/>
              </w:rPr>
              <w:t>101.INS</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80" w:type="dxa"/>
            <w:vAlign w:val="bottom"/>
            <w:gridSpan w:val="15"/>
            <w:shd w:val="clear" w:color="auto" w:fill="CCEEFF"/>
          </w:tcPr>
          <w:p>
            <w:pPr>
              <w:spacing w:after="0" w:line="124" w:lineRule="exact"/>
              <w:rPr>
                <w:sz w:val="20"/>
                <w:szCs w:val="20"/>
                <w:color w:val="auto"/>
              </w:rPr>
            </w:pPr>
            <w:r>
              <w:rPr>
                <w:rFonts w:ascii="Arial" w:cs="Arial" w:eastAsia="Arial" w:hAnsi="Arial"/>
                <w:sz w:val="14"/>
                <w:szCs w:val="14"/>
                <w:color w:val="auto"/>
              </w:rPr>
              <w:t>XBRL Instance Document (the instance document does not appear in the Interactive Data File</w:t>
            </w:r>
          </w:p>
        </w:tc>
        <w:tc>
          <w:tcPr>
            <w:tcW w:w="7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center"/>
              <w:ind w:right="480"/>
              <w:spacing w:after="0" w:line="124" w:lineRule="exact"/>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80" w:type="dxa"/>
            <w:vAlign w:val="bottom"/>
            <w:gridSpan w:val="15"/>
            <w:shd w:val="clear" w:color="auto" w:fill="CCEEFF"/>
          </w:tcPr>
          <w:p>
            <w:pPr>
              <w:spacing w:after="0"/>
              <w:rPr>
                <w:sz w:val="20"/>
                <w:szCs w:val="20"/>
                <w:color w:val="auto"/>
              </w:rPr>
            </w:pPr>
            <w:r>
              <w:rPr>
                <w:rFonts w:ascii="Arial" w:cs="Arial" w:eastAsia="Arial" w:hAnsi="Arial"/>
                <w:sz w:val="15"/>
                <w:szCs w:val="15"/>
                <w:color w:val="auto"/>
              </w:rPr>
              <w:t>because its XBRL tags are embedded within the Inline XBRL document)</w:t>
            </w: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spacing w:after="0" w:line="151" w:lineRule="exact"/>
              <w:rPr>
                <w:sz w:val="20"/>
                <w:szCs w:val="20"/>
                <w:color w:val="auto"/>
              </w:rPr>
            </w:pPr>
            <w:r>
              <w:rPr>
                <w:rFonts w:ascii="Arial" w:cs="Arial" w:eastAsia="Arial" w:hAnsi="Arial"/>
                <w:sz w:val="15"/>
                <w:szCs w:val="15"/>
                <w:color w:val="auto"/>
              </w:rPr>
              <w:t>101.SCH</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80" w:type="dxa"/>
            <w:vAlign w:val="bottom"/>
            <w:gridSpan w:val="15"/>
          </w:tcPr>
          <w:p>
            <w:pPr>
              <w:spacing w:after="0" w:line="151" w:lineRule="exact"/>
              <w:rPr>
                <w:sz w:val="20"/>
                <w:szCs w:val="20"/>
                <w:color w:val="auto"/>
              </w:rPr>
            </w:pPr>
            <w:r>
              <w:rPr>
                <w:rFonts w:ascii="Arial" w:cs="Arial" w:eastAsia="Arial" w:hAnsi="Arial"/>
                <w:sz w:val="15"/>
                <w:szCs w:val="15"/>
                <w:color w:val="auto"/>
              </w:rPr>
              <w:t>Inline XBRL Taxonomy Extension Schema Document</w:t>
            </w: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gridSpan w:val="2"/>
          </w:tcPr>
          <w:p>
            <w:pPr>
              <w:jc w:val="center"/>
              <w:ind w:right="480"/>
              <w:spacing w:after="0" w:line="151" w:lineRule="exact"/>
              <w:rPr>
                <w:sz w:val="20"/>
                <w:szCs w:val="20"/>
                <w:color w:val="auto"/>
              </w:rPr>
            </w:pPr>
            <w:r>
              <w:rPr>
                <w:rFonts w:ascii="Arial" w:cs="Arial" w:eastAsia="Arial" w:hAnsi="Arial"/>
                <w:sz w:val="15"/>
                <w:szCs w:val="15"/>
                <w:color w:val="auto"/>
                <w:w w:val="94"/>
              </w:rPr>
              <w:t>Filed herewith</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101.CAL</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80" w:type="dxa"/>
            <w:vAlign w:val="bottom"/>
            <w:gridSpan w:val="15"/>
            <w:shd w:val="clear" w:color="auto" w:fill="CCEEFF"/>
          </w:tcPr>
          <w:p>
            <w:pPr>
              <w:spacing w:after="0" w:line="151" w:lineRule="exact"/>
              <w:rPr>
                <w:sz w:val="20"/>
                <w:szCs w:val="20"/>
                <w:color w:val="auto"/>
              </w:rPr>
            </w:pPr>
            <w:r>
              <w:rPr>
                <w:rFonts w:ascii="Arial" w:cs="Arial" w:eastAsia="Arial" w:hAnsi="Arial"/>
                <w:sz w:val="15"/>
                <w:szCs w:val="15"/>
                <w:color w:val="auto"/>
              </w:rPr>
              <w:t>Inline XBRL Taxonomy Extension Calculation Linkbase Document</w:t>
            </w:r>
          </w:p>
        </w:tc>
        <w:tc>
          <w:tcPr>
            <w:tcW w:w="7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480"/>
              <w:spacing w:after="0" w:line="151" w:lineRule="exact"/>
              <w:rPr>
                <w:sz w:val="20"/>
                <w:szCs w:val="20"/>
                <w:color w:val="auto"/>
              </w:rPr>
            </w:pPr>
            <w:r>
              <w:rPr>
                <w:rFonts w:ascii="Arial" w:cs="Arial" w:eastAsia="Arial" w:hAnsi="Arial"/>
                <w:sz w:val="15"/>
                <w:szCs w:val="15"/>
                <w:color w:val="auto"/>
                <w:w w:val="94"/>
              </w:rPr>
              <w:t>Filed herewith</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spacing w:after="0" w:line="151" w:lineRule="exact"/>
              <w:rPr>
                <w:sz w:val="20"/>
                <w:szCs w:val="20"/>
                <w:color w:val="auto"/>
              </w:rPr>
            </w:pPr>
            <w:r>
              <w:rPr>
                <w:rFonts w:ascii="Arial" w:cs="Arial" w:eastAsia="Arial" w:hAnsi="Arial"/>
                <w:sz w:val="15"/>
                <w:szCs w:val="15"/>
                <w:color w:val="auto"/>
              </w:rPr>
              <w:t>101.DEF</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80" w:type="dxa"/>
            <w:vAlign w:val="bottom"/>
            <w:gridSpan w:val="15"/>
          </w:tcPr>
          <w:p>
            <w:pPr>
              <w:spacing w:after="0" w:line="151" w:lineRule="exact"/>
              <w:rPr>
                <w:sz w:val="20"/>
                <w:szCs w:val="20"/>
                <w:color w:val="auto"/>
              </w:rPr>
            </w:pPr>
            <w:r>
              <w:rPr>
                <w:rFonts w:ascii="Arial" w:cs="Arial" w:eastAsia="Arial" w:hAnsi="Arial"/>
                <w:sz w:val="15"/>
                <w:szCs w:val="15"/>
                <w:color w:val="auto"/>
              </w:rPr>
              <w:t>Inline XBRL Taxonomy Extension Definition Linkbase Document</w:t>
            </w: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gridSpan w:val="2"/>
          </w:tcPr>
          <w:p>
            <w:pPr>
              <w:jc w:val="center"/>
              <w:ind w:right="480"/>
              <w:spacing w:after="0" w:line="151" w:lineRule="exact"/>
              <w:rPr>
                <w:sz w:val="20"/>
                <w:szCs w:val="20"/>
                <w:color w:val="auto"/>
              </w:rPr>
            </w:pPr>
            <w:r>
              <w:rPr>
                <w:rFonts w:ascii="Arial" w:cs="Arial" w:eastAsia="Arial" w:hAnsi="Arial"/>
                <w:sz w:val="15"/>
                <w:szCs w:val="15"/>
                <w:color w:val="auto"/>
                <w:w w:val="94"/>
              </w:rPr>
              <w:t>Filed herewith</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101.LAB</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80" w:type="dxa"/>
            <w:vAlign w:val="bottom"/>
            <w:gridSpan w:val="15"/>
            <w:shd w:val="clear" w:color="auto" w:fill="CCEEFF"/>
          </w:tcPr>
          <w:p>
            <w:pPr>
              <w:spacing w:after="0" w:line="151" w:lineRule="exact"/>
              <w:rPr>
                <w:sz w:val="20"/>
                <w:szCs w:val="20"/>
                <w:color w:val="auto"/>
              </w:rPr>
            </w:pPr>
            <w:r>
              <w:rPr>
                <w:rFonts w:ascii="Arial" w:cs="Arial" w:eastAsia="Arial" w:hAnsi="Arial"/>
                <w:sz w:val="15"/>
                <w:szCs w:val="15"/>
                <w:color w:val="auto"/>
              </w:rPr>
              <w:t>Inline XBRL Taxonomy Extension Labels Linkbase Document</w:t>
            </w:r>
          </w:p>
        </w:tc>
        <w:tc>
          <w:tcPr>
            <w:tcW w:w="7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480"/>
              <w:spacing w:after="0" w:line="151" w:lineRule="exact"/>
              <w:rPr>
                <w:sz w:val="20"/>
                <w:szCs w:val="20"/>
                <w:color w:val="auto"/>
              </w:rPr>
            </w:pPr>
            <w:r>
              <w:rPr>
                <w:rFonts w:ascii="Arial" w:cs="Arial" w:eastAsia="Arial" w:hAnsi="Arial"/>
                <w:sz w:val="15"/>
                <w:szCs w:val="15"/>
                <w:color w:val="auto"/>
                <w:w w:val="94"/>
              </w:rPr>
              <w:t>Filed herewith</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spacing w:after="0" w:line="151" w:lineRule="exact"/>
              <w:rPr>
                <w:sz w:val="20"/>
                <w:szCs w:val="20"/>
                <w:color w:val="auto"/>
              </w:rPr>
            </w:pPr>
            <w:r>
              <w:rPr>
                <w:rFonts w:ascii="Arial" w:cs="Arial" w:eastAsia="Arial" w:hAnsi="Arial"/>
                <w:sz w:val="15"/>
                <w:szCs w:val="15"/>
                <w:color w:val="auto"/>
              </w:rPr>
              <w:t>101.PRE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80" w:type="dxa"/>
            <w:vAlign w:val="bottom"/>
            <w:gridSpan w:val="15"/>
          </w:tcPr>
          <w:p>
            <w:pPr>
              <w:spacing w:after="0" w:line="151" w:lineRule="exact"/>
              <w:rPr>
                <w:sz w:val="20"/>
                <w:szCs w:val="20"/>
                <w:color w:val="auto"/>
              </w:rPr>
            </w:pPr>
            <w:r>
              <w:rPr>
                <w:rFonts w:ascii="Arial" w:cs="Arial" w:eastAsia="Arial" w:hAnsi="Arial"/>
                <w:sz w:val="15"/>
                <w:szCs w:val="15"/>
                <w:color w:val="auto"/>
              </w:rPr>
              <w:t>Inline XBRL Taxonomy Extension Presentation Linkbase Document</w:t>
            </w: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gridSpan w:val="2"/>
          </w:tcPr>
          <w:p>
            <w:pPr>
              <w:jc w:val="center"/>
              <w:ind w:right="480"/>
              <w:spacing w:after="0" w:line="151" w:lineRule="exact"/>
              <w:rPr>
                <w:sz w:val="20"/>
                <w:szCs w:val="20"/>
                <w:color w:val="auto"/>
              </w:rPr>
            </w:pPr>
            <w:r>
              <w:rPr>
                <w:rFonts w:ascii="Arial" w:cs="Arial" w:eastAsia="Arial" w:hAnsi="Arial"/>
                <w:sz w:val="15"/>
                <w:szCs w:val="15"/>
                <w:color w:val="auto"/>
                <w:w w:val="94"/>
              </w:rPr>
              <w:t>Filed herewith</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5"/>
                <w:szCs w:val="15"/>
                <w:color w:val="auto"/>
                <w:w w:val="95"/>
              </w:rPr>
              <w:t>104</w:t>
            </w: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80" w:type="dxa"/>
            <w:vAlign w:val="bottom"/>
            <w:gridSpan w:val="15"/>
            <w:shd w:val="clear" w:color="auto" w:fill="CCEEFF"/>
          </w:tcPr>
          <w:p>
            <w:pPr>
              <w:spacing w:after="0" w:line="151" w:lineRule="exact"/>
              <w:rPr>
                <w:sz w:val="20"/>
                <w:szCs w:val="20"/>
                <w:color w:val="auto"/>
              </w:rPr>
            </w:pPr>
            <w:r>
              <w:rPr>
                <w:rFonts w:ascii="Arial" w:cs="Arial" w:eastAsia="Arial" w:hAnsi="Arial"/>
                <w:sz w:val="15"/>
                <w:szCs w:val="15"/>
                <w:color w:val="auto"/>
              </w:rPr>
              <w:t>Cover Page Interactive File (formatted as inline XBRL and contained in Exhibit 101)</w:t>
            </w:r>
          </w:p>
        </w:tc>
        <w:tc>
          <w:tcPr>
            <w:tcW w:w="7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480"/>
              <w:spacing w:after="0" w:line="151" w:lineRule="exact"/>
              <w:rPr>
                <w:sz w:val="20"/>
                <w:szCs w:val="20"/>
                <w:color w:val="auto"/>
              </w:rPr>
            </w:pPr>
            <w:r>
              <w:rPr>
                <w:rFonts w:ascii="Arial" w:cs="Arial" w:eastAsia="Arial" w:hAnsi="Arial"/>
                <w:sz w:val="15"/>
                <w:szCs w:val="15"/>
                <w:color w:val="auto"/>
                <w:w w:val="94"/>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232410</wp:posOffset>
            </wp:positionV>
            <wp:extent cx="32899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00" w:hanging="379"/>
        <w:spacing w:after="0" w:line="244" w:lineRule="auto"/>
        <w:tabs>
          <w:tab w:leader="none" w:pos="400" w:val="left"/>
        </w:tabs>
        <w:numPr>
          <w:ilvl w:val="0"/>
          <w:numId w:val="6"/>
        </w:numPr>
        <w:rPr>
          <w:rFonts w:ascii="Arial" w:cs="Arial" w:eastAsia="Arial" w:hAnsi="Arial"/>
          <w:sz w:val="20"/>
          <w:szCs w:val="20"/>
          <w:color w:val="auto"/>
        </w:rPr>
      </w:pPr>
      <w:r>
        <w:rPr>
          <w:rFonts w:ascii="Arial" w:cs="Arial" w:eastAsia="Arial" w:hAnsi="Arial"/>
          <w:sz w:val="17"/>
          <w:szCs w:val="17"/>
          <w:color w:val="auto"/>
        </w:rPr>
        <w:t>Confidential portions of this exhibit have been omitted in accordance with Item 601(b)(10) of Regulation S-K because they are private, confidential and not material, and will be supplementally furnished to the SEC upon request.</w:t>
      </w:r>
    </w:p>
    <w:p>
      <w:pPr>
        <w:spacing w:after="0" w:line="48" w:lineRule="exact"/>
        <w:rPr>
          <w:sz w:val="20"/>
          <w:szCs w:val="20"/>
          <w:color w:val="auto"/>
        </w:rPr>
      </w:pPr>
    </w:p>
    <w:p>
      <w:pPr>
        <w:ind w:left="400" w:hanging="379"/>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70" w:lineRule="exact"/>
        <w:rPr>
          <w:sz w:val="20"/>
          <w:szCs w:val="20"/>
          <w:color w:val="auto"/>
        </w:rPr>
      </w:pPr>
    </w:p>
    <w:p>
      <w:pPr>
        <w:jc w:val="both"/>
        <w:ind w:left="400" w:hanging="379"/>
        <w:spacing w:after="0" w:line="228"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184150</wp:posOffset>
            </wp:positionV>
            <wp:extent cx="716661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60"/>
          </w:cols>
          <w:pgMar w:left="300" w:top="96"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37" w:lineRule="exact"/>
        <w:rPr>
          <w:sz w:val="20"/>
          <w:szCs w:val="20"/>
          <w:color w:val="auto"/>
        </w:rPr>
      </w:pPr>
    </w:p>
    <w:p>
      <w:pPr>
        <w:ind w:firstLine="412"/>
        <w:spacing w:after="0"/>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28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339" w:lineRule="exact"/>
        <w:rPr>
          <w:sz w:val="20"/>
          <w:szCs w:val="20"/>
          <w:color w:val="auto"/>
        </w:rPr>
      </w:pPr>
    </w:p>
    <w:p>
      <w:pPr>
        <w:ind w:left="6000" w:right="1740" w:hanging="8138"/>
        <w:spacing w:after="0"/>
        <w:tabs>
          <w:tab w:leader="none" w:pos="5980" w:val="left"/>
        </w:tabs>
        <w:rPr>
          <w:sz w:val="20"/>
          <w:szCs w:val="20"/>
          <w:color w:val="auto"/>
        </w:rPr>
      </w:pPr>
      <w:r>
        <w:rPr>
          <w:rFonts w:ascii="Arial" w:cs="Arial" w:eastAsia="Arial" w:hAnsi="Arial"/>
          <w:sz w:val="17"/>
          <w:szCs w:val="17"/>
          <w:color w:val="auto"/>
        </w:rPr>
        <w:t>Date: August 5, 2022</w:t>
      </w:r>
      <w:r>
        <w:rPr>
          <w:sz w:val="20"/>
          <w:szCs w:val="20"/>
          <w:color w:val="auto"/>
        </w:rPr>
        <w:tab/>
      </w:r>
      <w:r>
        <w:rPr>
          <w:rFonts w:ascii="Arial" w:cs="Arial" w:eastAsia="Arial" w:hAnsi="Arial"/>
          <w:sz w:val="17"/>
          <w:szCs w:val="17"/>
          <w:color w:val="auto"/>
        </w:rPr>
        <w:t>By: /s/ Christian O. Henry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-6985</wp:posOffset>
            </wp:positionV>
            <wp:extent cx="31134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line="128" w:lineRule="exact"/>
        <w:rPr>
          <w:sz w:val="20"/>
          <w:szCs w:val="20"/>
          <w:color w:val="auto"/>
        </w:rPr>
      </w:pPr>
    </w:p>
    <w:p>
      <w:pPr>
        <w:jc w:val="center"/>
        <w:ind w:left="6320"/>
        <w:spacing w:after="0"/>
        <w:rPr>
          <w:sz w:val="20"/>
          <w:szCs w:val="20"/>
          <w:color w:val="auto"/>
        </w:rPr>
      </w:pPr>
      <w:r>
        <w:rPr>
          <w:rFonts w:ascii="Arial" w:cs="Arial" w:eastAsia="Arial" w:hAnsi="Arial"/>
          <w:sz w:val="17"/>
          <w:szCs w:val="17"/>
          <w:color w:val="auto"/>
        </w:rPr>
        <w:t>Chief Executive Officer and President</w:t>
      </w:r>
    </w:p>
    <w:p>
      <w:pPr>
        <w:jc w:val="center"/>
        <w:ind w:left="632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00" w:right="1920" w:hanging="8306"/>
        <w:spacing w:after="0"/>
        <w:tabs>
          <w:tab w:leader="none" w:pos="5980" w:val="left"/>
        </w:tabs>
        <w:rPr>
          <w:sz w:val="20"/>
          <w:szCs w:val="20"/>
          <w:color w:val="auto"/>
        </w:rPr>
      </w:pPr>
      <w:r>
        <w:rPr>
          <w:rFonts w:ascii="Arial" w:cs="Arial" w:eastAsia="Arial" w:hAnsi="Arial"/>
          <w:sz w:val="17"/>
          <w:szCs w:val="17"/>
          <w:color w:val="auto"/>
        </w:rPr>
        <w:t>Date: August 5, 2022</w:t>
      </w:r>
      <w:r>
        <w:rPr>
          <w:sz w:val="20"/>
          <w:szCs w:val="20"/>
          <w:color w:val="auto"/>
        </w:rPr>
        <w:tab/>
      </w:r>
      <w:r>
        <w:rPr>
          <w:rFonts w:ascii="Arial" w:cs="Arial" w:eastAsia="Arial" w:hAnsi="Arial"/>
          <w:sz w:val="17"/>
          <w:szCs w:val="17"/>
          <w:color w:val="auto"/>
        </w:rPr>
        <w:t>By: /s/ Susan G. Kim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-6985</wp:posOffset>
            </wp:positionV>
            <wp:extent cx="31134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line="128"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Chief Financial Officer</w:t>
      </w:r>
    </w:p>
    <w:p>
      <w:pPr>
        <w:ind w:left="782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00" w:right="1720" w:hanging="8289"/>
        <w:spacing w:after="0"/>
        <w:tabs>
          <w:tab w:leader="none" w:pos="5980" w:val="left"/>
        </w:tabs>
        <w:rPr>
          <w:sz w:val="20"/>
          <w:szCs w:val="20"/>
          <w:color w:val="auto"/>
        </w:rPr>
      </w:pPr>
      <w:r>
        <w:rPr>
          <w:rFonts w:ascii="Arial" w:cs="Arial" w:eastAsia="Arial" w:hAnsi="Arial"/>
          <w:sz w:val="17"/>
          <w:szCs w:val="17"/>
          <w:color w:val="auto"/>
        </w:rPr>
        <w:t>Date: August 5, 2022</w:t>
      </w:r>
      <w:r>
        <w:rPr>
          <w:sz w:val="20"/>
          <w:szCs w:val="20"/>
          <w:color w:val="auto"/>
        </w:rPr>
        <w:tab/>
      </w:r>
      <w:r>
        <w:rPr>
          <w:rFonts w:ascii="Arial" w:cs="Arial" w:eastAsia="Arial" w:hAnsi="Arial"/>
          <w:sz w:val="17"/>
          <w:szCs w:val="17"/>
          <w:color w:val="auto"/>
        </w:rPr>
        <w:t>By: /s/ Michele Farmer Michele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-6985</wp:posOffset>
            </wp:positionV>
            <wp:extent cx="3105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pacing w:after="0" w:line="128" w:lineRule="exact"/>
        <w:rPr>
          <w:sz w:val="20"/>
          <w:szCs w:val="20"/>
          <w:color w:val="auto"/>
        </w:rPr>
      </w:pPr>
    </w:p>
    <w:p>
      <w:pPr>
        <w:jc w:val="center"/>
        <w:ind w:left="6300"/>
        <w:spacing w:after="0"/>
        <w:rPr>
          <w:sz w:val="20"/>
          <w:szCs w:val="20"/>
          <w:color w:val="auto"/>
        </w:rPr>
      </w:pPr>
      <w:r>
        <w:rPr>
          <w:rFonts w:ascii="Arial" w:cs="Arial" w:eastAsia="Arial" w:hAnsi="Arial"/>
          <w:sz w:val="17"/>
          <w:szCs w:val="17"/>
          <w:color w:val="auto"/>
        </w:rPr>
        <w:t>Vice President and Chief Accounting Officer</w:t>
      </w:r>
    </w:p>
    <w:p>
      <w:pPr>
        <w:jc w:val="center"/>
        <w:ind w:left="6340"/>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114" w:right="339" w:bottom="1440" w:gutter="0" w:footer="0" w:header="0"/>
        </w:sectPr>
      </w:pPr>
    </w:p>
    <w:bookmarkStart w:id="77" w:name="page78"/>
    <w:bookmarkEnd w:id="77"/>
    <w:p>
      <w:pPr>
        <w:jc w:val="center"/>
        <w:ind w:left="100" w:right="119"/>
        <w:spacing w:after="0" w:line="252" w:lineRule="auto"/>
        <w:rPr>
          <w:sz w:val="20"/>
          <w:szCs w:val="20"/>
          <w:color w:val="auto"/>
        </w:rPr>
      </w:pPr>
      <w:r>
        <w:rPr>
          <w:rFonts w:ascii="Arial" w:cs="Arial" w:eastAsia="Arial" w:hAnsi="Arial"/>
          <w:sz w:val="20"/>
          <w:szCs w:val="20"/>
          <w:color w:val="auto"/>
        </w:rPr>
        <w:t>CERTAIN CONFIDENTIAL INFORMATION CONTAINED IN THIS DOCUMENT, MARKED BY BRACKETS ([***]), HAS BEEN OMITTED BECAUSE THE INFORMATION (I) IS NOT MATERIAL AND (II) WOULD BE COMPETITIVELY HARMFUL IF PUBLICLY DISCLOSED.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DEVELOPMENT AND COMMERCIALIZATION AGREEMENT</w:t>
      </w:r>
    </w:p>
    <w:p>
      <w:pPr>
        <w:spacing w:after="0" w:line="200" w:lineRule="exact"/>
        <w:rPr>
          <w:sz w:val="20"/>
          <w:szCs w:val="20"/>
          <w:color w:val="auto"/>
        </w:rPr>
      </w:pPr>
    </w:p>
    <w:p>
      <w:pPr>
        <w:spacing w:after="0" w:line="231" w:lineRule="exact"/>
        <w:rPr>
          <w:sz w:val="20"/>
          <w:szCs w:val="20"/>
          <w:color w:val="auto"/>
        </w:rPr>
      </w:pPr>
    </w:p>
    <w:p>
      <w:pPr>
        <w:jc w:val="both"/>
        <w:ind w:left="100" w:right="119" w:firstLine="606"/>
        <w:spacing w:after="0" w:line="243" w:lineRule="auto"/>
        <w:rPr>
          <w:sz w:val="20"/>
          <w:szCs w:val="20"/>
          <w:color w:val="auto"/>
        </w:rPr>
      </w:pPr>
      <w:r>
        <w:rPr>
          <w:rFonts w:ascii="Arial" w:cs="Arial" w:eastAsia="Arial" w:hAnsi="Arial"/>
          <w:sz w:val="20"/>
          <w:szCs w:val="20"/>
          <w:color w:val="auto"/>
        </w:rPr>
        <w:t>This AMENDED AND RESTATED DEVELOPMENT AND COMMERCIALIZATION AGREEMENT (the “</w:t>
      </w:r>
      <w:r>
        <w:rPr>
          <w:rFonts w:ascii="Arial" w:cs="Arial" w:eastAsia="Arial" w:hAnsi="Arial"/>
          <w:sz w:val="20"/>
          <w:szCs w:val="20"/>
          <w:b w:val="1"/>
          <w:bCs w:val="1"/>
          <w:color w:val="auto"/>
        </w:rPr>
        <w:t>Agreement</w:t>
      </w:r>
      <w:r>
        <w:rPr>
          <w:rFonts w:ascii="Arial" w:cs="Arial" w:eastAsia="Arial" w:hAnsi="Arial"/>
          <w:sz w:val="20"/>
          <w:szCs w:val="20"/>
          <w:color w:val="auto"/>
        </w:rPr>
        <w:t>”), effective as of June 24, 2022 (the “</w:t>
      </w:r>
      <w:r>
        <w:rPr>
          <w:rFonts w:ascii="Arial" w:cs="Arial" w:eastAsia="Arial" w:hAnsi="Arial"/>
          <w:sz w:val="20"/>
          <w:szCs w:val="20"/>
          <w:b w:val="1"/>
          <w:bCs w:val="1"/>
          <w:color w:val="auto"/>
        </w:rPr>
        <w:t>Effective Date</w:t>
      </w:r>
      <w:r>
        <w:rPr>
          <w:rFonts w:ascii="Arial" w:cs="Arial" w:eastAsia="Arial" w:hAnsi="Arial"/>
          <w:sz w:val="20"/>
          <w:szCs w:val="20"/>
          <w:color w:val="auto"/>
        </w:rPr>
        <w:t>”), is made by and between Pacific Biosciences of California, Inc., a Delaware corporation, having a place of business at 1305 O’Brien Dr., Menlo Park, CA 94025 (“</w:t>
      </w:r>
      <w:r>
        <w:rPr>
          <w:rFonts w:ascii="Arial" w:cs="Arial" w:eastAsia="Arial" w:hAnsi="Arial"/>
          <w:sz w:val="20"/>
          <w:szCs w:val="20"/>
          <w:b w:val="1"/>
          <w:bCs w:val="1"/>
          <w:color w:val="auto"/>
        </w:rPr>
        <w:t>PacBio</w:t>
      </w:r>
      <w:r>
        <w:rPr>
          <w:rFonts w:ascii="Arial" w:cs="Arial" w:eastAsia="Arial" w:hAnsi="Arial"/>
          <w:sz w:val="20"/>
          <w:szCs w:val="20"/>
          <w:color w:val="auto"/>
        </w:rPr>
        <w:t>”) and Invitae Corporation, a Delaware corporation, having a place of business at 1400 16</w:t>
      </w:r>
      <w:r>
        <w:rPr>
          <w:rFonts w:ascii="Arial" w:cs="Arial" w:eastAsia="Arial" w:hAnsi="Arial"/>
          <w:sz w:val="10"/>
          <w:szCs w:val="10"/>
          <w:color w:val="auto"/>
        </w:rPr>
        <w:t>th</w:t>
      </w:r>
      <w:r>
        <w:rPr>
          <w:rFonts w:ascii="Arial" w:cs="Arial" w:eastAsia="Arial" w:hAnsi="Arial"/>
          <w:sz w:val="20"/>
          <w:szCs w:val="20"/>
          <w:color w:val="auto"/>
        </w:rPr>
        <w:t xml:space="preserve"> St., San Francisco, CA 94103 (“</w:t>
      </w:r>
      <w:r>
        <w:rPr>
          <w:rFonts w:ascii="Arial" w:cs="Arial" w:eastAsia="Arial" w:hAnsi="Arial"/>
          <w:sz w:val="20"/>
          <w:szCs w:val="20"/>
          <w:b w:val="1"/>
          <w:bCs w:val="1"/>
          <w:color w:val="auto"/>
        </w:rPr>
        <w:t>Invitae</w:t>
      </w:r>
      <w:r>
        <w:rPr>
          <w:rFonts w:ascii="Arial" w:cs="Arial" w:eastAsia="Arial" w:hAnsi="Arial"/>
          <w:sz w:val="20"/>
          <w:szCs w:val="20"/>
          <w:color w:val="auto"/>
        </w:rPr>
        <w:t>” and, together with PacBio, the “</w:t>
      </w:r>
      <w:r>
        <w:rPr>
          <w:rFonts w:ascii="Arial" w:cs="Arial" w:eastAsia="Arial" w:hAnsi="Arial"/>
          <w:sz w:val="20"/>
          <w:szCs w:val="20"/>
          <w:b w:val="1"/>
          <w:bCs w:val="1"/>
          <w:color w:val="auto"/>
        </w:rPr>
        <w:t>Parties</w:t>
      </w:r>
      <w:r>
        <w:rPr>
          <w:rFonts w:ascii="Arial" w:cs="Arial" w:eastAsia="Arial" w:hAnsi="Arial"/>
          <w:sz w:val="20"/>
          <w:szCs w:val="20"/>
          <w:color w:val="auto"/>
        </w:rPr>
        <w:t>” and each,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29" w:lineRule="exact"/>
        <w:rPr>
          <w:sz w:val="20"/>
          <w:szCs w:val="20"/>
          <w:color w:val="auto"/>
        </w:rPr>
      </w:pPr>
    </w:p>
    <w:p>
      <w:pPr>
        <w:ind w:left="100" w:right="119" w:firstLine="297"/>
        <w:spacing w:after="0" w:line="266" w:lineRule="auto"/>
        <w:tabs>
          <w:tab w:leader="none" w:pos="814" w:val="left"/>
        </w:tabs>
        <w:numPr>
          <w:ilvl w:val="0"/>
          <w:numId w:val="9"/>
        </w:numPr>
        <w:rPr>
          <w:rFonts w:ascii="Arial" w:cs="Arial" w:eastAsia="Arial" w:hAnsi="Arial"/>
          <w:sz w:val="20"/>
          <w:szCs w:val="20"/>
          <w:color w:val="auto"/>
        </w:rPr>
      </w:pPr>
      <w:r>
        <w:rPr>
          <w:rFonts w:ascii="Arial" w:cs="Arial" w:eastAsia="Arial" w:hAnsi="Arial"/>
          <w:sz w:val="20"/>
          <w:szCs w:val="20"/>
          <w:color w:val="auto"/>
        </w:rPr>
        <w:t>Invitae is working to bring comprehensive genetic information into mainstream medicine to improve healthcare.</w:t>
      </w:r>
    </w:p>
    <w:p>
      <w:pPr>
        <w:spacing w:after="0" w:line="172" w:lineRule="exact"/>
        <w:rPr>
          <w:rFonts w:ascii="Arial" w:cs="Arial" w:eastAsia="Arial" w:hAnsi="Arial"/>
          <w:sz w:val="20"/>
          <w:szCs w:val="20"/>
          <w:color w:val="auto"/>
        </w:rPr>
      </w:pPr>
    </w:p>
    <w:p>
      <w:pPr>
        <w:ind w:left="100" w:right="119" w:firstLine="297"/>
        <w:spacing w:after="0" w:line="266" w:lineRule="auto"/>
        <w:tabs>
          <w:tab w:leader="none" w:pos="753" w:val="left"/>
        </w:tabs>
        <w:numPr>
          <w:ilvl w:val="0"/>
          <w:numId w:val="9"/>
        </w:numPr>
        <w:rPr>
          <w:rFonts w:ascii="Arial" w:cs="Arial" w:eastAsia="Arial" w:hAnsi="Arial"/>
          <w:sz w:val="20"/>
          <w:szCs w:val="20"/>
          <w:color w:val="auto"/>
        </w:rPr>
      </w:pPr>
      <w:r>
        <w:rPr>
          <w:rFonts w:ascii="Arial" w:cs="Arial" w:eastAsia="Arial" w:hAnsi="Arial"/>
          <w:sz w:val="20"/>
          <w:szCs w:val="20"/>
          <w:color w:val="auto"/>
        </w:rPr>
        <w:t>PacBio is a leading provider of high-quality sequencing of genomes, transcriptomes and epigenomes employing SMRT Sequencing Technology to generate HiFi genomes.</w:t>
      </w:r>
    </w:p>
    <w:p>
      <w:pPr>
        <w:spacing w:after="0" w:line="147" w:lineRule="exact"/>
        <w:rPr>
          <w:rFonts w:ascii="Arial" w:cs="Arial" w:eastAsia="Arial" w:hAnsi="Arial"/>
          <w:sz w:val="20"/>
          <w:szCs w:val="20"/>
          <w:color w:val="auto"/>
        </w:rPr>
      </w:pPr>
    </w:p>
    <w:p>
      <w:pPr>
        <w:jc w:val="both"/>
        <w:ind w:left="100" w:right="99" w:firstLine="297"/>
        <w:spacing w:after="0" w:line="247" w:lineRule="auto"/>
        <w:tabs>
          <w:tab w:leader="none" w:pos="803" w:val="left"/>
        </w:tabs>
        <w:numPr>
          <w:ilvl w:val="0"/>
          <w:numId w:val="9"/>
        </w:numPr>
        <w:rPr>
          <w:rFonts w:ascii="Arial" w:cs="Arial" w:eastAsia="Arial" w:hAnsi="Arial"/>
          <w:sz w:val="20"/>
          <w:szCs w:val="20"/>
          <w:color w:val="auto"/>
        </w:rPr>
      </w:pPr>
      <w:r>
        <w:rPr>
          <w:rFonts w:ascii="Arial" w:cs="Arial" w:eastAsia="Arial" w:hAnsi="Arial"/>
          <w:sz w:val="20"/>
          <w:szCs w:val="20"/>
          <w:color w:val="auto"/>
        </w:rPr>
        <w:t>PacBio and Invitae entered into that certain Development and Commercialization Agreement, effective as of January 12, 2021, as amended by that certain Amendment No. 1 to Development and Commercialization Agreement effective as of January 12, 2021 (as amended, the “</w:t>
      </w:r>
      <w:r>
        <w:rPr>
          <w:rFonts w:ascii="Arial" w:cs="Arial" w:eastAsia="Arial" w:hAnsi="Arial"/>
          <w:sz w:val="20"/>
          <w:szCs w:val="20"/>
          <w:b w:val="1"/>
          <w:bCs w:val="1"/>
          <w:color w:val="auto"/>
        </w:rPr>
        <w:t>Original Agreement</w:t>
      </w:r>
      <w:r>
        <w:rPr>
          <w:rFonts w:ascii="Arial" w:cs="Arial" w:eastAsia="Arial" w:hAnsi="Arial"/>
          <w:sz w:val="20"/>
          <w:szCs w:val="20"/>
          <w:color w:val="auto"/>
        </w:rPr>
        <w:t>” and “</w:t>
      </w:r>
      <w:r>
        <w:rPr>
          <w:rFonts w:ascii="Arial" w:cs="Arial" w:eastAsia="Arial" w:hAnsi="Arial"/>
          <w:sz w:val="20"/>
          <w:szCs w:val="20"/>
          <w:b w:val="1"/>
          <w:bCs w:val="1"/>
          <w:color w:val="auto"/>
        </w:rPr>
        <w:t>Original Effective Date</w:t>
      </w:r>
      <w:r>
        <w:rPr>
          <w:rFonts w:ascii="Arial" w:cs="Arial" w:eastAsia="Arial" w:hAnsi="Arial"/>
          <w:sz w:val="20"/>
          <w:szCs w:val="20"/>
          <w:color w:val="auto"/>
        </w:rPr>
        <w:t>”).</w:t>
      </w:r>
    </w:p>
    <w:p>
      <w:pPr>
        <w:spacing w:after="0" w:line="165" w:lineRule="exact"/>
        <w:rPr>
          <w:rFonts w:ascii="Arial" w:cs="Arial" w:eastAsia="Arial" w:hAnsi="Arial"/>
          <w:sz w:val="20"/>
          <w:szCs w:val="20"/>
          <w:color w:val="auto"/>
        </w:rPr>
      </w:pPr>
    </w:p>
    <w:p>
      <w:pPr>
        <w:ind w:left="100" w:right="119" w:firstLine="297"/>
        <w:spacing w:after="0" w:line="266" w:lineRule="auto"/>
        <w:tabs>
          <w:tab w:leader="none" w:pos="764" w:val="left"/>
        </w:tabs>
        <w:numPr>
          <w:ilvl w:val="0"/>
          <w:numId w:val="9"/>
        </w:numPr>
        <w:rPr>
          <w:rFonts w:ascii="Arial" w:cs="Arial" w:eastAsia="Arial" w:hAnsi="Arial"/>
          <w:sz w:val="20"/>
          <w:szCs w:val="20"/>
          <w:color w:val="auto"/>
        </w:rPr>
      </w:pPr>
      <w:r>
        <w:rPr>
          <w:rFonts w:ascii="Arial" w:cs="Arial" w:eastAsia="Arial" w:hAnsi="Arial"/>
          <w:sz w:val="20"/>
          <w:szCs w:val="20"/>
          <w:color w:val="auto"/>
        </w:rPr>
        <w:t>PacBio and Invitae desire to amend and restate the Original Agreement in its entirety as set forth in this Agreement.</w:t>
      </w:r>
    </w:p>
    <w:p>
      <w:pPr>
        <w:spacing w:after="0" w:line="173" w:lineRule="exact"/>
        <w:rPr>
          <w:sz w:val="20"/>
          <w:szCs w:val="20"/>
          <w:color w:val="auto"/>
        </w:rPr>
      </w:pPr>
    </w:p>
    <w:p>
      <w:pPr>
        <w:ind w:left="100" w:right="119" w:firstLine="606"/>
        <w:spacing w:after="0" w:line="323" w:lineRule="auto"/>
        <w:rPr>
          <w:sz w:val="20"/>
          <w:szCs w:val="20"/>
          <w:color w:val="auto"/>
        </w:rPr>
      </w:pPr>
      <w:r>
        <w:rPr>
          <w:rFonts w:ascii="Arial" w:cs="Arial" w:eastAsia="Arial" w:hAnsi="Arial"/>
          <w:sz w:val="18"/>
          <w:szCs w:val="18"/>
          <w:color w:val="auto"/>
        </w:rPr>
        <w:t>NOW, THEREFORE, PacBio and Invitae hereby amend, restate, and replace the Original Agreement in its entirety with this Agreement, effective as of the Effective Date, and agree to the following terms:</w:t>
      </w:r>
    </w:p>
    <w:p>
      <w:pPr>
        <w:spacing w:after="0" w:line="298"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ARTICLE 1</w:t>
      </w:r>
    </w:p>
    <w:p>
      <w:pPr>
        <w:spacing w:after="0" w:line="19"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DEFINITIONS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As used herein, the following terms will have the meanings set forth below: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78" w:name="page79"/>
    <w:bookmarkEnd w:id="78"/>
    <w:p>
      <w:pPr>
        <w:jc w:val="both"/>
        <w:ind w:left="100" w:right="99" w:firstLine="606"/>
        <w:spacing w:after="0" w:line="254" w:lineRule="auto"/>
        <w:rPr>
          <w:sz w:val="20"/>
          <w:szCs w:val="20"/>
          <w:color w:val="auto"/>
        </w:rPr>
      </w:pPr>
      <w:r>
        <w:rPr>
          <w:rFonts w:ascii="Arial" w:cs="Arial" w:eastAsia="Arial" w:hAnsi="Arial"/>
          <w:sz w:val="19"/>
          <w:szCs w:val="19"/>
          <w:color w:val="auto"/>
        </w:rPr>
        <w:t>1.1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means, with respect to an entity, any other entity that controls, is controlled by, or is under common control with the first entity. For the purpose of this definition, “control” shall mean direct or indirect ownership of fifty percent (50%) or more of the shares of stock entitled to vote for the election of directors, in the case of a corporation, or fifty percent (50%) or more of the equity interest, in the case of any type of legal entity other than a corporation,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 In the case of entities organized under the laws of certain countries, the Parties acknowledge that the maximum percentage ownership permitted by law for a foreign investor may be less than fifty percent (50%) and, in such case, such lower percentage shall be substituted in the preceding sentence;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foreign investor has the power to direct the management and policies of such entity.</w:t>
      </w:r>
    </w:p>
    <w:p>
      <w:pPr>
        <w:spacing w:after="0" w:line="182" w:lineRule="exact"/>
        <w:rPr>
          <w:sz w:val="20"/>
          <w:szCs w:val="20"/>
          <w:color w:val="auto"/>
        </w:rPr>
      </w:pPr>
    </w:p>
    <w:p>
      <w:pPr>
        <w:jc w:val="both"/>
        <w:ind w:left="100" w:right="119" w:firstLine="606"/>
        <w:spacing w:after="0" w:line="297" w:lineRule="auto"/>
        <w:rPr>
          <w:sz w:val="20"/>
          <w:szCs w:val="20"/>
          <w:color w:val="auto"/>
        </w:rPr>
      </w:pPr>
      <w:r>
        <w:rPr>
          <w:rFonts w:ascii="Arial" w:cs="Arial" w:eastAsia="Arial" w:hAnsi="Arial"/>
          <w:sz w:val="19"/>
          <w:szCs w:val="19"/>
          <w:color w:val="auto"/>
        </w:rPr>
        <w:t>1.2 “</w:t>
      </w:r>
      <w:r>
        <w:rPr>
          <w:rFonts w:ascii="Arial" w:cs="Arial" w:eastAsia="Arial" w:hAnsi="Arial"/>
          <w:sz w:val="19"/>
          <w:szCs w:val="19"/>
          <w:b w:val="1"/>
          <w:bCs w:val="1"/>
          <w:color w:val="auto"/>
        </w:rPr>
        <w:t>Business Day”</w:t>
      </w:r>
      <w:r>
        <w:rPr>
          <w:rFonts w:ascii="Arial" w:cs="Arial" w:eastAsia="Arial" w:hAnsi="Arial"/>
          <w:sz w:val="19"/>
          <w:szCs w:val="19"/>
          <w:color w:val="auto"/>
        </w:rPr>
        <w:t xml:space="preserve"> means a day other than a Saturday, Sunday, or other day on which commercial banks in San Francisco, CA are authorized or required by law to be closed for business.</w:t>
      </w:r>
    </w:p>
    <w:p>
      <w:pPr>
        <w:spacing w:after="0" w:line="142"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means, collectively, the </w:t>
      </w:r>
      <w:r>
        <w:rPr>
          <w:rFonts w:ascii="Arial" w:cs="Arial" w:eastAsia="Arial" w:hAnsi="Arial"/>
          <w:sz w:val="19"/>
          <w:szCs w:val="19"/>
          <w:b w:val="1"/>
          <w:bCs w:val="1"/>
          <w:color w:val="auto"/>
        </w:rPr>
        <w:t>[***]</w:t>
      </w:r>
      <w:r>
        <w:rPr>
          <w:rFonts w:ascii="Arial" w:cs="Arial" w:eastAsia="Arial" w:hAnsi="Arial"/>
          <w:sz w:val="19"/>
          <w:szCs w:val="19"/>
          <w:color w:val="auto"/>
        </w:rPr>
        <w:t xml:space="preserve"> and the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225"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xml:space="preserve">” means the </w:t>
      </w:r>
      <w:r>
        <w:rPr>
          <w:rFonts w:ascii="Arial" w:cs="Arial" w:eastAsia="Arial" w:hAnsi="Arial"/>
          <w:sz w:val="20"/>
          <w:szCs w:val="20"/>
          <w:b w:val="1"/>
          <w:bCs w:val="1"/>
          <w:color w:val="auto"/>
        </w:rPr>
        <w:t>[***]</w:t>
      </w:r>
      <w:r>
        <w:rPr>
          <w:rFonts w:ascii="Arial" w:cs="Arial" w:eastAsia="Arial" w:hAnsi="Arial"/>
          <w:sz w:val="20"/>
          <w:szCs w:val="20"/>
          <w:color w:val="auto"/>
        </w:rPr>
        <w:t xml:space="preserve">, which </w:t>
      </w:r>
      <w:r>
        <w:rPr>
          <w:rFonts w:ascii="Arial" w:cs="Arial" w:eastAsia="Arial" w:hAnsi="Arial"/>
          <w:sz w:val="20"/>
          <w:szCs w:val="20"/>
          <w:b w:val="1"/>
          <w:bCs w:val="1"/>
          <w:color w:val="auto"/>
        </w:rPr>
        <w:t>[***]</w:t>
      </w:r>
      <w:r>
        <w:rPr>
          <w:rFonts w:ascii="Arial" w:cs="Arial" w:eastAsia="Arial" w:hAnsi="Arial"/>
          <w:sz w:val="20"/>
          <w:szCs w:val="20"/>
          <w:color w:val="auto"/>
        </w:rPr>
        <w:t xml:space="preserve"> will use </w:t>
      </w:r>
      <w:r>
        <w:rPr>
          <w:rFonts w:ascii="Arial" w:cs="Arial" w:eastAsia="Arial" w:hAnsi="Arial"/>
          <w:sz w:val="20"/>
          <w:szCs w:val="20"/>
          <w:b w:val="1"/>
          <w:bCs w:val="1"/>
          <w:color w:val="auto"/>
        </w:rPr>
        <w:t>[***]</w:t>
      </w:r>
      <w:r>
        <w:rPr>
          <w:rFonts w:ascii="Arial" w:cs="Arial" w:eastAsia="Arial" w:hAnsi="Arial"/>
          <w:sz w:val="20"/>
          <w:szCs w:val="20"/>
          <w:color w:val="auto"/>
        </w:rPr>
        <w:t xml:space="preserve"> technology to </w:t>
      </w:r>
      <w:r>
        <w:rPr>
          <w:rFonts w:ascii="Arial" w:cs="Arial" w:eastAsia="Arial" w:hAnsi="Arial"/>
          <w:sz w:val="20"/>
          <w:szCs w:val="20"/>
          <w:b w:val="1"/>
          <w:bCs w:val="1"/>
          <w:color w:val="auto"/>
        </w:rPr>
        <w:t>[***]</w:t>
      </w:r>
      <w:r>
        <w:rPr>
          <w:rFonts w:ascii="Arial" w:cs="Arial" w:eastAsia="Arial" w:hAnsi="Arial"/>
          <w:sz w:val="20"/>
          <w:szCs w:val="20"/>
          <w:color w:val="auto"/>
        </w:rPr>
        <w:t xml:space="preserve"> and is expected to</w:t>
      </w:r>
    </w:p>
    <w:p>
      <w:pPr>
        <w:spacing w:after="0" w:line="19" w:lineRule="exact"/>
        <w:rPr>
          <w:sz w:val="20"/>
          <w:szCs w:val="20"/>
          <w:color w:val="auto"/>
        </w:rPr>
      </w:pPr>
    </w:p>
    <w:p>
      <w:pPr>
        <w:ind w:left="100" w:right="119" w:hanging="6"/>
        <w:spacing w:after="0" w:line="247" w:lineRule="auto"/>
        <w:tabs>
          <w:tab w:leader="none" w:pos="636" w:val="left"/>
        </w:tabs>
        <w:numPr>
          <w:ilvl w:val="0"/>
          <w:numId w:val="10"/>
        </w:numPr>
        <w:rPr>
          <w:rFonts w:ascii="Arial" w:cs="Arial" w:eastAsia="Arial" w:hAnsi="Arial"/>
          <w:sz w:val="20"/>
          <w:szCs w:val="20"/>
          <w:b w:val="1"/>
          <w:bCs w:val="1"/>
          <w:color w:val="auto"/>
        </w:rPr>
      </w:pPr>
      <w:r>
        <w:rPr>
          <w:rFonts w:ascii="Arial" w:cs="Arial" w:eastAsia="Arial" w:hAnsi="Arial"/>
          <w:sz w:val="20"/>
          <w:szCs w:val="20"/>
          <w:color w:val="auto"/>
        </w:rPr>
        <w:t xml:space="preserve">or other substantially similar </w:t>
      </w:r>
      <w:r>
        <w:rPr>
          <w:rFonts w:ascii="Arial" w:cs="Arial" w:eastAsia="Arial" w:hAnsi="Arial"/>
          <w:sz w:val="20"/>
          <w:szCs w:val="20"/>
          <w:b w:val="1"/>
          <w:bCs w:val="1"/>
          <w:color w:val="auto"/>
        </w:rPr>
        <w:t>[***]</w:t>
      </w:r>
      <w:r>
        <w:rPr>
          <w:rFonts w:ascii="Arial" w:cs="Arial" w:eastAsia="Arial" w:hAnsi="Arial"/>
          <w:sz w:val="20"/>
          <w:szCs w:val="20"/>
          <w:color w:val="auto"/>
        </w:rPr>
        <w:t xml:space="preserve"> that may be developed or available during the Term of the Agreement.</w:t>
      </w:r>
    </w:p>
    <w:p>
      <w:pPr>
        <w:spacing w:after="0" w:line="187"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means the </w:t>
      </w:r>
      <w:r>
        <w:rPr>
          <w:rFonts w:ascii="Arial" w:cs="Arial" w:eastAsia="Arial" w:hAnsi="Arial"/>
          <w:sz w:val="19"/>
          <w:szCs w:val="19"/>
          <w:b w:val="1"/>
          <w:bCs w:val="1"/>
          <w:color w:val="auto"/>
        </w:rPr>
        <w:t>[***]</w:t>
      </w:r>
      <w:r>
        <w:rPr>
          <w:rFonts w:ascii="Arial" w:cs="Arial" w:eastAsia="Arial" w:hAnsi="Arial"/>
          <w:sz w:val="19"/>
          <w:szCs w:val="19"/>
          <w:color w:val="auto"/>
        </w:rPr>
        <w:t xml:space="preserve"> together with the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225" w:lineRule="exact"/>
        <w:rPr>
          <w:sz w:val="20"/>
          <w:szCs w:val="20"/>
          <w:color w:val="auto"/>
        </w:rPr>
      </w:pPr>
    </w:p>
    <w:p>
      <w:pPr>
        <w:ind w:left="100" w:right="119" w:firstLine="606"/>
        <w:spacing w:after="0" w:line="270" w:lineRule="auto"/>
        <w:rPr>
          <w:sz w:val="20"/>
          <w:szCs w:val="20"/>
          <w:color w:val="auto"/>
        </w:rPr>
      </w:pPr>
      <w:r>
        <w:rPr>
          <w:rFonts w:ascii="Arial" w:cs="Arial" w:eastAsia="Arial" w:hAnsi="Arial"/>
          <w:sz w:val="20"/>
          <w:szCs w:val="20"/>
          <w:color w:val="auto"/>
        </w:rPr>
        <w:t>1.6 “</w:t>
      </w:r>
      <w:r>
        <w:rPr>
          <w:rFonts w:ascii="Arial" w:cs="Arial" w:eastAsia="Arial" w:hAnsi="Arial"/>
          <w:sz w:val="20"/>
          <w:szCs w:val="20"/>
          <w:b w:val="1"/>
          <w:bCs w:val="1"/>
          <w:color w:val="auto"/>
        </w:rPr>
        <w:t>[***]</w:t>
      </w:r>
      <w:r>
        <w:rPr>
          <w:rFonts w:ascii="Arial" w:cs="Arial" w:eastAsia="Arial" w:hAnsi="Arial"/>
          <w:sz w:val="20"/>
          <w:szCs w:val="20"/>
          <w:color w:val="auto"/>
        </w:rPr>
        <w:t xml:space="preserve">” means, collectively, the </w:t>
      </w:r>
      <w:r>
        <w:rPr>
          <w:rFonts w:ascii="Arial" w:cs="Arial" w:eastAsia="Arial" w:hAnsi="Arial"/>
          <w:sz w:val="20"/>
          <w:szCs w:val="20"/>
          <w:b w:val="1"/>
          <w:bCs w:val="1"/>
          <w:color w:val="auto"/>
        </w:rPr>
        <w:t>[***]</w:t>
      </w:r>
      <w:r>
        <w:rPr>
          <w:rFonts w:ascii="Arial" w:cs="Arial" w:eastAsia="Arial" w:hAnsi="Arial"/>
          <w:sz w:val="20"/>
          <w:szCs w:val="20"/>
          <w:color w:val="auto"/>
        </w:rPr>
        <w:t xml:space="preserve"> and the </w:t>
      </w:r>
      <w:r>
        <w:rPr>
          <w:rFonts w:ascii="Arial" w:cs="Arial" w:eastAsia="Arial" w:hAnsi="Arial"/>
          <w:sz w:val="20"/>
          <w:szCs w:val="20"/>
          <w:b w:val="1"/>
          <w:bCs w:val="1"/>
          <w:color w:val="auto"/>
        </w:rPr>
        <w:t>[***]</w:t>
      </w:r>
      <w:r>
        <w:rPr>
          <w:rFonts w:ascii="Arial" w:cs="Arial" w:eastAsia="Arial" w:hAnsi="Arial"/>
          <w:sz w:val="20"/>
          <w:szCs w:val="20"/>
          <w:color w:val="auto"/>
        </w:rPr>
        <w:t>, and “</w:t>
      </w:r>
      <w:r>
        <w:rPr>
          <w:rFonts w:ascii="Arial" w:cs="Arial" w:eastAsia="Arial" w:hAnsi="Arial"/>
          <w:sz w:val="20"/>
          <w:szCs w:val="20"/>
          <w:b w:val="1"/>
          <w:bCs w:val="1"/>
          <w:color w:val="auto"/>
        </w:rPr>
        <w:t>[***]</w:t>
      </w:r>
      <w:r>
        <w:rPr>
          <w:rFonts w:ascii="Arial" w:cs="Arial" w:eastAsia="Arial" w:hAnsi="Arial"/>
          <w:sz w:val="20"/>
          <w:szCs w:val="20"/>
          <w:color w:val="auto"/>
        </w:rPr>
        <w:t xml:space="preserve">” means, individually, either of the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65" w:lineRule="exact"/>
        <w:rPr>
          <w:sz w:val="20"/>
          <w:szCs w:val="20"/>
          <w:color w:val="auto"/>
        </w:rPr>
      </w:pPr>
    </w:p>
    <w:p>
      <w:pPr>
        <w:ind w:left="700"/>
        <w:spacing w:after="0"/>
        <w:tabs>
          <w:tab w:leader="none" w:pos="140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xml:space="preserve">” means </w:t>
      </w:r>
      <w:r>
        <w:rPr>
          <w:rFonts w:ascii="Arial" w:cs="Arial" w:eastAsia="Arial" w:hAnsi="Arial"/>
          <w:sz w:val="20"/>
          <w:szCs w:val="20"/>
          <w:b w:val="1"/>
          <w:bCs w:val="1"/>
          <w:color w:val="auto"/>
        </w:rPr>
        <w:t>[***]</w:t>
      </w:r>
      <w:r>
        <w:rPr>
          <w:rFonts w:ascii="Arial" w:cs="Arial" w:eastAsia="Arial" w:hAnsi="Arial"/>
          <w:sz w:val="20"/>
          <w:szCs w:val="20"/>
          <w:color w:val="auto"/>
        </w:rPr>
        <w:t xml:space="preserve">’s </w:t>
      </w:r>
      <w:r>
        <w:rPr>
          <w:rFonts w:ascii="Arial" w:cs="Arial" w:eastAsia="Arial" w:hAnsi="Arial"/>
          <w:sz w:val="20"/>
          <w:szCs w:val="20"/>
          <w:b w:val="1"/>
          <w:bCs w:val="1"/>
          <w:color w:val="auto"/>
        </w:rPr>
        <w:t>[***]</w:t>
      </w:r>
      <w:r>
        <w:rPr>
          <w:rFonts w:ascii="Arial" w:cs="Arial" w:eastAsia="Arial" w:hAnsi="Arial"/>
          <w:sz w:val="20"/>
          <w:szCs w:val="20"/>
          <w:color w:val="auto"/>
        </w:rPr>
        <w:t xml:space="preserve"> for the relevant product in </w:t>
      </w:r>
      <w:r>
        <w:rPr>
          <w:rFonts w:ascii="Arial" w:cs="Arial" w:eastAsia="Arial" w:hAnsi="Arial"/>
          <w:sz w:val="20"/>
          <w:szCs w:val="20"/>
          <w:b w:val="1"/>
          <w:bCs w:val="1"/>
          <w:color w:val="auto"/>
        </w:rPr>
        <w:t>[***]</w:t>
      </w:r>
      <w:r>
        <w:rPr>
          <w:rFonts w:ascii="Arial" w:cs="Arial" w:eastAsia="Arial" w:hAnsi="Arial"/>
          <w:sz w:val="20"/>
          <w:szCs w:val="20"/>
          <w:color w:val="auto"/>
        </w:rPr>
        <w:t xml:space="preserve"> as of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25"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xml:space="preserve">” means the </w:t>
      </w:r>
      <w:r>
        <w:rPr>
          <w:rFonts w:ascii="Arial" w:cs="Arial" w:eastAsia="Arial" w:hAnsi="Arial"/>
          <w:sz w:val="20"/>
          <w:szCs w:val="20"/>
          <w:b w:val="1"/>
          <w:bCs w:val="1"/>
          <w:color w:val="auto"/>
        </w:rPr>
        <w:t>[***]</w:t>
      </w:r>
      <w:r>
        <w:rPr>
          <w:rFonts w:ascii="Arial" w:cs="Arial" w:eastAsia="Arial" w:hAnsi="Arial"/>
          <w:sz w:val="20"/>
          <w:szCs w:val="20"/>
          <w:color w:val="auto"/>
        </w:rPr>
        <w:t xml:space="preserve">, which </w:t>
      </w:r>
      <w:r>
        <w:rPr>
          <w:rFonts w:ascii="Arial" w:cs="Arial" w:eastAsia="Arial" w:hAnsi="Arial"/>
          <w:sz w:val="20"/>
          <w:szCs w:val="20"/>
          <w:b w:val="1"/>
          <w:bCs w:val="1"/>
          <w:color w:val="auto"/>
        </w:rPr>
        <w:t>[***]</w:t>
      </w:r>
      <w:r>
        <w:rPr>
          <w:rFonts w:ascii="Arial" w:cs="Arial" w:eastAsia="Arial" w:hAnsi="Arial"/>
          <w:sz w:val="20"/>
          <w:szCs w:val="20"/>
          <w:color w:val="auto"/>
        </w:rPr>
        <w:t xml:space="preserve">will use </w:t>
      </w:r>
      <w:r>
        <w:rPr>
          <w:rFonts w:ascii="Arial" w:cs="Arial" w:eastAsia="Arial" w:hAnsi="Arial"/>
          <w:sz w:val="20"/>
          <w:szCs w:val="20"/>
          <w:b w:val="1"/>
          <w:bCs w:val="1"/>
          <w:color w:val="auto"/>
        </w:rPr>
        <w:t>[***]</w:t>
      </w:r>
      <w:r>
        <w:rPr>
          <w:rFonts w:ascii="Arial" w:cs="Arial" w:eastAsia="Arial" w:hAnsi="Arial"/>
          <w:sz w:val="20"/>
          <w:szCs w:val="20"/>
          <w:color w:val="auto"/>
        </w:rPr>
        <w:t xml:space="preserve"> technology to </w:t>
      </w:r>
      <w:r>
        <w:rPr>
          <w:rFonts w:ascii="Arial" w:cs="Arial" w:eastAsia="Arial" w:hAnsi="Arial"/>
          <w:sz w:val="20"/>
          <w:szCs w:val="20"/>
          <w:b w:val="1"/>
          <w:bCs w:val="1"/>
          <w:color w:val="auto"/>
        </w:rPr>
        <w:t>[***]</w:t>
      </w:r>
      <w:r>
        <w:rPr>
          <w:rFonts w:ascii="Arial" w:cs="Arial" w:eastAsia="Arial" w:hAnsi="Arial"/>
          <w:sz w:val="20"/>
          <w:szCs w:val="20"/>
          <w:color w:val="auto"/>
        </w:rPr>
        <w:t xml:space="preserve"> and is expected to</w:t>
      </w:r>
    </w:p>
    <w:p>
      <w:pPr>
        <w:spacing w:after="0" w:line="19" w:lineRule="exact"/>
        <w:rPr>
          <w:sz w:val="20"/>
          <w:szCs w:val="20"/>
          <w:color w:val="auto"/>
        </w:rPr>
      </w:pPr>
    </w:p>
    <w:p>
      <w:pPr>
        <w:ind w:left="100" w:right="119" w:hanging="6"/>
        <w:spacing w:after="0" w:line="247" w:lineRule="auto"/>
        <w:tabs>
          <w:tab w:leader="none" w:pos="636" w:val="left"/>
        </w:tabs>
        <w:numPr>
          <w:ilvl w:val="0"/>
          <w:numId w:val="11"/>
        </w:numPr>
        <w:rPr>
          <w:rFonts w:ascii="Arial" w:cs="Arial" w:eastAsia="Arial" w:hAnsi="Arial"/>
          <w:sz w:val="20"/>
          <w:szCs w:val="20"/>
          <w:b w:val="1"/>
          <w:bCs w:val="1"/>
          <w:color w:val="auto"/>
        </w:rPr>
      </w:pPr>
      <w:r>
        <w:rPr>
          <w:rFonts w:ascii="Arial" w:cs="Arial" w:eastAsia="Arial" w:hAnsi="Arial"/>
          <w:sz w:val="20"/>
          <w:szCs w:val="20"/>
          <w:color w:val="auto"/>
        </w:rPr>
        <w:t xml:space="preserve">or other substantially similar </w:t>
      </w:r>
      <w:r>
        <w:rPr>
          <w:rFonts w:ascii="Arial" w:cs="Arial" w:eastAsia="Arial" w:hAnsi="Arial"/>
          <w:sz w:val="20"/>
          <w:szCs w:val="20"/>
          <w:b w:val="1"/>
          <w:bCs w:val="1"/>
          <w:color w:val="auto"/>
        </w:rPr>
        <w:t>[***]</w:t>
      </w:r>
      <w:r>
        <w:rPr>
          <w:rFonts w:ascii="Arial" w:cs="Arial" w:eastAsia="Arial" w:hAnsi="Arial"/>
          <w:sz w:val="20"/>
          <w:szCs w:val="20"/>
          <w:color w:val="auto"/>
        </w:rPr>
        <w:t xml:space="preserve"> that may be developed or available during the Term of the Agreement.</w:t>
      </w:r>
    </w:p>
    <w:p>
      <w:pPr>
        <w:spacing w:after="0" w:line="187"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 means the</w:t>
      </w:r>
      <w:r>
        <w:rPr>
          <w:rFonts w:ascii="Arial" w:cs="Arial" w:eastAsia="Arial" w:hAnsi="Arial"/>
          <w:sz w:val="19"/>
          <w:szCs w:val="19"/>
          <w:b w:val="1"/>
          <w:bCs w:val="1"/>
          <w:color w:val="auto"/>
        </w:rPr>
        <w:t xml:space="preserve"> [***] </w:t>
      </w:r>
      <w:r>
        <w:rPr>
          <w:rFonts w:ascii="Arial" w:cs="Arial" w:eastAsia="Arial" w:hAnsi="Arial"/>
          <w:sz w:val="19"/>
          <w:szCs w:val="19"/>
          <w:color w:val="auto"/>
        </w:rPr>
        <w:t>together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p>
    <w:p>
      <w:pPr>
        <w:spacing w:after="0" w:line="225" w:lineRule="exact"/>
        <w:rPr>
          <w:sz w:val="20"/>
          <w:szCs w:val="20"/>
          <w:color w:val="auto"/>
        </w:rPr>
      </w:pPr>
    </w:p>
    <w:p>
      <w:pPr>
        <w:ind w:left="100" w:right="99" w:firstLine="606"/>
        <w:spacing w:after="0" w:line="270" w:lineRule="auto"/>
        <w:rPr>
          <w:sz w:val="20"/>
          <w:szCs w:val="20"/>
          <w:color w:val="auto"/>
        </w:rPr>
      </w:pPr>
      <w:r>
        <w:rPr>
          <w:rFonts w:ascii="Arial" w:cs="Arial" w:eastAsia="Arial" w:hAnsi="Arial"/>
          <w:sz w:val="20"/>
          <w:szCs w:val="20"/>
          <w:color w:val="auto"/>
        </w:rPr>
        <w:t>1.10 “</w:t>
      </w:r>
      <w:r>
        <w:rPr>
          <w:rFonts w:ascii="Arial" w:cs="Arial" w:eastAsia="Arial" w:hAnsi="Arial"/>
          <w:sz w:val="20"/>
          <w:szCs w:val="20"/>
          <w:b w:val="1"/>
          <w:bCs w:val="1"/>
          <w:color w:val="auto"/>
        </w:rPr>
        <w:t>Third Party</w:t>
      </w:r>
      <w:r>
        <w:rPr>
          <w:rFonts w:ascii="Arial" w:cs="Arial" w:eastAsia="Arial" w:hAnsi="Arial"/>
          <w:sz w:val="20"/>
          <w:szCs w:val="20"/>
          <w:color w:val="auto"/>
        </w:rPr>
        <w:t>” means any person or entity other than Invitae, PacBio or each’s applicable Affiliates.</w:t>
      </w:r>
    </w:p>
    <w:p>
      <w:pPr>
        <w:spacing w:after="0" w:line="144" w:lineRule="exact"/>
        <w:rPr>
          <w:sz w:val="20"/>
          <w:szCs w:val="20"/>
          <w:color w:val="auto"/>
        </w:rPr>
      </w:pPr>
    </w:p>
    <w:p>
      <w:pPr>
        <w:ind w:left="100" w:right="119" w:firstLine="606"/>
        <w:spacing w:after="0" w:line="266"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Additional Definitions</w:t>
      </w:r>
      <w:r>
        <w:rPr>
          <w:rFonts w:ascii="Arial" w:cs="Arial" w:eastAsia="Arial" w:hAnsi="Arial"/>
          <w:sz w:val="20"/>
          <w:szCs w:val="20"/>
          <w:color w:val="auto"/>
        </w:rPr>
        <w:t>. Each of the following definitions shall have the meanings defined in the corresponding sections of this Agreement indicated below: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569" w:right="1440" w:bottom="1440" w:gutter="0" w:footer="0" w:header="0"/>
        </w:sectPr>
      </w:pPr>
    </w:p>
    <w:bookmarkStart w:id="79" w:name="page80"/>
    <w:bookmarkEnd w:id="79"/>
    <w:tbl>
      <w:tblPr>
        <w:tblLayout w:type="fixed"/>
        <w:tblInd w:w="10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Defined Term</w:t>
            </w:r>
          </w:p>
        </w:tc>
        <w:tc>
          <w:tcPr>
            <w:tcW w:w="220" w:type="dxa"/>
            <w:vAlign w:val="bottom"/>
          </w:tcPr>
          <w:p>
            <w:pPr>
              <w:spacing w:after="0"/>
              <w:rPr>
                <w:sz w:val="19"/>
                <w:szCs w:val="19"/>
                <w:color w:val="auto"/>
              </w:rPr>
            </w:pPr>
          </w:p>
        </w:tc>
        <w:tc>
          <w:tcPr>
            <w:tcW w:w="1880" w:type="dxa"/>
            <w:vAlign w:val="bottom"/>
            <w:tcBorders>
              <w:bottom w:val="single" w:sz="8" w:color="auto"/>
            </w:tcBorders>
          </w:tcPr>
          <w:p>
            <w:pPr>
              <w:jc w:val="center"/>
              <w:ind w:right="1119"/>
              <w:spacing w:after="0"/>
              <w:rPr>
                <w:sz w:val="20"/>
                <w:szCs w:val="20"/>
                <w:color w:val="auto"/>
              </w:rPr>
            </w:pPr>
            <w:r>
              <w:rPr>
                <w:rFonts w:ascii="Arial" w:cs="Arial" w:eastAsia="Arial" w:hAnsi="Arial"/>
                <w:sz w:val="20"/>
                <w:szCs w:val="20"/>
                <w:b w:val="1"/>
                <w:bCs w:val="1"/>
                <w:color w:val="auto"/>
                <w:w w:val="85"/>
              </w:rPr>
              <w:t>Section</w:t>
            </w:r>
          </w:p>
        </w:tc>
      </w:tr>
      <w:tr>
        <w:trPr>
          <w:trHeight w:val="195"/>
        </w:trPr>
        <w:tc>
          <w:tcPr>
            <w:tcW w:w="4680" w:type="dxa"/>
            <w:vAlign w:val="bottom"/>
            <w:gridSpan w:val="2"/>
          </w:tcPr>
          <w:p>
            <w:pPr>
              <w:spacing w:after="0" w:line="195" w:lineRule="exact"/>
              <w:rPr>
                <w:sz w:val="20"/>
                <w:szCs w:val="20"/>
                <w:color w:val="auto"/>
              </w:rPr>
            </w:pPr>
            <w:r>
              <w:rPr>
                <w:rFonts w:ascii="Arial" w:cs="Arial" w:eastAsia="Arial" w:hAnsi="Arial"/>
                <w:sz w:val="20"/>
                <w:szCs w:val="20"/>
                <w:b w:val="1"/>
                <w:bCs w:val="1"/>
                <w:color w:val="auto"/>
              </w:rPr>
              <w:t>Claim</w:t>
            </w:r>
          </w:p>
        </w:tc>
        <w:tc>
          <w:tcPr>
            <w:tcW w:w="2100" w:type="dxa"/>
            <w:vAlign w:val="bottom"/>
            <w:gridSpan w:val="2"/>
          </w:tcPr>
          <w:p>
            <w:pPr>
              <w:jc w:val="right"/>
              <w:ind w:right="1439"/>
              <w:spacing w:after="0" w:line="195" w:lineRule="exact"/>
              <w:rPr>
                <w:sz w:val="20"/>
                <w:szCs w:val="20"/>
                <w:color w:val="auto"/>
              </w:rPr>
            </w:pPr>
            <w:r>
              <w:rPr>
                <w:rFonts w:ascii="Arial" w:cs="Arial" w:eastAsia="Arial" w:hAnsi="Arial"/>
                <w:sz w:val="20"/>
                <w:szCs w:val="20"/>
                <w:b w:val="1"/>
                <w:bCs w:val="1"/>
                <w:color w:val="auto"/>
              </w:rPr>
              <w:t>6.3</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Confidential Information</w:t>
            </w:r>
          </w:p>
        </w:tc>
        <w:tc>
          <w:tcPr>
            <w:tcW w:w="2100" w:type="dxa"/>
            <w:vAlign w:val="bottom"/>
            <w:gridSpan w:val="2"/>
          </w:tcPr>
          <w:p>
            <w:pPr>
              <w:ind w:left="740"/>
              <w:spacing w:after="0" w:line="228" w:lineRule="exact"/>
              <w:rPr>
                <w:sz w:val="20"/>
                <w:szCs w:val="20"/>
                <w:color w:val="auto"/>
              </w:rPr>
            </w:pPr>
            <w:r>
              <w:rPr>
                <w:rFonts w:ascii="Arial" w:cs="Arial" w:eastAsia="Arial" w:hAnsi="Arial"/>
                <w:sz w:val="20"/>
                <w:szCs w:val="20"/>
                <w:b w:val="1"/>
                <w:bCs w:val="1"/>
                <w:color w:val="auto"/>
              </w:rPr>
              <w:t>4.1</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Disclosing Party</w:t>
            </w:r>
          </w:p>
        </w:tc>
        <w:tc>
          <w:tcPr>
            <w:tcW w:w="2100" w:type="dxa"/>
            <w:vAlign w:val="bottom"/>
            <w:gridSpan w:val="2"/>
          </w:tcPr>
          <w:p>
            <w:pPr>
              <w:jc w:val="center"/>
              <w:ind w:right="859"/>
              <w:spacing w:after="0" w:line="228" w:lineRule="exact"/>
              <w:rPr>
                <w:sz w:val="20"/>
                <w:szCs w:val="20"/>
                <w:color w:val="auto"/>
              </w:rPr>
            </w:pPr>
            <w:r>
              <w:rPr>
                <w:rFonts w:ascii="Arial" w:cs="Arial" w:eastAsia="Arial" w:hAnsi="Arial"/>
                <w:sz w:val="20"/>
                <w:szCs w:val="20"/>
                <w:b w:val="1"/>
                <w:bCs w:val="1"/>
                <w:color w:val="auto"/>
                <w:w w:val="93"/>
              </w:rPr>
              <w:t>4.1</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Dispute</w:t>
            </w:r>
          </w:p>
        </w:tc>
        <w:tc>
          <w:tcPr>
            <w:tcW w:w="2100" w:type="dxa"/>
            <w:vAlign w:val="bottom"/>
            <w:gridSpan w:val="2"/>
          </w:tcPr>
          <w:p>
            <w:pPr>
              <w:jc w:val="right"/>
              <w:ind w:right="1419"/>
              <w:spacing w:after="0" w:line="228" w:lineRule="exact"/>
              <w:rPr>
                <w:sz w:val="20"/>
                <w:szCs w:val="20"/>
                <w:color w:val="auto"/>
              </w:rPr>
            </w:pPr>
            <w:r>
              <w:rPr>
                <w:rFonts w:ascii="Arial" w:cs="Arial" w:eastAsia="Arial" w:hAnsi="Arial"/>
                <w:sz w:val="20"/>
                <w:szCs w:val="20"/>
                <w:b w:val="1"/>
                <w:bCs w:val="1"/>
                <w:color w:val="auto"/>
              </w:rPr>
              <w:t>8.2</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Escalation to Mediation Date</w:t>
            </w:r>
          </w:p>
        </w:tc>
        <w:tc>
          <w:tcPr>
            <w:tcW w:w="2100" w:type="dxa"/>
            <w:vAlign w:val="bottom"/>
            <w:gridSpan w:val="2"/>
          </w:tcPr>
          <w:p>
            <w:pPr>
              <w:ind w:left="760"/>
              <w:spacing w:after="0" w:line="228" w:lineRule="exact"/>
              <w:rPr>
                <w:sz w:val="20"/>
                <w:szCs w:val="20"/>
                <w:color w:val="auto"/>
              </w:rPr>
            </w:pPr>
            <w:r>
              <w:rPr>
                <w:rFonts w:ascii="Arial" w:cs="Arial" w:eastAsia="Arial" w:hAnsi="Arial"/>
                <w:sz w:val="20"/>
                <w:szCs w:val="20"/>
                <w:b w:val="1"/>
                <w:bCs w:val="1"/>
                <w:color w:val="auto"/>
              </w:rPr>
              <w:t>8.2.1</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Force Majeure</w:t>
            </w:r>
          </w:p>
        </w:tc>
        <w:tc>
          <w:tcPr>
            <w:tcW w:w="2100" w:type="dxa"/>
            <w:vAlign w:val="bottom"/>
            <w:gridSpan w:val="2"/>
          </w:tcPr>
          <w:p>
            <w:pPr>
              <w:jc w:val="center"/>
              <w:ind w:right="959"/>
              <w:spacing w:after="0" w:line="228" w:lineRule="exact"/>
              <w:rPr>
                <w:sz w:val="20"/>
                <w:szCs w:val="20"/>
                <w:color w:val="auto"/>
              </w:rPr>
            </w:pPr>
            <w:r>
              <w:rPr>
                <w:rFonts w:ascii="Arial" w:cs="Arial" w:eastAsia="Arial" w:hAnsi="Arial"/>
                <w:sz w:val="20"/>
                <w:szCs w:val="20"/>
                <w:b w:val="1"/>
                <w:bCs w:val="1"/>
                <w:color w:val="auto"/>
                <w:w w:val="86"/>
              </w:rPr>
              <w:t>8.3</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w:t>
            </w:r>
          </w:p>
        </w:tc>
        <w:tc>
          <w:tcPr>
            <w:tcW w:w="2100" w:type="dxa"/>
            <w:vAlign w:val="bottom"/>
            <w:gridSpan w:val="2"/>
          </w:tcPr>
          <w:p>
            <w:pPr>
              <w:jc w:val="right"/>
              <w:ind w:right="1379"/>
              <w:spacing w:after="0" w:line="228" w:lineRule="exact"/>
              <w:rPr>
                <w:sz w:val="20"/>
                <w:szCs w:val="20"/>
                <w:color w:val="auto"/>
              </w:rPr>
            </w:pPr>
            <w:r>
              <w:rPr>
                <w:rFonts w:ascii="Arial" w:cs="Arial" w:eastAsia="Arial" w:hAnsi="Arial"/>
                <w:sz w:val="20"/>
                <w:szCs w:val="20"/>
                <w:b w:val="1"/>
                <w:bCs w:val="1"/>
                <w:color w:val="auto"/>
              </w:rPr>
              <w:t>3.1.1</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Indemnitee</w:t>
            </w:r>
          </w:p>
        </w:tc>
        <w:tc>
          <w:tcPr>
            <w:tcW w:w="2100" w:type="dxa"/>
            <w:vAlign w:val="bottom"/>
            <w:gridSpan w:val="2"/>
          </w:tcPr>
          <w:p>
            <w:pPr>
              <w:jc w:val="right"/>
              <w:ind w:right="1419"/>
              <w:spacing w:after="0" w:line="228" w:lineRule="exact"/>
              <w:rPr>
                <w:sz w:val="20"/>
                <w:szCs w:val="20"/>
                <w:color w:val="auto"/>
              </w:rPr>
            </w:pPr>
            <w:r>
              <w:rPr>
                <w:rFonts w:ascii="Arial" w:cs="Arial" w:eastAsia="Arial" w:hAnsi="Arial"/>
                <w:sz w:val="20"/>
                <w:szCs w:val="20"/>
                <w:b w:val="1"/>
                <w:bCs w:val="1"/>
                <w:color w:val="auto"/>
              </w:rPr>
              <w:t>6.3</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Indemnitor</w:t>
            </w:r>
          </w:p>
        </w:tc>
        <w:tc>
          <w:tcPr>
            <w:tcW w:w="2100" w:type="dxa"/>
            <w:vAlign w:val="bottom"/>
            <w:gridSpan w:val="2"/>
          </w:tcPr>
          <w:p>
            <w:pPr>
              <w:jc w:val="right"/>
              <w:ind w:right="1379"/>
              <w:spacing w:after="0" w:line="228" w:lineRule="exact"/>
              <w:rPr>
                <w:sz w:val="20"/>
                <w:szCs w:val="20"/>
                <w:color w:val="auto"/>
              </w:rPr>
            </w:pPr>
            <w:r>
              <w:rPr>
                <w:rFonts w:ascii="Arial" w:cs="Arial" w:eastAsia="Arial" w:hAnsi="Arial"/>
                <w:sz w:val="20"/>
                <w:szCs w:val="20"/>
                <w:b w:val="1"/>
                <w:bCs w:val="1"/>
                <w:color w:val="auto"/>
              </w:rPr>
              <w:t>6.3</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 Claim</w:t>
            </w:r>
          </w:p>
        </w:tc>
        <w:tc>
          <w:tcPr>
            <w:tcW w:w="2100" w:type="dxa"/>
            <w:vAlign w:val="bottom"/>
            <w:gridSpan w:val="2"/>
          </w:tcPr>
          <w:p>
            <w:pPr>
              <w:jc w:val="right"/>
              <w:ind w:right="959"/>
              <w:spacing w:after="0" w:line="228" w:lineRule="exact"/>
              <w:rPr>
                <w:sz w:val="20"/>
                <w:szCs w:val="20"/>
                <w:color w:val="auto"/>
              </w:rPr>
            </w:pPr>
            <w:r>
              <w:rPr>
                <w:rFonts w:ascii="Arial" w:cs="Arial" w:eastAsia="Arial" w:hAnsi="Arial"/>
                <w:sz w:val="20"/>
                <w:szCs w:val="20"/>
                <w:b w:val="1"/>
                <w:bCs w:val="1"/>
                <w:color w:val="auto"/>
              </w:rPr>
              <w:t>6.1</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 Indemnitee</w:t>
            </w:r>
          </w:p>
        </w:tc>
        <w:tc>
          <w:tcPr>
            <w:tcW w:w="2100" w:type="dxa"/>
            <w:vAlign w:val="bottom"/>
            <w:gridSpan w:val="2"/>
          </w:tcPr>
          <w:p>
            <w:pPr>
              <w:jc w:val="right"/>
              <w:ind w:right="539"/>
              <w:spacing w:after="0" w:line="228" w:lineRule="exact"/>
              <w:rPr>
                <w:sz w:val="20"/>
                <w:szCs w:val="20"/>
                <w:color w:val="auto"/>
              </w:rPr>
            </w:pPr>
            <w:r>
              <w:rPr>
                <w:rFonts w:ascii="Arial" w:cs="Arial" w:eastAsia="Arial" w:hAnsi="Arial"/>
                <w:sz w:val="20"/>
                <w:szCs w:val="20"/>
                <w:b w:val="1"/>
                <w:bCs w:val="1"/>
                <w:color w:val="auto"/>
              </w:rPr>
              <w:t>6.1</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Notice of Dispute</w:t>
            </w:r>
          </w:p>
        </w:tc>
        <w:tc>
          <w:tcPr>
            <w:tcW w:w="2100" w:type="dxa"/>
            <w:vAlign w:val="bottom"/>
            <w:gridSpan w:val="2"/>
          </w:tcPr>
          <w:p>
            <w:pPr>
              <w:jc w:val="center"/>
              <w:ind w:right="919"/>
              <w:spacing w:after="0" w:line="228" w:lineRule="exact"/>
              <w:rPr>
                <w:sz w:val="20"/>
                <w:szCs w:val="20"/>
                <w:color w:val="auto"/>
              </w:rPr>
            </w:pPr>
            <w:r>
              <w:rPr>
                <w:rFonts w:ascii="Arial" w:cs="Arial" w:eastAsia="Arial" w:hAnsi="Arial"/>
                <w:sz w:val="20"/>
                <w:szCs w:val="20"/>
                <w:b w:val="1"/>
                <w:bCs w:val="1"/>
                <w:color w:val="auto"/>
                <w:w w:val="86"/>
              </w:rPr>
              <w:t>8.2</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w:t>
            </w:r>
          </w:p>
        </w:tc>
        <w:tc>
          <w:tcPr>
            <w:tcW w:w="2100" w:type="dxa"/>
            <w:vAlign w:val="bottom"/>
            <w:gridSpan w:val="2"/>
          </w:tcPr>
          <w:p>
            <w:pPr>
              <w:jc w:val="right"/>
              <w:ind w:right="1379"/>
              <w:spacing w:after="0" w:line="228" w:lineRule="exact"/>
              <w:rPr>
                <w:sz w:val="20"/>
                <w:szCs w:val="20"/>
                <w:color w:val="auto"/>
              </w:rPr>
            </w:pPr>
            <w:r>
              <w:rPr>
                <w:rFonts w:ascii="Arial" w:cs="Arial" w:eastAsia="Arial" w:hAnsi="Arial"/>
                <w:sz w:val="20"/>
                <w:szCs w:val="20"/>
                <w:b w:val="1"/>
                <w:bCs w:val="1"/>
                <w:color w:val="auto"/>
              </w:rPr>
              <w:t>3.1.1</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 Claim</w:t>
            </w:r>
          </w:p>
        </w:tc>
        <w:tc>
          <w:tcPr>
            <w:tcW w:w="2100" w:type="dxa"/>
            <w:vAlign w:val="bottom"/>
            <w:gridSpan w:val="2"/>
          </w:tcPr>
          <w:p>
            <w:pPr>
              <w:ind w:left="760"/>
              <w:spacing w:after="0" w:line="228" w:lineRule="exact"/>
              <w:rPr>
                <w:sz w:val="20"/>
                <w:szCs w:val="20"/>
                <w:color w:val="auto"/>
              </w:rPr>
            </w:pPr>
            <w:r>
              <w:rPr>
                <w:rFonts w:ascii="Arial" w:cs="Arial" w:eastAsia="Arial" w:hAnsi="Arial"/>
                <w:sz w:val="20"/>
                <w:szCs w:val="20"/>
                <w:b w:val="1"/>
                <w:bCs w:val="1"/>
                <w:color w:val="auto"/>
              </w:rPr>
              <w:t>6.2</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 Indemnitee</w:t>
            </w:r>
          </w:p>
        </w:tc>
        <w:tc>
          <w:tcPr>
            <w:tcW w:w="2100" w:type="dxa"/>
            <w:vAlign w:val="bottom"/>
            <w:gridSpan w:val="2"/>
          </w:tcPr>
          <w:p>
            <w:pPr>
              <w:jc w:val="right"/>
              <w:ind w:right="539"/>
              <w:spacing w:after="0" w:line="228" w:lineRule="exact"/>
              <w:rPr>
                <w:sz w:val="20"/>
                <w:szCs w:val="20"/>
                <w:color w:val="auto"/>
              </w:rPr>
            </w:pPr>
            <w:r>
              <w:rPr>
                <w:rFonts w:ascii="Arial" w:cs="Arial" w:eastAsia="Arial" w:hAnsi="Arial"/>
                <w:sz w:val="20"/>
                <w:szCs w:val="20"/>
                <w:b w:val="1"/>
                <w:bCs w:val="1"/>
                <w:color w:val="auto"/>
              </w:rPr>
              <w:t>6.2</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Prior CDA</w:t>
            </w:r>
          </w:p>
        </w:tc>
        <w:tc>
          <w:tcPr>
            <w:tcW w:w="2100" w:type="dxa"/>
            <w:vAlign w:val="bottom"/>
            <w:gridSpan w:val="2"/>
          </w:tcPr>
          <w:p>
            <w:pPr>
              <w:jc w:val="right"/>
              <w:ind w:right="1459"/>
              <w:spacing w:after="0" w:line="228" w:lineRule="exact"/>
              <w:rPr>
                <w:sz w:val="20"/>
                <w:szCs w:val="20"/>
                <w:color w:val="auto"/>
              </w:rPr>
            </w:pPr>
            <w:r>
              <w:rPr>
                <w:rFonts w:ascii="Arial" w:cs="Arial" w:eastAsia="Arial" w:hAnsi="Arial"/>
                <w:sz w:val="20"/>
                <w:szCs w:val="20"/>
                <w:b w:val="1"/>
                <w:bCs w:val="1"/>
                <w:color w:val="auto"/>
              </w:rPr>
              <w:t>4.7</w:t>
            </w:r>
          </w:p>
        </w:tc>
      </w:tr>
      <w:tr>
        <w:trPr>
          <w:trHeight w:val="227"/>
        </w:trPr>
        <w:tc>
          <w:tcPr>
            <w:tcW w:w="468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Receiving Party</w:t>
            </w:r>
          </w:p>
        </w:tc>
        <w:tc>
          <w:tcPr>
            <w:tcW w:w="2100" w:type="dxa"/>
            <w:vAlign w:val="bottom"/>
            <w:gridSpan w:val="2"/>
          </w:tcPr>
          <w:p>
            <w:pPr>
              <w:jc w:val="center"/>
              <w:ind w:right="859"/>
              <w:spacing w:after="0" w:line="228" w:lineRule="exact"/>
              <w:rPr>
                <w:sz w:val="20"/>
                <w:szCs w:val="20"/>
                <w:color w:val="auto"/>
              </w:rPr>
            </w:pPr>
            <w:r>
              <w:rPr>
                <w:rFonts w:ascii="Arial" w:cs="Arial" w:eastAsia="Arial" w:hAnsi="Arial"/>
                <w:sz w:val="20"/>
                <w:szCs w:val="20"/>
                <w:b w:val="1"/>
                <w:bCs w:val="1"/>
                <w:color w:val="auto"/>
                <w:w w:val="93"/>
              </w:rPr>
              <w:t>4.1</w:t>
            </w:r>
          </w:p>
        </w:tc>
      </w:tr>
      <w:tr>
        <w:trPr>
          <w:trHeight w:val="262"/>
        </w:trPr>
        <w:tc>
          <w:tcPr>
            <w:tcW w:w="4680" w:type="dxa"/>
            <w:vAlign w:val="bottom"/>
            <w:gridSpan w:val="2"/>
          </w:tcPr>
          <w:p>
            <w:pPr>
              <w:spacing w:after="0"/>
              <w:rPr>
                <w:sz w:val="20"/>
                <w:szCs w:val="20"/>
                <w:color w:val="auto"/>
              </w:rPr>
            </w:pPr>
            <w:r>
              <w:rPr>
                <w:rFonts w:ascii="Arial" w:cs="Arial" w:eastAsia="Arial" w:hAnsi="Arial"/>
                <w:sz w:val="20"/>
                <w:szCs w:val="20"/>
                <w:b w:val="1"/>
                <w:bCs w:val="1"/>
                <w:color w:val="auto"/>
              </w:rPr>
              <w:t>[***]</w:t>
            </w:r>
          </w:p>
        </w:tc>
        <w:tc>
          <w:tcPr>
            <w:tcW w:w="2100" w:type="dxa"/>
            <w:vAlign w:val="bottom"/>
            <w:gridSpan w:val="2"/>
          </w:tcPr>
          <w:p>
            <w:pPr>
              <w:jc w:val="right"/>
              <w:ind w:right="1379"/>
              <w:spacing w:after="0"/>
              <w:rPr>
                <w:sz w:val="20"/>
                <w:szCs w:val="20"/>
                <w:color w:val="auto"/>
              </w:rPr>
            </w:pPr>
            <w:r>
              <w:rPr>
                <w:rFonts w:ascii="Arial" w:cs="Arial" w:eastAsia="Arial" w:hAnsi="Arial"/>
                <w:sz w:val="20"/>
                <w:szCs w:val="20"/>
                <w:b w:val="1"/>
                <w:bCs w:val="1"/>
                <w:color w:val="auto"/>
              </w:rPr>
              <w:t>3.1.1</w:t>
            </w:r>
          </w:p>
        </w:tc>
      </w:tr>
    </w:tbl>
    <w:p>
      <w:pPr>
        <w:spacing w:after="0" w:line="171" w:lineRule="exact"/>
        <w:rPr>
          <w:sz w:val="20"/>
          <w:szCs w:val="20"/>
          <w:color w:val="auto"/>
        </w:rPr>
      </w:pPr>
    </w:p>
    <w:p>
      <w:pPr>
        <w:jc w:val="both"/>
        <w:ind w:left="100" w:right="99" w:firstLine="606"/>
        <w:spacing w:after="0" w:line="26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Interpretation</w:t>
      </w:r>
      <w:r>
        <w:rPr>
          <w:rFonts w:ascii="Arial" w:cs="Arial" w:eastAsia="Arial" w:hAnsi="Arial"/>
          <w:sz w:val="18"/>
          <w:szCs w:val="18"/>
          <w:color w:val="auto"/>
        </w:rPr>
        <w:t>. The captions and headings to this Agreement are for convenience only, and are to be of no force or effect in construing or interpreting any of the provisions of this Agreement. Unless specified to the contrary, references to Articles, Sections, Attachments or Exhibits mean the particular Articles, Sections, Attachments or Exhibits to this Agreement and references to this Agreement include all Attachments and Exhibits hereto. Unless the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means notice in writing (whether or not specifically stated) and shall include notices, consents, approvals and other communications contemplated under this Agreement;</w:t>
      </w:r>
    </w:p>
    <w:p>
      <w:pPr>
        <w:jc w:val="both"/>
        <w:ind w:left="100" w:right="99" w:hanging="6"/>
        <w:spacing w:after="0" w:line="249" w:lineRule="auto"/>
        <w:tabs>
          <w:tab w:leader="none" w:pos="448"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words “hereof,” “herein,” “hereby” and derivative or similar words refer to this Agreement (including any Attachments); (e) the word “or” shall be construed as the inclusive meaning identified with the phrase “and/or;”(f) provisions that require that a Party, or the Parties hereunder “agree,” “consent” or “approve” or the like shall require that such agreement, consent or approval be specific and in writing, whether by written agreement, letter or otherwise; (g) words of any gender include the other gender;</w:t>
      </w:r>
    </w:p>
    <w:p>
      <w:pPr>
        <w:spacing w:after="0" w:line="3" w:lineRule="exact"/>
        <w:rPr>
          <w:rFonts w:ascii="Arial" w:cs="Arial" w:eastAsia="Arial" w:hAnsi="Arial"/>
          <w:sz w:val="19"/>
          <w:szCs w:val="19"/>
          <w:color w:val="auto"/>
        </w:rPr>
      </w:pPr>
    </w:p>
    <w:p>
      <w:pPr>
        <w:ind w:left="420" w:hanging="326"/>
        <w:spacing w:after="0"/>
        <w:tabs>
          <w:tab w:leader="none" w:pos="4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words using the singular or plural number also include the plural or singular number, respectively;</w:t>
      </w:r>
    </w:p>
    <w:p>
      <w:pPr>
        <w:spacing w:after="0" w:line="8" w:lineRule="exact"/>
        <w:rPr>
          <w:rFonts w:ascii="Arial" w:cs="Arial" w:eastAsia="Arial" w:hAnsi="Arial"/>
          <w:sz w:val="19"/>
          <w:szCs w:val="19"/>
          <w:color w:val="auto"/>
        </w:rPr>
      </w:pPr>
    </w:p>
    <w:p>
      <w:pPr>
        <w:jc w:val="both"/>
        <w:ind w:left="100" w:right="99" w:hanging="6"/>
        <w:spacing w:after="0"/>
        <w:tabs>
          <w:tab w:leader="none" w:pos="367"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references to any specific law, rule or regulation, or article, section or other division thereof, shall be deemed to include the then-current amendments thereto or any replacement law, rule or regulation thereof; and (j) neither Party or its Affiliates shall be deemed to be acting “on behalf of” or “under authority of” the other Party.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326" w:right="1440" w:bottom="1440" w:gutter="0" w:footer="0" w:header="0"/>
        </w:sectPr>
      </w:pPr>
    </w:p>
    <w:bookmarkStart w:id="80" w:name="page81"/>
    <w:bookmarkEnd w:id="80"/>
    <w:p>
      <w:pPr>
        <w:ind w:left="3780"/>
        <w:spacing w:after="0"/>
        <w:rPr>
          <w:sz w:val="20"/>
          <w:szCs w:val="20"/>
          <w:color w:val="auto"/>
        </w:rPr>
      </w:pPr>
      <w:r>
        <w:rPr>
          <w:rFonts w:ascii="Arial" w:cs="Arial" w:eastAsia="Arial" w:hAnsi="Arial"/>
          <w:sz w:val="20"/>
          <w:szCs w:val="20"/>
          <w:b w:val="1"/>
          <w:bCs w:val="1"/>
          <w:color w:val="auto"/>
        </w:rPr>
        <w:t>ARTICLE 2</w:t>
      </w:r>
    </w:p>
    <w:p>
      <w:pPr>
        <w:spacing w:after="0" w:line="19"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DEVELOPMENT</w:t>
      </w:r>
    </w:p>
    <w:p>
      <w:pPr>
        <w:spacing w:after="0" w:line="182" w:lineRule="exact"/>
        <w:rPr>
          <w:sz w:val="20"/>
          <w:szCs w:val="20"/>
          <w:color w:val="auto"/>
        </w:rPr>
      </w:pPr>
    </w:p>
    <w:p>
      <w:pPr>
        <w:jc w:val="both"/>
        <w:ind w:left="100" w:right="99" w:firstLine="606"/>
        <w:spacing w:after="0" w:line="242"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Work under Original Agreement</w:t>
      </w:r>
      <w:r>
        <w:rPr>
          <w:rFonts w:ascii="Arial" w:cs="Arial" w:eastAsia="Arial" w:hAnsi="Arial"/>
          <w:sz w:val="20"/>
          <w:szCs w:val="20"/>
          <w:color w:val="auto"/>
        </w:rPr>
        <w:t xml:space="preserve">. Under the Original Agreement, the Parties had engaged in a </w:t>
      </w:r>
      <w:r>
        <w:rPr>
          <w:rFonts w:ascii="Arial" w:cs="Arial" w:eastAsia="Arial" w:hAnsi="Arial"/>
          <w:sz w:val="20"/>
          <w:szCs w:val="20"/>
          <w:b w:val="1"/>
          <w:bCs w:val="1"/>
          <w:color w:val="auto"/>
        </w:rPr>
        <w:t>[***]</w:t>
      </w:r>
      <w:r>
        <w:rPr>
          <w:rFonts w:ascii="Arial" w:cs="Arial" w:eastAsia="Arial" w:hAnsi="Arial"/>
          <w:sz w:val="20"/>
          <w:szCs w:val="20"/>
          <w:color w:val="auto"/>
        </w:rPr>
        <w:t xml:space="preserve">. For the avoidance of doubt, (a) the </w:t>
      </w:r>
      <w:r>
        <w:rPr>
          <w:rFonts w:ascii="Arial" w:cs="Arial" w:eastAsia="Arial" w:hAnsi="Arial"/>
          <w:sz w:val="20"/>
          <w:szCs w:val="20"/>
          <w:b w:val="1"/>
          <w:bCs w:val="1"/>
          <w:color w:val="auto"/>
        </w:rPr>
        <w:t>[***]</w:t>
      </w:r>
      <w:r>
        <w:rPr>
          <w:rFonts w:ascii="Arial" w:cs="Arial" w:eastAsia="Arial" w:hAnsi="Arial"/>
          <w:sz w:val="20"/>
          <w:szCs w:val="20"/>
          <w:color w:val="auto"/>
        </w:rPr>
        <w:t xml:space="preserve"> and all </w:t>
      </w:r>
      <w:r>
        <w:rPr>
          <w:rFonts w:ascii="Arial" w:cs="Arial" w:eastAsia="Arial" w:hAnsi="Arial"/>
          <w:sz w:val="20"/>
          <w:szCs w:val="20"/>
          <w:b w:val="1"/>
          <w:bCs w:val="1"/>
          <w:color w:val="auto"/>
        </w:rPr>
        <w:t>[***]</w:t>
      </w:r>
      <w:r>
        <w:rPr>
          <w:rFonts w:ascii="Arial" w:cs="Arial" w:eastAsia="Arial" w:hAnsi="Arial"/>
          <w:sz w:val="20"/>
          <w:szCs w:val="20"/>
          <w:color w:val="auto"/>
        </w:rPr>
        <w:t xml:space="preserve"> are hereby terminated; and (b) all </w:t>
      </w:r>
      <w:r>
        <w:rPr>
          <w:rFonts w:ascii="Arial" w:cs="Arial" w:eastAsia="Arial" w:hAnsi="Arial"/>
          <w:sz w:val="20"/>
          <w:szCs w:val="20"/>
          <w:b w:val="1"/>
          <w:bCs w:val="1"/>
          <w:color w:val="auto"/>
        </w:rPr>
        <w:t>[***]</w:t>
      </w:r>
      <w:r>
        <w:rPr>
          <w:rFonts w:ascii="Arial" w:cs="Arial" w:eastAsia="Arial" w:hAnsi="Arial"/>
          <w:sz w:val="20"/>
          <w:szCs w:val="20"/>
          <w:color w:val="auto"/>
        </w:rPr>
        <w:t xml:space="preserve"> will be </w:t>
      </w:r>
      <w:r>
        <w:rPr>
          <w:rFonts w:ascii="Arial" w:cs="Arial" w:eastAsia="Arial" w:hAnsi="Arial"/>
          <w:sz w:val="20"/>
          <w:szCs w:val="20"/>
          <w:b w:val="1"/>
          <w:bCs w:val="1"/>
          <w:color w:val="auto"/>
        </w:rPr>
        <w:t>[***]</w:t>
      </w:r>
      <w:r>
        <w:rPr>
          <w:rFonts w:ascii="Arial" w:cs="Arial" w:eastAsia="Arial" w:hAnsi="Arial"/>
          <w:sz w:val="20"/>
          <w:szCs w:val="20"/>
          <w:color w:val="auto"/>
        </w:rPr>
        <w:t xml:space="preserve"> by </w:t>
      </w:r>
      <w:r>
        <w:rPr>
          <w:rFonts w:ascii="Arial" w:cs="Arial" w:eastAsia="Arial" w:hAnsi="Arial"/>
          <w:sz w:val="20"/>
          <w:szCs w:val="20"/>
          <w:b w:val="1"/>
          <w:bCs w:val="1"/>
          <w:color w:val="auto"/>
        </w:rPr>
        <w:t>[***]</w:t>
      </w:r>
      <w:r>
        <w:rPr>
          <w:rFonts w:ascii="Arial" w:cs="Arial" w:eastAsia="Arial" w:hAnsi="Arial"/>
          <w:sz w:val="20"/>
          <w:szCs w:val="20"/>
          <w:color w:val="auto"/>
        </w:rPr>
        <w:t xml:space="preserve">, as provided in the Original Agreement. The Parties acknowledge that Invitae paid to PacBio </w:t>
      </w:r>
      <w:r>
        <w:rPr>
          <w:rFonts w:ascii="Arial" w:cs="Arial" w:eastAsia="Arial" w:hAnsi="Arial"/>
          <w:sz w:val="20"/>
          <w:szCs w:val="20"/>
          <w:b w:val="1"/>
          <w:bCs w:val="1"/>
          <w:color w:val="auto"/>
        </w:rPr>
        <w:t>[***]</w:t>
      </w:r>
      <w:r>
        <w:rPr>
          <w:rFonts w:ascii="Arial" w:cs="Arial" w:eastAsia="Arial" w:hAnsi="Arial"/>
          <w:sz w:val="20"/>
          <w:szCs w:val="20"/>
          <w:color w:val="auto"/>
        </w:rPr>
        <w:t xml:space="preserve"> in the amount of $</w:t>
      </w:r>
      <w:r>
        <w:rPr>
          <w:rFonts w:ascii="Arial" w:cs="Arial" w:eastAsia="Arial" w:hAnsi="Arial"/>
          <w:sz w:val="20"/>
          <w:szCs w:val="20"/>
          <w:b w:val="1"/>
          <w:bCs w:val="1"/>
          <w:color w:val="auto"/>
        </w:rPr>
        <w:t>[***]</w:t>
      </w:r>
      <w:r>
        <w:rPr>
          <w:rFonts w:ascii="Arial" w:cs="Arial" w:eastAsia="Arial" w:hAnsi="Arial"/>
          <w:sz w:val="20"/>
          <w:szCs w:val="20"/>
          <w:color w:val="auto"/>
        </w:rPr>
        <w:t xml:space="preserve">. Such </w:t>
      </w:r>
      <w:r>
        <w:rPr>
          <w:rFonts w:ascii="Arial" w:cs="Arial" w:eastAsia="Arial" w:hAnsi="Arial"/>
          <w:sz w:val="20"/>
          <w:szCs w:val="20"/>
          <w:b w:val="1"/>
          <w:bCs w:val="1"/>
          <w:color w:val="auto"/>
        </w:rPr>
        <w:t>[***]</w:t>
      </w:r>
      <w:r>
        <w:rPr>
          <w:rFonts w:ascii="Arial" w:cs="Arial" w:eastAsia="Arial" w:hAnsi="Arial"/>
          <w:sz w:val="20"/>
          <w:szCs w:val="20"/>
          <w:color w:val="auto"/>
        </w:rPr>
        <w:t xml:space="preserve"> is non-refundable and will be retained by PacBio. However, in partial consideration of such </w:t>
      </w:r>
      <w:r>
        <w:rPr>
          <w:rFonts w:ascii="Arial" w:cs="Arial" w:eastAsia="Arial" w:hAnsi="Arial"/>
          <w:sz w:val="20"/>
          <w:szCs w:val="20"/>
          <w:b w:val="1"/>
          <w:bCs w:val="1"/>
          <w:color w:val="auto"/>
        </w:rPr>
        <w:t>[***]</w:t>
      </w:r>
      <w:r>
        <w:rPr>
          <w:rFonts w:ascii="Arial" w:cs="Arial" w:eastAsia="Arial" w:hAnsi="Arial"/>
          <w:sz w:val="20"/>
          <w:szCs w:val="20"/>
          <w:color w:val="auto"/>
        </w:rPr>
        <w:t xml:space="preserve">, Invitae will receive credits and discounted prices for products, as provided in Article 3 below. Invitae will not be required to pay any additional </w:t>
      </w:r>
      <w:r>
        <w:rPr>
          <w:rFonts w:ascii="Arial" w:cs="Arial" w:eastAsia="Arial" w:hAnsi="Arial"/>
          <w:sz w:val="20"/>
          <w:szCs w:val="20"/>
          <w:b w:val="1"/>
          <w:bCs w:val="1"/>
          <w:color w:val="auto"/>
        </w:rPr>
        <w:t>[***]</w:t>
      </w:r>
      <w:r>
        <w:rPr>
          <w:rFonts w:ascii="Arial" w:cs="Arial" w:eastAsia="Arial" w:hAnsi="Arial"/>
          <w:sz w:val="20"/>
          <w:szCs w:val="20"/>
          <w:color w:val="auto"/>
        </w:rPr>
        <w:t xml:space="preserve"> under this Agreement or the Original Agreement.</w:t>
      </w:r>
    </w:p>
    <w:p>
      <w:pPr>
        <w:spacing w:after="0" w:line="167" w:lineRule="exact"/>
        <w:rPr>
          <w:sz w:val="20"/>
          <w:szCs w:val="20"/>
          <w:color w:val="auto"/>
        </w:rPr>
      </w:pPr>
    </w:p>
    <w:p>
      <w:pPr>
        <w:jc w:val="both"/>
        <w:ind w:left="100" w:right="99" w:firstLine="606"/>
        <w:spacing w:after="0" w:line="245"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b w:val="1"/>
          <w:bCs w:val="1"/>
          <w:color w:val="auto"/>
        </w:rPr>
        <w:t>[***]</w:t>
      </w:r>
      <w:r>
        <w:rPr>
          <w:rFonts w:ascii="Arial" w:cs="Arial" w:eastAsia="Arial" w:hAnsi="Arial"/>
          <w:sz w:val="20"/>
          <w:szCs w:val="20"/>
          <w:color w:val="auto"/>
        </w:rPr>
        <w:t xml:space="preserve">. PacBio intends to </w:t>
      </w:r>
      <w:r>
        <w:rPr>
          <w:rFonts w:ascii="Arial" w:cs="Arial" w:eastAsia="Arial" w:hAnsi="Arial"/>
          <w:sz w:val="20"/>
          <w:szCs w:val="20"/>
          <w:b w:val="1"/>
          <w:bCs w:val="1"/>
          <w:color w:val="auto"/>
        </w:rPr>
        <w:t>[***]</w:t>
      </w:r>
      <w:r>
        <w:rPr>
          <w:rFonts w:ascii="Arial" w:cs="Arial" w:eastAsia="Arial" w:hAnsi="Arial"/>
          <w:sz w:val="20"/>
          <w:szCs w:val="20"/>
          <w:color w:val="auto"/>
        </w:rPr>
        <w:t xml:space="preserve">, in its discretion and pursuant to its own internal processes and programs; provided, however, that PacBio is under no obligation to </w:t>
      </w:r>
      <w:r>
        <w:rPr>
          <w:rFonts w:ascii="Arial" w:cs="Arial" w:eastAsia="Arial" w:hAnsi="Arial"/>
          <w:sz w:val="20"/>
          <w:szCs w:val="20"/>
          <w:b w:val="1"/>
          <w:bCs w:val="1"/>
          <w:color w:val="auto"/>
        </w:rPr>
        <w:t>[***]</w:t>
      </w:r>
      <w:r>
        <w:rPr>
          <w:rFonts w:ascii="Arial" w:cs="Arial" w:eastAsia="Arial" w:hAnsi="Arial"/>
          <w:sz w:val="20"/>
          <w:szCs w:val="20"/>
          <w:color w:val="auto"/>
        </w:rPr>
        <w:t xml:space="preserve">, and failure to do so will not constitute a breach of this Agreement. Invitae understands and agrees that </w:t>
      </w:r>
      <w:r>
        <w:rPr>
          <w:rFonts w:ascii="Arial" w:cs="Arial" w:eastAsia="Arial" w:hAnsi="Arial"/>
          <w:sz w:val="20"/>
          <w:szCs w:val="20"/>
          <w:b w:val="1"/>
          <w:bCs w:val="1"/>
          <w:color w:val="auto"/>
        </w:rPr>
        <w:t>[***]</w:t>
      </w:r>
      <w:r>
        <w:rPr>
          <w:rFonts w:ascii="Arial" w:cs="Arial" w:eastAsia="Arial" w:hAnsi="Arial"/>
          <w:sz w:val="20"/>
          <w:szCs w:val="20"/>
          <w:color w:val="auto"/>
        </w:rPr>
        <w:t xml:space="preserve"> is </w:t>
      </w:r>
      <w:r>
        <w:rPr>
          <w:rFonts w:ascii="Arial" w:cs="Arial" w:eastAsia="Arial" w:hAnsi="Arial"/>
          <w:sz w:val="20"/>
          <w:szCs w:val="20"/>
          <w:b w:val="1"/>
          <w:bCs w:val="1"/>
          <w:color w:val="auto"/>
        </w:rPr>
        <w:t>[***]</w:t>
      </w:r>
      <w:r>
        <w:rPr>
          <w:rFonts w:ascii="Arial" w:cs="Arial" w:eastAsia="Arial" w:hAnsi="Arial"/>
          <w:sz w:val="20"/>
          <w:szCs w:val="20"/>
          <w:color w:val="auto"/>
        </w:rPr>
        <w:t xml:space="preserve">, and nothing in this Agreement is, or should be construed as, a representation, warranty, or covenant that </w:t>
      </w:r>
      <w:r>
        <w:rPr>
          <w:rFonts w:ascii="Arial" w:cs="Arial" w:eastAsia="Arial" w:hAnsi="Arial"/>
          <w:sz w:val="20"/>
          <w:szCs w:val="20"/>
          <w:b w:val="1"/>
          <w:bCs w:val="1"/>
          <w:color w:val="auto"/>
        </w:rPr>
        <w:t>[***]</w:t>
      </w:r>
      <w:r>
        <w:rPr>
          <w:rFonts w:ascii="Arial" w:cs="Arial" w:eastAsia="Arial" w:hAnsi="Arial"/>
          <w:sz w:val="20"/>
          <w:szCs w:val="20"/>
          <w:color w:val="auto"/>
        </w:rPr>
        <w:t xml:space="preserve">, that </w:t>
      </w:r>
      <w:r>
        <w:rPr>
          <w:rFonts w:ascii="Arial" w:cs="Arial" w:eastAsia="Arial" w:hAnsi="Arial"/>
          <w:sz w:val="20"/>
          <w:szCs w:val="20"/>
          <w:b w:val="1"/>
          <w:bCs w:val="1"/>
          <w:color w:val="auto"/>
        </w:rPr>
        <w:t>[***]</w:t>
      </w:r>
      <w:r>
        <w:rPr>
          <w:rFonts w:ascii="Arial" w:cs="Arial" w:eastAsia="Arial" w:hAnsi="Arial"/>
          <w:sz w:val="20"/>
          <w:szCs w:val="20"/>
          <w:color w:val="auto"/>
        </w:rPr>
        <w:t xml:space="preserve">, or that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66" w:lineRule="exact"/>
        <w:rPr>
          <w:sz w:val="20"/>
          <w:szCs w:val="20"/>
          <w:color w:val="auto"/>
        </w:rPr>
      </w:pPr>
    </w:p>
    <w:p>
      <w:pPr>
        <w:jc w:val="both"/>
        <w:ind w:left="100" w:right="99" w:firstLine="606"/>
        <w:spacing w:after="0" w:line="270"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Updates</w:t>
      </w:r>
      <w:r>
        <w:rPr>
          <w:rFonts w:ascii="Arial" w:cs="Arial" w:eastAsia="Arial" w:hAnsi="Arial"/>
          <w:sz w:val="18"/>
          <w:szCs w:val="18"/>
          <w:color w:val="auto"/>
        </w:rPr>
        <w:t xml:space="preserve">. At least </w:t>
      </w:r>
      <w:r>
        <w:rPr>
          <w:rFonts w:ascii="Arial" w:cs="Arial" w:eastAsia="Arial" w:hAnsi="Arial"/>
          <w:sz w:val="18"/>
          <w:szCs w:val="18"/>
          <w:b w:val="1"/>
          <w:bCs w:val="1"/>
          <w:color w:val="auto"/>
        </w:rPr>
        <w:t>[***]</w:t>
      </w:r>
      <w:r>
        <w:rPr>
          <w:rFonts w:ascii="Arial" w:cs="Arial" w:eastAsia="Arial" w:hAnsi="Arial"/>
          <w:sz w:val="18"/>
          <w:szCs w:val="18"/>
          <w:color w:val="auto"/>
        </w:rPr>
        <w:t xml:space="preserve"> a calendar year during the Term, </w:t>
      </w:r>
      <w:r>
        <w:rPr>
          <w:rFonts w:ascii="Arial" w:cs="Arial" w:eastAsia="Arial" w:hAnsi="Arial"/>
          <w:sz w:val="18"/>
          <w:szCs w:val="18"/>
          <w:b w:val="1"/>
          <w:bCs w:val="1"/>
          <w:color w:val="auto"/>
        </w:rPr>
        <w:t>[***]</w:t>
      </w:r>
      <w:r>
        <w:rPr>
          <w:rFonts w:ascii="Arial" w:cs="Arial" w:eastAsia="Arial" w:hAnsi="Arial"/>
          <w:sz w:val="18"/>
          <w:szCs w:val="18"/>
          <w:color w:val="auto"/>
        </w:rPr>
        <w:t xml:space="preserve"> will present an update to </w:t>
      </w:r>
      <w:r>
        <w:rPr>
          <w:rFonts w:ascii="Arial" w:cs="Arial" w:eastAsia="Arial" w:hAnsi="Arial"/>
          <w:sz w:val="18"/>
          <w:szCs w:val="18"/>
          <w:b w:val="1"/>
          <w:bCs w:val="1"/>
          <w:color w:val="auto"/>
        </w:rPr>
        <w:t>[***]</w:t>
      </w:r>
      <w:r>
        <w:rPr>
          <w:rFonts w:ascii="Arial" w:cs="Arial" w:eastAsia="Arial" w:hAnsi="Arial"/>
          <w:sz w:val="18"/>
          <w:szCs w:val="18"/>
          <w:color w:val="auto"/>
        </w:rPr>
        <w:t xml:space="preserve"> senior executives (and/or its delegates or other Invitae personnel on a need to know basis) regarding </w:t>
      </w:r>
      <w:r>
        <w:rPr>
          <w:rFonts w:ascii="Arial" w:cs="Arial" w:eastAsia="Arial" w:hAnsi="Arial"/>
          <w:sz w:val="18"/>
          <w:szCs w:val="18"/>
          <w:b w:val="1"/>
          <w:bCs w:val="1"/>
          <w:color w:val="auto"/>
        </w:rPr>
        <w:t>[***]</w:t>
      </w:r>
      <w:r>
        <w:rPr>
          <w:rFonts w:ascii="Arial" w:cs="Arial" w:eastAsia="Arial" w:hAnsi="Arial"/>
          <w:sz w:val="18"/>
          <w:szCs w:val="18"/>
          <w:color w:val="auto"/>
        </w:rPr>
        <w:t>. All information disclosed in such updates is</w:t>
      </w:r>
      <w:r>
        <w:rPr>
          <w:rFonts w:ascii="Arial" w:cs="Arial" w:eastAsia="Arial" w:hAnsi="Arial"/>
          <w:sz w:val="18"/>
          <w:szCs w:val="18"/>
          <w:b w:val="1"/>
          <w:bCs w:val="1"/>
          <w:color w:val="auto"/>
        </w:rPr>
        <w:t xml:space="preserve"> [***]</w:t>
      </w:r>
      <w:r>
        <w:rPr>
          <w:rFonts w:ascii="Arial" w:cs="Arial" w:eastAsia="Arial" w:hAnsi="Arial"/>
          <w:sz w:val="18"/>
          <w:szCs w:val="18"/>
          <w:color w:val="auto"/>
        </w:rPr>
        <w:t>’s Confidential Information, and in addition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requirements of Article 4, may only be shared with </w:t>
      </w:r>
      <w:r>
        <w:rPr>
          <w:rFonts w:ascii="Arial" w:cs="Arial" w:eastAsia="Arial" w:hAnsi="Arial"/>
          <w:sz w:val="18"/>
          <w:szCs w:val="18"/>
          <w:b w:val="1"/>
          <w:bCs w:val="1"/>
          <w:color w:val="auto"/>
        </w:rPr>
        <w:t>[***]</w:t>
      </w:r>
      <w:r>
        <w:rPr>
          <w:rFonts w:ascii="Arial" w:cs="Arial" w:eastAsia="Arial" w:hAnsi="Arial"/>
          <w:sz w:val="18"/>
          <w:szCs w:val="18"/>
          <w:color w:val="auto"/>
        </w:rPr>
        <w:t xml:space="preserve"> senior executives (and/or its delegates or other</w:t>
      </w:r>
    </w:p>
    <w:p>
      <w:pPr>
        <w:jc w:val="both"/>
        <w:ind w:left="100" w:right="119" w:hanging="6"/>
        <w:spacing w:after="0" w:line="242" w:lineRule="auto"/>
        <w:tabs>
          <w:tab w:leader="none" w:pos="601"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 xml:space="preserve">personnel on a need to know basis) who have a need to know such Confidential Information for the purposes of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and such Confidential Information may be used solely for those purposes. </w:t>
      </w:r>
      <w:r>
        <w:rPr>
          <w:rFonts w:ascii="Arial" w:cs="Arial" w:eastAsia="Arial" w:hAnsi="Arial"/>
          <w:sz w:val="20"/>
          <w:szCs w:val="20"/>
          <w:b w:val="1"/>
          <w:bCs w:val="1"/>
          <w:color w:val="auto"/>
        </w:rPr>
        <w:t>[***]</w:t>
      </w:r>
      <w:r>
        <w:rPr>
          <w:rFonts w:ascii="Arial" w:cs="Arial" w:eastAsia="Arial" w:hAnsi="Arial"/>
          <w:sz w:val="20"/>
          <w:szCs w:val="20"/>
          <w:color w:val="auto"/>
        </w:rPr>
        <w:t xml:space="preserve"> will not be entitled to seek monetary damages for any breach of this Section 2.3.</w:t>
      </w:r>
    </w:p>
    <w:p>
      <w:pPr>
        <w:spacing w:after="0" w:line="167" w:lineRule="exact"/>
        <w:rPr>
          <w:sz w:val="20"/>
          <w:szCs w:val="20"/>
          <w:color w:val="auto"/>
        </w:rPr>
      </w:pPr>
    </w:p>
    <w:p>
      <w:pPr>
        <w:jc w:val="both"/>
        <w:ind w:left="100" w:right="119" w:firstLine="606"/>
        <w:spacing w:after="0" w:line="245"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Feedback</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may from time to time provide </w:t>
      </w:r>
      <w:r>
        <w:rPr>
          <w:rFonts w:ascii="Arial" w:cs="Arial" w:eastAsia="Arial" w:hAnsi="Arial"/>
          <w:sz w:val="20"/>
          <w:szCs w:val="20"/>
          <w:b w:val="1"/>
          <w:bCs w:val="1"/>
          <w:color w:val="auto"/>
        </w:rPr>
        <w:t>[***]</w:t>
      </w:r>
      <w:r>
        <w:rPr>
          <w:rFonts w:ascii="Arial" w:cs="Arial" w:eastAsia="Arial" w:hAnsi="Arial"/>
          <w:sz w:val="20"/>
          <w:szCs w:val="20"/>
          <w:color w:val="auto"/>
        </w:rPr>
        <w:t xml:space="preserve"> concerning the </w:t>
      </w:r>
      <w:r>
        <w:rPr>
          <w:rFonts w:ascii="Arial" w:cs="Arial" w:eastAsia="Arial" w:hAnsi="Arial"/>
          <w:sz w:val="20"/>
          <w:szCs w:val="20"/>
          <w:b w:val="1"/>
          <w:bCs w:val="1"/>
          <w:color w:val="auto"/>
        </w:rPr>
        <w:t>[***]</w:t>
      </w:r>
      <w:r>
        <w:rPr>
          <w:rFonts w:ascii="Arial" w:cs="Arial" w:eastAsia="Arial" w:hAnsi="Arial"/>
          <w:sz w:val="20"/>
          <w:szCs w:val="20"/>
          <w:color w:val="auto"/>
        </w:rPr>
        <w:t xml:space="preserve"> (and their related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to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Feedback</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hereby grants to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a non-exclusive, perpetual, irrevocable, worldwide, royalty-free, paid-up, sublicensable license to make, have made, import, use, have used, offer for sale, sell, lease, license, and otherwise commercialize and exploit the Feedback and </w:t>
      </w:r>
      <w:r>
        <w:rPr>
          <w:rFonts w:ascii="Arial" w:cs="Arial" w:eastAsia="Arial" w:hAnsi="Arial"/>
          <w:sz w:val="20"/>
          <w:szCs w:val="20"/>
          <w:b w:val="1"/>
          <w:bCs w:val="1"/>
          <w:color w:val="auto"/>
        </w:rPr>
        <w:t>[***]</w:t>
      </w:r>
      <w:r>
        <w:rPr>
          <w:rFonts w:ascii="Arial" w:cs="Arial" w:eastAsia="Arial" w:hAnsi="Arial"/>
          <w:sz w:val="20"/>
          <w:szCs w:val="20"/>
          <w:color w:val="auto"/>
        </w:rPr>
        <w:t xml:space="preserve"> that </w:t>
      </w:r>
      <w:r>
        <w:rPr>
          <w:rFonts w:ascii="Arial" w:cs="Arial" w:eastAsia="Arial" w:hAnsi="Arial"/>
          <w:sz w:val="20"/>
          <w:szCs w:val="20"/>
          <w:b w:val="1"/>
          <w:bCs w:val="1"/>
          <w:color w:val="auto"/>
        </w:rPr>
        <w:t>[***]</w:t>
      </w:r>
      <w:r>
        <w:rPr>
          <w:rFonts w:ascii="Arial" w:cs="Arial" w:eastAsia="Arial" w:hAnsi="Arial"/>
          <w:sz w:val="20"/>
          <w:szCs w:val="20"/>
          <w:color w:val="auto"/>
        </w:rPr>
        <w:t xml:space="preserve"> the Feedback.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746" w:right="1440" w:bottom="1440" w:gutter="0" w:footer="0" w:header="0"/>
        </w:sectPr>
      </w:pPr>
    </w:p>
    <w:bookmarkStart w:id="81" w:name="page82"/>
    <w:bookmarkEnd w:id="81"/>
    <w:p>
      <w:pPr>
        <w:ind w:left="3780"/>
        <w:spacing w:after="0"/>
        <w:rPr>
          <w:sz w:val="20"/>
          <w:szCs w:val="20"/>
          <w:color w:val="auto"/>
        </w:rPr>
      </w:pPr>
      <w:r>
        <w:rPr>
          <w:rFonts w:ascii="Arial" w:cs="Arial" w:eastAsia="Arial" w:hAnsi="Arial"/>
          <w:sz w:val="20"/>
          <w:szCs w:val="20"/>
          <w:b w:val="1"/>
          <w:bCs w:val="1"/>
          <w:color w:val="auto"/>
        </w:rPr>
        <w:t>ARTICLE 3</w:t>
      </w:r>
    </w:p>
    <w:p>
      <w:pPr>
        <w:spacing w:after="0" w:line="19"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CREDITS AND PRICING DISCOUNTS</w:t>
      </w:r>
    </w:p>
    <w:p>
      <w:pPr>
        <w:spacing w:after="0" w:line="207"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Products Eligible for Credits and Pricing Discounts</w:t>
      </w:r>
      <w:r>
        <w:rPr>
          <w:rFonts w:ascii="Arial" w:cs="Arial" w:eastAsia="Arial" w:hAnsi="Arial"/>
          <w:sz w:val="18"/>
          <w:szCs w:val="18"/>
          <w:color w:val="auto"/>
        </w:rPr>
        <w:t>.</w:t>
      </w:r>
    </w:p>
    <w:p>
      <w:pPr>
        <w:spacing w:after="0" w:line="22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3.1.1</w:t>
        <w:tab/>
        <w:t>“</w:t>
      </w:r>
      <w:r>
        <w:rPr>
          <w:rFonts w:ascii="Arial" w:cs="Arial" w:eastAsia="Arial" w:hAnsi="Arial"/>
          <w:sz w:val="20"/>
          <w:szCs w:val="20"/>
          <w:b w:val="1"/>
          <w:bCs w:val="1"/>
          <w:color w:val="auto"/>
        </w:rPr>
        <w:t>[***]</w:t>
      </w:r>
      <w:r>
        <w:rPr>
          <w:rFonts w:ascii="Arial" w:cs="Arial" w:eastAsia="Arial" w:hAnsi="Arial"/>
          <w:sz w:val="20"/>
          <w:szCs w:val="20"/>
          <w:color w:val="auto"/>
        </w:rPr>
        <w:t xml:space="preserve">” means the following </w:t>
      </w:r>
      <w:r>
        <w:rPr>
          <w:rFonts w:ascii="Arial" w:cs="Arial" w:eastAsia="Arial" w:hAnsi="Arial"/>
          <w:sz w:val="20"/>
          <w:szCs w:val="20"/>
          <w:b w:val="1"/>
          <w:bCs w:val="1"/>
          <w:color w:val="auto"/>
        </w:rPr>
        <w:t>[***]</w:t>
      </w:r>
      <w:r>
        <w:rPr>
          <w:rFonts w:ascii="Arial" w:cs="Arial" w:eastAsia="Arial" w:hAnsi="Arial"/>
          <w:sz w:val="20"/>
          <w:szCs w:val="20"/>
          <w:color w:val="auto"/>
        </w:rPr>
        <w:t xml:space="preserve"> and related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2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220" w:type="dxa"/>
            <w:vAlign w:val="bottom"/>
            <w:shd w:val="clear" w:color="auto" w:fill="808080"/>
          </w:tcPr>
          <w:p>
            <w:pPr>
              <w:spacing w:after="0"/>
              <w:rPr>
                <w:sz w:val="19"/>
                <w:szCs w:val="19"/>
                <w:color w:val="auto"/>
              </w:rPr>
            </w:pPr>
          </w:p>
        </w:tc>
        <w:tc>
          <w:tcPr>
            <w:tcW w:w="2200" w:type="dxa"/>
            <w:vAlign w:val="bottom"/>
            <w:shd w:val="clear" w:color="auto" w:fill="808080"/>
          </w:tcPr>
          <w:p>
            <w:pPr>
              <w:spacing w:after="0"/>
              <w:rPr>
                <w:sz w:val="19"/>
                <w:szCs w:val="19"/>
                <w:color w:val="auto"/>
              </w:rPr>
            </w:pPr>
          </w:p>
        </w:tc>
        <w:tc>
          <w:tcPr>
            <w:tcW w:w="1260" w:type="dxa"/>
            <w:vAlign w:val="bottom"/>
            <w:shd w:val="clear" w:color="auto" w:fill="808080"/>
          </w:tcPr>
          <w:p>
            <w:pPr>
              <w:ind w:left="160"/>
              <w:spacing w:after="0"/>
              <w:rPr>
                <w:sz w:val="20"/>
                <w:szCs w:val="20"/>
                <w:color w:val="auto"/>
              </w:rPr>
            </w:pPr>
            <w:r>
              <w:rPr>
                <w:rFonts w:ascii="Arial" w:cs="Arial" w:eastAsia="Arial" w:hAnsi="Arial"/>
                <w:sz w:val="20"/>
                <w:szCs w:val="20"/>
                <w:b w:val="1"/>
                <w:bCs w:val="1"/>
                <w:color w:val="FFFFFF"/>
              </w:rPr>
              <w:t>Number</w:t>
            </w:r>
          </w:p>
        </w:tc>
        <w:tc>
          <w:tcPr>
            <w:tcW w:w="1440" w:type="dxa"/>
            <w:vAlign w:val="bottom"/>
            <w:shd w:val="clear" w:color="auto" w:fill="808080"/>
          </w:tcPr>
          <w:p>
            <w:pPr>
              <w:spacing w:after="0"/>
              <w:rPr>
                <w:sz w:val="19"/>
                <w:szCs w:val="19"/>
                <w:color w:val="auto"/>
              </w:rPr>
            </w:pPr>
          </w:p>
        </w:tc>
      </w:tr>
      <w:tr>
        <w:trPr>
          <w:trHeight w:val="227"/>
        </w:trPr>
        <w:tc>
          <w:tcPr>
            <w:tcW w:w="2220" w:type="dxa"/>
            <w:vAlign w:val="bottom"/>
            <w:shd w:val="clear" w:color="auto" w:fill="808080"/>
          </w:tcPr>
          <w:p>
            <w:pPr>
              <w:spacing w:after="0"/>
              <w:rPr>
                <w:sz w:val="19"/>
                <w:szCs w:val="19"/>
                <w:color w:val="auto"/>
              </w:rPr>
            </w:pPr>
          </w:p>
        </w:tc>
        <w:tc>
          <w:tcPr>
            <w:tcW w:w="2200" w:type="dxa"/>
            <w:vAlign w:val="bottom"/>
            <w:shd w:val="clear" w:color="auto" w:fill="808080"/>
          </w:tcPr>
          <w:p>
            <w:pPr>
              <w:spacing w:after="0"/>
              <w:rPr>
                <w:sz w:val="19"/>
                <w:szCs w:val="19"/>
                <w:color w:val="auto"/>
              </w:rPr>
            </w:pPr>
          </w:p>
        </w:tc>
        <w:tc>
          <w:tcPr>
            <w:tcW w:w="1260" w:type="dxa"/>
            <w:vAlign w:val="bottom"/>
            <w:shd w:val="clear" w:color="auto" w:fill="808080"/>
          </w:tcPr>
          <w:p>
            <w:pPr>
              <w:ind w:left="160"/>
              <w:spacing w:after="0" w:line="228" w:lineRule="exact"/>
              <w:rPr>
                <w:sz w:val="20"/>
                <w:szCs w:val="20"/>
                <w:color w:val="auto"/>
              </w:rPr>
            </w:pPr>
            <w:r>
              <w:rPr>
                <w:rFonts w:ascii="Arial" w:cs="Arial" w:eastAsia="Arial" w:hAnsi="Arial"/>
                <w:sz w:val="20"/>
                <w:szCs w:val="20"/>
                <w:b w:val="1"/>
                <w:bCs w:val="1"/>
                <w:color w:val="FFFFFF"/>
              </w:rPr>
              <w:t>Reactions</w:t>
            </w:r>
          </w:p>
        </w:tc>
        <w:tc>
          <w:tcPr>
            <w:tcW w:w="1440" w:type="dxa"/>
            <w:vAlign w:val="bottom"/>
            <w:shd w:val="clear" w:color="auto" w:fill="808080"/>
          </w:tcPr>
          <w:p>
            <w:pPr>
              <w:ind w:left="120"/>
              <w:spacing w:after="0" w:line="228" w:lineRule="exact"/>
              <w:rPr>
                <w:sz w:val="20"/>
                <w:szCs w:val="20"/>
                <w:color w:val="auto"/>
              </w:rPr>
            </w:pPr>
            <w:r>
              <w:rPr>
                <w:rFonts w:ascii="Arial" w:cs="Arial" w:eastAsia="Arial" w:hAnsi="Arial"/>
                <w:sz w:val="20"/>
                <w:szCs w:val="20"/>
                <w:b w:val="1"/>
                <w:bCs w:val="1"/>
                <w:color w:val="FFFFFF"/>
              </w:rPr>
              <w:t>Reactions for</w:t>
            </w:r>
          </w:p>
        </w:tc>
      </w:tr>
      <w:tr>
        <w:trPr>
          <w:trHeight w:val="253"/>
        </w:trPr>
        <w:tc>
          <w:tcPr>
            <w:tcW w:w="2220" w:type="dxa"/>
            <w:vAlign w:val="bottom"/>
            <w:shd w:val="clear" w:color="auto" w:fill="808080"/>
          </w:tcPr>
          <w:p>
            <w:pPr>
              <w:ind w:left="120"/>
              <w:spacing w:after="0"/>
              <w:rPr>
                <w:sz w:val="20"/>
                <w:szCs w:val="20"/>
                <w:color w:val="auto"/>
              </w:rPr>
            </w:pPr>
            <w:r>
              <w:rPr>
                <w:rFonts w:ascii="Arial" w:cs="Arial" w:eastAsia="Arial" w:hAnsi="Arial"/>
                <w:sz w:val="20"/>
                <w:szCs w:val="20"/>
                <w:b w:val="1"/>
                <w:bCs w:val="1"/>
                <w:color w:val="FFFFFF"/>
              </w:rPr>
              <w:t>Product name</w:t>
            </w:r>
          </w:p>
        </w:tc>
        <w:tc>
          <w:tcPr>
            <w:tcW w:w="2200" w:type="dxa"/>
            <w:vAlign w:val="bottom"/>
            <w:shd w:val="clear" w:color="auto" w:fill="808080"/>
          </w:tcPr>
          <w:p>
            <w:pPr>
              <w:ind w:left="880"/>
              <w:spacing w:after="0"/>
              <w:rPr>
                <w:sz w:val="20"/>
                <w:szCs w:val="20"/>
                <w:color w:val="auto"/>
              </w:rPr>
            </w:pPr>
            <w:r>
              <w:rPr>
                <w:rFonts w:ascii="Arial" w:cs="Arial" w:eastAsia="Arial" w:hAnsi="Arial"/>
                <w:sz w:val="20"/>
                <w:szCs w:val="20"/>
                <w:b w:val="1"/>
                <w:bCs w:val="1"/>
                <w:color w:val="FFFFFF"/>
              </w:rPr>
              <w:t>Part Number</w:t>
            </w:r>
          </w:p>
        </w:tc>
        <w:tc>
          <w:tcPr>
            <w:tcW w:w="1260" w:type="dxa"/>
            <w:vAlign w:val="bottom"/>
            <w:shd w:val="clear" w:color="auto" w:fill="808080"/>
          </w:tcPr>
          <w:p>
            <w:pPr>
              <w:ind w:left="160"/>
              <w:spacing w:after="0"/>
              <w:rPr>
                <w:sz w:val="20"/>
                <w:szCs w:val="20"/>
                <w:color w:val="auto"/>
              </w:rPr>
            </w:pPr>
            <w:r>
              <w:rPr>
                <w:rFonts w:ascii="Arial" w:cs="Arial" w:eastAsia="Arial" w:hAnsi="Arial"/>
                <w:sz w:val="20"/>
                <w:szCs w:val="20"/>
                <w:b w:val="1"/>
                <w:bCs w:val="1"/>
                <w:color w:val="FFFFFF"/>
              </w:rPr>
              <w:t>per kit</w:t>
            </w:r>
          </w:p>
        </w:tc>
        <w:tc>
          <w:tcPr>
            <w:tcW w:w="1440" w:type="dxa"/>
            <w:vAlign w:val="bottom"/>
            <w:shd w:val="clear" w:color="auto" w:fill="808080"/>
          </w:tcPr>
          <w:p>
            <w:pPr>
              <w:ind w:left="120"/>
              <w:spacing w:after="0"/>
              <w:rPr>
                <w:sz w:val="20"/>
                <w:szCs w:val="20"/>
                <w:color w:val="auto"/>
              </w:rPr>
            </w:pPr>
            <w:r>
              <w:rPr>
                <w:rFonts w:ascii="Arial" w:cs="Arial" w:eastAsia="Arial" w:hAnsi="Arial"/>
                <w:sz w:val="20"/>
                <w:szCs w:val="20"/>
                <w:b w:val="1"/>
                <w:bCs w:val="1"/>
                <w:color w:val="FFFFFF"/>
              </w:rPr>
              <w:t>[***]</w:t>
            </w:r>
          </w:p>
        </w:tc>
      </w:tr>
      <w:tr>
        <w:trPr>
          <w:trHeight w:val="27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26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26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26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26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26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26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26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26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26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r>
        <w:trPr>
          <w:trHeight w:val="265"/>
        </w:trPr>
        <w:tc>
          <w:tcPr>
            <w:tcW w:w="2220" w:type="dxa"/>
            <w:vAlign w:val="bottom"/>
          </w:tcPr>
          <w:p>
            <w:pPr>
              <w:ind w:left="120"/>
              <w:spacing w:after="0"/>
              <w:rPr>
                <w:sz w:val="20"/>
                <w:szCs w:val="20"/>
                <w:color w:val="auto"/>
              </w:rPr>
            </w:pPr>
            <w:r>
              <w:rPr>
                <w:rFonts w:ascii="Arial" w:cs="Arial" w:eastAsia="Arial" w:hAnsi="Arial"/>
                <w:sz w:val="20"/>
                <w:szCs w:val="20"/>
                <w:color w:val="auto"/>
              </w:rPr>
              <w:t>[***]</w:t>
            </w:r>
          </w:p>
        </w:tc>
        <w:tc>
          <w:tcPr>
            <w:tcW w:w="2200" w:type="dxa"/>
            <w:vAlign w:val="bottom"/>
          </w:tcPr>
          <w:p>
            <w:pPr>
              <w:ind w:left="88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9"/>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19"/>
              <w:spacing w:after="0"/>
              <w:rPr>
                <w:sz w:val="20"/>
                <w:szCs w:val="20"/>
                <w:color w:val="auto"/>
              </w:rPr>
            </w:pPr>
            <w:r>
              <w:rPr>
                <w:rFonts w:ascii="Arial" w:cs="Arial" w:eastAsia="Arial" w:hAnsi="Arial"/>
                <w:sz w:val="20"/>
                <w:szCs w:val="20"/>
                <w:color w:val="auto"/>
              </w:rPr>
              <w:t>[***]</w:t>
            </w:r>
          </w:p>
        </w:tc>
      </w:tr>
    </w:tbl>
    <w:p>
      <w:pPr>
        <w:spacing w:after="0" w:line="197" w:lineRule="exact"/>
        <w:rPr>
          <w:sz w:val="20"/>
          <w:szCs w:val="20"/>
          <w:color w:val="auto"/>
        </w:rPr>
      </w:pPr>
    </w:p>
    <w:p>
      <w:pPr>
        <w:jc w:val="both"/>
        <w:ind w:left="100" w:right="119"/>
        <w:spacing w:after="0" w:line="266" w:lineRule="auto"/>
        <w:rPr>
          <w:sz w:val="20"/>
          <w:szCs w:val="20"/>
          <w:color w:val="auto"/>
        </w:rPr>
      </w:pPr>
      <w:r>
        <w:rPr>
          <w:rFonts w:ascii="Arial" w:cs="Arial" w:eastAsia="Arial" w:hAnsi="Arial"/>
          <w:sz w:val="20"/>
          <w:szCs w:val="20"/>
          <w:color w:val="auto"/>
        </w:rPr>
        <w:t>If PacBio replaces a product above with a new equivalent product before the Credit Expiration Date, the new equivalent product will replace the original product in the definition of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69" w:lineRule="exact"/>
        <w:rPr>
          <w:sz w:val="20"/>
          <w:szCs w:val="20"/>
          <w:color w:val="auto"/>
        </w:rPr>
      </w:pPr>
    </w:p>
    <w:p>
      <w:pPr>
        <w:jc w:val="both"/>
        <w:ind w:left="100" w:right="119"/>
        <w:spacing w:after="0" w:line="248" w:lineRule="auto"/>
        <w:rPr>
          <w:sz w:val="20"/>
          <w:szCs w:val="20"/>
          <w:color w:val="auto"/>
        </w:rPr>
      </w:pPr>
      <w:r>
        <w:rPr>
          <w:rFonts w:ascii="Arial" w:cs="Arial" w:eastAsia="Arial" w:hAnsi="Arial"/>
          <w:sz w:val="20"/>
          <w:szCs w:val="20"/>
          <w:color w:val="auto"/>
        </w:rPr>
        <w:t xml:space="preserve">For the </w:t>
      </w:r>
      <w:r>
        <w:rPr>
          <w:rFonts w:ascii="Arial" w:cs="Arial" w:eastAsia="Arial" w:hAnsi="Arial"/>
          <w:sz w:val="20"/>
          <w:szCs w:val="20"/>
          <w:b w:val="1"/>
          <w:bCs w:val="1"/>
          <w:color w:val="auto"/>
        </w:rPr>
        <w:t>[***]</w:t>
      </w:r>
      <w:r>
        <w:rPr>
          <w:rFonts w:ascii="Arial" w:cs="Arial" w:eastAsia="Arial" w:hAnsi="Arial"/>
          <w:sz w:val="20"/>
          <w:szCs w:val="20"/>
          <w:color w:val="auto"/>
        </w:rPr>
        <w:t xml:space="preserve">, the equivalent </w:t>
      </w:r>
      <w:r>
        <w:rPr>
          <w:rFonts w:ascii="Arial" w:cs="Arial" w:eastAsia="Arial" w:hAnsi="Arial"/>
          <w:sz w:val="20"/>
          <w:szCs w:val="20"/>
          <w:b w:val="1"/>
          <w:bCs w:val="1"/>
          <w:color w:val="auto"/>
        </w:rPr>
        <w:t>[***]</w:t>
      </w:r>
      <w:r>
        <w:rPr>
          <w:rFonts w:ascii="Arial" w:cs="Arial" w:eastAsia="Arial" w:hAnsi="Arial"/>
          <w:sz w:val="20"/>
          <w:szCs w:val="20"/>
          <w:color w:val="auto"/>
        </w:rPr>
        <w:t xml:space="preserve"> and related </w:t>
      </w:r>
      <w:r>
        <w:rPr>
          <w:rFonts w:ascii="Arial" w:cs="Arial" w:eastAsia="Arial" w:hAnsi="Arial"/>
          <w:sz w:val="20"/>
          <w:szCs w:val="20"/>
          <w:b w:val="1"/>
          <w:bCs w:val="1"/>
          <w:color w:val="auto"/>
        </w:rPr>
        <w:t>[***]</w:t>
      </w:r>
      <w:r>
        <w:rPr>
          <w:rFonts w:ascii="Arial" w:cs="Arial" w:eastAsia="Arial" w:hAnsi="Arial"/>
          <w:sz w:val="20"/>
          <w:szCs w:val="20"/>
          <w:color w:val="auto"/>
        </w:rPr>
        <w:t xml:space="preserve"> sold by PacBio for use with the </w:t>
      </w:r>
      <w:r>
        <w:rPr>
          <w:rFonts w:ascii="Arial" w:cs="Arial" w:eastAsia="Arial" w:hAnsi="Arial"/>
          <w:sz w:val="20"/>
          <w:szCs w:val="20"/>
          <w:b w:val="1"/>
          <w:bCs w:val="1"/>
          <w:color w:val="auto"/>
        </w:rPr>
        <w:t>[***]</w:t>
      </w:r>
      <w:r>
        <w:rPr>
          <w:rFonts w:ascii="Arial" w:cs="Arial" w:eastAsia="Arial" w:hAnsi="Arial"/>
          <w:sz w:val="20"/>
          <w:szCs w:val="20"/>
          <w:color w:val="auto"/>
        </w:rPr>
        <w:t xml:space="preserve"> will be the “</w:t>
      </w:r>
      <w:r>
        <w:rPr>
          <w:rFonts w:ascii="Arial" w:cs="Arial" w:eastAsia="Arial" w:hAnsi="Arial"/>
          <w:sz w:val="20"/>
          <w:szCs w:val="20"/>
          <w:b w:val="1"/>
          <w:bCs w:val="1"/>
          <w:color w:val="auto"/>
        </w:rPr>
        <w:t>[***]</w:t>
      </w:r>
      <w:r>
        <w:rPr>
          <w:rFonts w:ascii="Arial" w:cs="Arial" w:eastAsia="Arial" w:hAnsi="Arial"/>
          <w:sz w:val="20"/>
          <w:szCs w:val="20"/>
          <w:color w:val="auto"/>
        </w:rPr>
        <w:t xml:space="preserve">”, and for the </w:t>
      </w:r>
      <w:r>
        <w:rPr>
          <w:rFonts w:ascii="Arial" w:cs="Arial" w:eastAsia="Arial" w:hAnsi="Arial"/>
          <w:sz w:val="20"/>
          <w:szCs w:val="20"/>
          <w:b w:val="1"/>
          <w:bCs w:val="1"/>
          <w:color w:val="auto"/>
        </w:rPr>
        <w:t>[***]</w:t>
      </w:r>
      <w:r>
        <w:rPr>
          <w:rFonts w:ascii="Arial" w:cs="Arial" w:eastAsia="Arial" w:hAnsi="Arial"/>
          <w:sz w:val="20"/>
          <w:szCs w:val="20"/>
          <w:color w:val="auto"/>
        </w:rPr>
        <w:t xml:space="preserve">, the equivalent </w:t>
      </w:r>
      <w:r>
        <w:rPr>
          <w:rFonts w:ascii="Arial" w:cs="Arial" w:eastAsia="Arial" w:hAnsi="Arial"/>
          <w:sz w:val="20"/>
          <w:szCs w:val="20"/>
          <w:b w:val="1"/>
          <w:bCs w:val="1"/>
          <w:color w:val="auto"/>
        </w:rPr>
        <w:t>[***]</w:t>
      </w:r>
      <w:r>
        <w:rPr>
          <w:rFonts w:ascii="Arial" w:cs="Arial" w:eastAsia="Arial" w:hAnsi="Arial"/>
          <w:sz w:val="20"/>
          <w:szCs w:val="20"/>
          <w:color w:val="auto"/>
        </w:rPr>
        <w:t xml:space="preserve"> and related </w:t>
      </w:r>
      <w:r>
        <w:rPr>
          <w:rFonts w:ascii="Arial" w:cs="Arial" w:eastAsia="Arial" w:hAnsi="Arial"/>
          <w:sz w:val="20"/>
          <w:szCs w:val="20"/>
          <w:b w:val="1"/>
          <w:bCs w:val="1"/>
          <w:color w:val="auto"/>
        </w:rPr>
        <w:t>[***]</w:t>
      </w:r>
      <w:r>
        <w:rPr>
          <w:rFonts w:ascii="Arial" w:cs="Arial" w:eastAsia="Arial" w:hAnsi="Arial"/>
          <w:sz w:val="20"/>
          <w:szCs w:val="20"/>
          <w:color w:val="auto"/>
        </w:rPr>
        <w:t xml:space="preserve"> sold by PacBio for use with the </w:t>
      </w:r>
      <w:r>
        <w:rPr>
          <w:rFonts w:ascii="Arial" w:cs="Arial" w:eastAsia="Arial" w:hAnsi="Arial"/>
          <w:sz w:val="20"/>
          <w:szCs w:val="20"/>
          <w:b w:val="1"/>
          <w:bCs w:val="1"/>
          <w:color w:val="auto"/>
        </w:rPr>
        <w:t>[***]</w:t>
      </w:r>
      <w:r>
        <w:rPr>
          <w:rFonts w:ascii="Arial" w:cs="Arial" w:eastAsia="Arial" w:hAnsi="Arial"/>
          <w:sz w:val="20"/>
          <w:szCs w:val="20"/>
          <w:color w:val="auto"/>
        </w:rPr>
        <w:t xml:space="preserve"> will be the “</w:t>
      </w:r>
      <w:r>
        <w:rPr>
          <w:rFonts w:ascii="Arial" w:cs="Arial" w:eastAsia="Arial" w:hAnsi="Arial"/>
          <w:sz w:val="20"/>
          <w:szCs w:val="20"/>
          <w:b w:val="1"/>
          <w:bCs w:val="1"/>
          <w:color w:val="auto"/>
        </w:rPr>
        <w:t>[***].</w:t>
      </w:r>
      <w:r>
        <w:rPr>
          <w:rFonts w:ascii="Arial" w:cs="Arial" w:eastAsia="Arial" w:hAnsi="Arial"/>
          <w:sz w:val="20"/>
          <w:szCs w:val="20"/>
          <w:color w:val="auto"/>
        </w:rPr>
        <w:t xml:space="preserve">” For clarity,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do not include any </w:t>
      </w:r>
      <w:r>
        <w:rPr>
          <w:rFonts w:ascii="Arial" w:cs="Arial" w:eastAsia="Arial" w:hAnsi="Arial"/>
          <w:sz w:val="20"/>
          <w:szCs w:val="20"/>
          <w:b w:val="1"/>
          <w:bCs w:val="1"/>
          <w:color w:val="auto"/>
        </w:rPr>
        <w:t>[***]</w:t>
      </w:r>
      <w:r>
        <w:rPr>
          <w:rFonts w:ascii="Arial" w:cs="Arial" w:eastAsia="Arial" w:hAnsi="Arial"/>
          <w:sz w:val="20"/>
          <w:szCs w:val="20"/>
          <w:color w:val="auto"/>
        </w:rPr>
        <w:t xml:space="preserve">, or any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or </w:t>
      </w:r>
      <w:r>
        <w:rPr>
          <w:rFonts w:ascii="Arial" w:cs="Arial" w:eastAsia="Arial" w:hAnsi="Arial"/>
          <w:sz w:val="20"/>
          <w:szCs w:val="20"/>
          <w:b w:val="1"/>
          <w:bCs w:val="1"/>
          <w:color w:val="auto"/>
        </w:rPr>
        <w:t>[***]</w:t>
      </w:r>
      <w:r>
        <w:rPr>
          <w:rFonts w:ascii="Arial" w:cs="Arial" w:eastAsia="Arial" w:hAnsi="Arial"/>
          <w:sz w:val="20"/>
          <w:szCs w:val="20"/>
          <w:color w:val="auto"/>
        </w:rPr>
        <w:t xml:space="preserve"> not equivalent to those listed above for the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3.1.2</w:t>
        <w:tab/>
        <w:t>“</w:t>
      </w:r>
      <w:r>
        <w:rPr>
          <w:rFonts w:ascii="Arial" w:cs="Arial" w:eastAsia="Arial" w:hAnsi="Arial"/>
          <w:sz w:val="20"/>
          <w:szCs w:val="20"/>
          <w:b w:val="1"/>
          <w:bCs w:val="1"/>
          <w:color w:val="auto"/>
        </w:rPr>
        <w:t>Covered Products</w:t>
      </w:r>
      <w:r>
        <w:rPr>
          <w:rFonts w:ascii="Arial" w:cs="Arial" w:eastAsia="Arial" w:hAnsi="Arial"/>
          <w:sz w:val="20"/>
          <w:szCs w:val="20"/>
          <w:color w:val="auto"/>
        </w:rPr>
        <w:t xml:space="preserve">” means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25" w:lineRule="exact"/>
        <w:rPr>
          <w:sz w:val="20"/>
          <w:szCs w:val="20"/>
          <w:color w:val="auto"/>
        </w:rPr>
      </w:pPr>
    </w:p>
    <w:p>
      <w:pPr>
        <w:jc w:val="both"/>
        <w:ind w:left="100" w:right="119" w:firstLine="606"/>
        <w:spacing w:after="0" w:line="254"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Credits for</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Invitae will receive </w:t>
      </w:r>
      <w:r>
        <w:rPr>
          <w:rFonts w:ascii="Arial" w:cs="Arial" w:eastAsia="Arial" w:hAnsi="Arial"/>
          <w:sz w:val="20"/>
          <w:szCs w:val="20"/>
          <w:b w:val="1"/>
          <w:bCs w:val="1"/>
          <w:color w:val="auto"/>
        </w:rPr>
        <w:t>[***]</w:t>
      </w:r>
      <w:r>
        <w:rPr>
          <w:rFonts w:ascii="Arial" w:cs="Arial" w:eastAsia="Arial" w:hAnsi="Arial"/>
          <w:sz w:val="20"/>
          <w:szCs w:val="20"/>
          <w:color w:val="auto"/>
        </w:rPr>
        <w:t xml:space="preserve"> credits which may be used solely for the purchase of the products specified below from PacBio, as follows (each a “</w:t>
      </w:r>
      <w:r>
        <w:rPr>
          <w:rFonts w:ascii="Arial" w:cs="Arial" w:eastAsia="Arial" w:hAnsi="Arial"/>
          <w:sz w:val="20"/>
          <w:szCs w:val="20"/>
          <w:b w:val="1"/>
          <w:bCs w:val="1"/>
          <w:color w:val="auto"/>
        </w:rPr>
        <w:t>Credit</w:t>
      </w:r>
      <w:r>
        <w:rPr>
          <w:rFonts w:ascii="Arial" w:cs="Arial" w:eastAsia="Arial" w:hAnsi="Arial"/>
          <w:sz w:val="20"/>
          <w:szCs w:val="20"/>
          <w:color w:val="auto"/>
        </w:rPr>
        <w:t>” and together the “</w:t>
      </w:r>
      <w:r>
        <w:rPr>
          <w:rFonts w:ascii="Arial" w:cs="Arial" w:eastAsia="Arial" w:hAnsi="Arial"/>
          <w:sz w:val="20"/>
          <w:szCs w:val="20"/>
          <w:b w:val="1"/>
          <w:bCs w:val="1"/>
          <w:color w:val="auto"/>
        </w:rPr>
        <w:t>Credits</w:t>
      </w:r>
      <w:r>
        <w:rPr>
          <w:rFonts w:ascii="Arial" w:cs="Arial" w:eastAsia="Arial" w:hAnsi="Arial"/>
          <w:sz w:val="20"/>
          <w:szCs w:val="20"/>
          <w:color w:val="auto"/>
        </w:rPr>
        <w:t>”). The Credits will expire on June 30, 2025 (the “</w:t>
      </w:r>
      <w:r>
        <w:rPr>
          <w:rFonts w:ascii="Arial" w:cs="Arial" w:eastAsia="Arial" w:hAnsi="Arial"/>
          <w:sz w:val="20"/>
          <w:szCs w:val="20"/>
          <w:b w:val="1"/>
          <w:bCs w:val="1"/>
          <w:color w:val="auto"/>
        </w:rPr>
        <w:t>Credit Expiration Date</w:t>
      </w:r>
      <w:r>
        <w:rPr>
          <w:rFonts w:ascii="Arial" w:cs="Arial" w:eastAsia="Arial" w:hAnsi="Arial"/>
          <w:sz w:val="20"/>
          <w:szCs w:val="20"/>
          <w:color w:val="auto"/>
        </w:rPr>
        <w:t>”).</w:t>
      </w:r>
    </w:p>
    <w:p>
      <w:pPr>
        <w:spacing w:after="0" w:line="184" w:lineRule="exact"/>
        <w:rPr>
          <w:sz w:val="20"/>
          <w:szCs w:val="20"/>
          <w:color w:val="auto"/>
        </w:rPr>
      </w:pPr>
    </w:p>
    <w:p>
      <w:pPr>
        <w:jc w:val="both"/>
        <w:ind w:left="100" w:right="99" w:firstLine="1213"/>
        <w:spacing w:after="0" w:line="242" w:lineRule="auto"/>
        <w:rPr>
          <w:sz w:val="20"/>
          <w:szCs w:val="20"/>
          <w:color w:val="auto"/>
        </w:rPr>
      </w:pPr>
      <w:r>
        <w:rPr>
          <w:rFonts w:ascii="Arial" w:cs="Arial" w:eastAsia="Arial" w:hAnsi="Arial"/>
          <w:sz w:val="20"/>
          <w:szCs w:val="20"/>
          <w:color w:val="auto"/>
        </w:rPr>
        <w:t xml:space="preserve">3.2.1 Subject to, and contingent upon compliance with, the terms and conditions of this Agreement, Invitae will receive a Credit in the amount of $[***] which may be applied against the purchase price of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before the Credit Expiration Date.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purchased using this Credit will be purchased at </w:t>
      </w:r>
      <w:r>
        <w:rPr>
          <w:rFonts w:ascii="Arial" w:cs="Arial" w:eastAsia="Arial" w:hAnsi="Arial"/>
          <w:sz w:val="20"/>
          <w:szCs w:val="20"/>
          <w:b w:val="1"/>
          <w:bCs w:val="1"/>
          <w:color w:val="auto"/>
        </w:rPr>
        <w:t>[***]</w:t>
      </w:r>
      <w:r>
        <w:rPr>
          <w:rFonts w:ascii="Arial" w:cs="Arial" w:eastAsia="Arial" w:hAnsi="Arial"/>
          <w:sz w:val="20"/>
          <w:szCs w:val="20"/>
          <w:color w:val="auto"/>
        </w:rPr>
        <w:t xml:space="preserve">. Subject to the amount of Credit remaining at the time of purchase, Invitae may use the Credit to offset up to [***]% of the purchase price for the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If Invitae does not have enough remaining Credit to offset the entire purchase price, Invitae will pay the remaining purchase price balance out of pocket.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746" w:right="1440" w:bottom="1440" w:gutter="0" w:footer="0" w:header="0"/>
        </w:sectPr>
      </w:pPr>
    </w:p>
    <w:bookmarkStart w:id="82" w:name="page83"/>
    <w:bookmarkEnd w:id="82"/>
    <w:p>
      <w:pPr>
        <w:jc w:val="both"/>
        <w:ind w:left="100" w:right="99" w:firstLine="1213"/>
        <w:spacing w:after="0" w:line="243" w:lineRule="auto"/>
        <w:rPr>
          <w:sz w:val="20"/>
          <w:szCs w:val="20"/>
          <w:color w:val="auto"/>
        </w:rPr>
      </w:pPr>
      <w:r>
        <w:rPr>
          <w:rFonts w:ascii="Arial" w:cs="Arial" w:eastAsia="Arial" w:hAnsi="Arial"/>
          <w:sz w:val="20"/>
          <w:szCs w:val="20"/>
          <w:color w:val="auto"/>
        </w:rPr>
        <w:t xml:space="preserve">3.2.2 Subject to, and contingent upon compliance with, the terms and conditions of this Agreement, Invitae will receive a Credit in the amount of $[***] which may be applied against the purchase price of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before the Credit Expiration Date, as follows. For each purchase of </w:t>
      </w:r>
      <w:r>
        <w:rPr>
          <w:rFonts w:ascii="Arial" w:cs="Arial" w:eastAsia="Arial" w:hAnsi="Arial"/>
          <w:sz w:val="20"/>
          <w:szCs w:val="20"/>
          <w:b w:val="1"/>
          <w:bCs w:val="1"/>
          <w:color w:val="auto"/>
        </w:rPr>
        <w:t>[***]</w:t>
      </w:r>
      <w:r>
        <w:rPr>
          <w:rFonts w:ascii="Arial" w:cs="Arial" w:eastAsia="Arial" w:hAnsi="Arial"/>
          <w:sz w:val="20"/>
          <w:szCs w:val="20"/>
          <w:color w:val="auto"/>
        </w:rPr>
        <w:t xml:space="preserve"> using this Credit, the purchase price will be </w:t>
      </w:r>
      <w:r>
        <w:rPr>
          <w:rFonts w:ascii="Arial" w:cs="Arial" w:eastAsia="Arial" w:hAnsi="Arial"/>
          <w:sz w:val="20"/>
          <w:szCs w:val="20"/>
          <w:b w:val="1"/>
          <w:bCs w:val="1"/>
          <w:color w:val="auto"/>
        </w:rPr>
        <w:t>[***]</w:t>
      </w:r>
      <w:r>
        <w:rPr>
          <w:rFonts w:ascii="Arial" w:cs="Arial" w:eastAsia="Arial" w:hAnsi="Arial"/>
          <w:sz w:val="20"/>
          <w:szCs w:val="20"/>
          <w:color w:val="auto"/>
        </w:rPr>
        <w:t xml:space="preserve">; Invitae will pay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will be deducted from the Credit. For each purchase of </w:t>
      </w:r>
      <w:r>
        <w:rPr>
          <w:rFonts w:ascii="Arial" w:cs="Arial" w:eastAsia="Arial" w:hAnsi="Arial"/>
          <w:sz w:val="20"/>
          <w:szCs w:val="20"/>
          <w:b w:val="1"/>
          <w:bCs w:val="1"/>
          <w:color w:val="auto"/>
        </w:rPr>
        <w:t>[***]</w:t>
      </w:r>
      <w:r>
        <w:rPr>
          <w:rFonts w:ascii="Arial" w:cs="Arial" w:eastAsia="Arial" w:hAnsi="Arial"/>
          <w:sz w:val="20"/>
          <w:szCs w:val="20"/>
          <w:color w:val="auto"/>
        </w:rPr>
        <w:t xml:space="preserve"> using this Credit, the purchase price will be [***]; Invitae will pay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will be deducted from the Credit.</w:t>
      </w:r>
    </w:p>
    <w:p>
      <w:pPr>
        <w:spacing w:after="0" w:line="191" w:lineRule="exact"/>
        <w:rPr>
          <w:sz w:val="20"/>
          <w:szCs w:val="20"/>
          <w:color w:val="auto"/>
        </w:rPr>
      </w:pPr>
    </w:p>
    <w:p>
      <w:pPr>
        <w:jc w:val="both"/>
        <w:ind w:left="100" w:right="99" w:firstLine="606"/>
        <w:spacing w:after="0" w:line="273"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b w:val="1"/>
          <w:bCs w:val="1"/>
          <w:color w:val="auto"/>
        </w:rPr>
        <w:t>[***]</w:t>
      </w:r>
      <w:r>
        <w:rPr>
          <w:rFonts w:ascii="Arial" w:cs="Arial" w:eastAsia="Arial" w:hAnsi="Arial"/>
          <w:sz w:val="19"/>
          <w:szCs w:val="19"/>
          <w:color w:val="auto"/>
        </w:rPr>
        <w:t xml:space="preserve">. Following PacBio’s </w:t>
      </w:r>
      <w:r>
        <w:rPr>
          <w:rFonts w:ascii="Arial" w:cs="Arial" w:eastAsia="Arial" w:hAnsi="Arial"/>
          <w:sz w:val="19"/>
          <w:szCs w:val="19"/>
          <w:b w:val="1"/>
          <w:bCs w:val="1"/>
          <w:color w:val="auto"/>
        </w:rPr>
        <w:t>[***]</w:t>
      </w:r>
      <w:r>
        <w:rPr>
          <w:rFonts w:ascii="Arial" w:cs="Arial" w:eastAsia="Arial" w:hAnsi="Arial"/>
          <w:sz w:val="19"/>
          <w:szCs w:val="19"/>
          <w:color w:val="auto"/>
        </w:rPr>
        <w:t xml:space="preserve">, subject to, and contingent upon compliance with, the terms and conditions of this Agreement, Invitae may purchase the </w:t>
      </w:r>
      <w:r>
        <w:rPr>
          <w:rFonts w:ascii="Arial" w:cs="Arial" w:eastAsia="Arial" w:hAnsi="Arial"/>
          <w:sz w:val="19"/>
          <w:szCs w:val="19"/>
          <w:b w:val="1"/>
          <w:bCs w:val="1"/>
          <w:color w:val="auto"/>
        </w:rPr>
        <w:t>[***]</w:t>
      </w:r>
      <w:r>
        <w:rPr>
          <w:rFonts w:ascii="Arial" w:cs="Arial" w:eastAsia="Arial" w:hAnsi="Arial"/>
          <w:sz w:val="19"/>
          <w:szCs w:val="19"/>
          <w:color w:val="auto"/>
        </w:rPr>
        <w:t xml:space="preserve"> during the Term at </w:t>
      </w:r>
      <w:r>
        <w:rPr>
          <w:rFonts w:ascii="Arial" w:cs="Arial" w:eastAsia="Arial" w:hAnsi="Arial"/>
          <w:sz w:val="19"/>
          <w:szCs w:val="19"/>
          <w:b w:val="1"/>
          <w:bCs w:val="1"/>
          <w:color w:val="auto"/>
        </w:rPr>
        <w:t>[***]</w:t>
      </w:r>
      <w:r>
        <w:rPr>
          <w:rFonts w:ascii="Arial" w:cs="Arial" w:eastAsia="Arial" w:hAnsi="Arial"/>
          <w:sz w:val="19"/>
          <w:szCs w:val="19"/>
          <w:color w:val="auto"/>
        </w:rPr>
        <w:t xml:space="preserve"> for each product included in the </w:t>
      </w:r>
      <w:r>
        <w:rPr>
          <w:rFonts w:ascii="Arial" w:cs="Arial" w:eastAsia="Arial" w:hAnsi="Arial"/>
          <w:sz w:val="19"/>
          <w:szCs w:val="19"/>
          <w:b w:val="1"/>
          <w:bCs w:val="1"/>
          <w:color w:val="auto"/>
        </w:rPr>
        <w:t>[***]</w:t>
      </w:r>
      <w:r>
        <w:rPr>
          <w:rFonts w:ascii="Arial" w:cs="Arial" w:eastAsia="Arial" w:hAnsi="Arial"/>
          <w:sz w:val="19"/>
          <w:szCs w:val="19"/>
          <w:color w:val="auto"/>
        </w:rPr>
        <w:t xml:space="preserve"> (subject to </w:t>
      </w:r>
      <w:r>
        <w:rPr>
          <w:rFonts w:ascii="Arial" w:cs="Arial" w:eastAsia="Arial" w:hAnsi="Arial"/>
          <w:sz w:val="19"/>
          <w:szCs w:val="19"/>
          <w:b w:val="1"/>
          <w:bCs w:val="1"/>
          <w:color w:val="auto"/>
        </w:rPr>
        <w:t>[***]</w:t>
      </w:r>
      <w:r>
        <w:rPr>
          <w:rFonts w:ascii="Arial" w:cs="Arial" w:eastAsia="Arial" w:hAnsi="Arial"/>
          <w:sz w:val="19"/>
          <w:szCs w:val="19"/>
          <w:color w:val="auto"/>
        </w:rPr>
        <w:t xml:space="preserve"> pursuant to the </w:t>
      </w:r>
      <w:r>
        <w:rPr>
          <w:rFonts w:ascii="Arial" w:cs="Arial" w:eastAsia="Arial" w:hAnsi="Arial"/>
          <w:sz w:val="19"/>
          <w:szCs w:val="19"/>
          <w:b w:val="1"/>
          <w:bCs w:val="1"/>
          <w:color w:val="auto"/>
        </w:rPr>
        <w:t>[***]</w:t>
      </w:r>
      <w:r>
        <w:rPr>
          <w:rFonts w:ascii="Arial" w:cs="Arial" w:eastAsia="Arial" w:hAnsi="Arial"/>
          <w:sz w:val="19"/>
          <w:szCs w:val="19"/>
          <w:color w:val="auto"/>
        </w:rPr>
        <w:t xml:space="preserve"> described in Section 3.4 below).</w:t>
      </w:r>
    </w:p>
    <w:p>
      <w:pPr>
        <w:spacing w:after="0" w:line="164" w:lineRule="exact"/>
        <w:rPr>
          <w:sz w:val="20"/>
          <w:szCs w:val="20"/>
          <w:color w:val="auto"/>
        </w:rPr>
      </w:pPr>
    </w:p>
    <w:p>
      <w:pPr>
        <w:jc w:val="both"/>
        <w:ind w:left="100" w:right="119" w:firstLine="606"/>
        <w:spacing w:after="0" w:line="26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w:t>
      </w:r>
      <w:r>
        <w:rPr>
          <w:rFonts w:ascii="Arial" w:cs="Arial" w:eastAsia="Arial" w:hAnsi="Arial"/>
          <w:sz w:val="19"/>
          <w:szCs w:val="19"/>
          <w:color w:val="auto"/>
        </w:rPr>
        <w:t>. If Invitae uses the entirety of both Credits before the Credit Expiration Date, then subject to, and contingent upon compliance with, the terms and conditions of this Agreement, Invitae will</w:t>
      </w:r>
    </w:p>
    <w:p>
      <w:pPr>
        <w:spacing w:after="0" w:line="2" w:lineRule="exact"/>
        <w:rPr>
          <w:sz w:val="20"/>
          <w:szCs w:val="20"/>
          <w:color w:val="auto"/>
        </w:rPr>
      </w:pPr>
    </w:p>
    <w:p>
      <w:pPr>
        <w:ind w:left="580" w:hanging="486"/>
        <w:spacing w:after="0"/>
        <w:tabs>
          <w:tab w:leader="none" w:pos="580" w:val="left"/>
        </w:tabs>
        <w:numPr>
          <w:ilvl w:val="0"/>
          <w:numId w:val="15"/>
        </w:numPr>
        <w:rPr>
          <w:rFonts w:ascii="Arial" w:cs="Arial" w:eastAsia="Arial" w:hAnsi="Arial"/>
          <w:sz w:val="19"/>
          <w:szCs w:val="19"/>
          <w:b w:val="1"/>
          <w:bCs w:val="1"/>
          <w:color w:val="auto"/>
        </w:rPr>
      </w:pPr>
      <w:r>
        <w:rPr>
          <w:rFonts w:ascii="Arial" w:cs="Arial" w:eastAsia="Arial" w:hAnsi="Arial"/>
          <w:sz w:val="19"/>
          <w:szCs w:val="19"/>
          <w:color w:val="auto"/>
        </w:rPr>
        <w:t xml:space="preserve">during the remainder of the Term as follows. If </w:t>
      </w:r>
      <w:r>
        <w:rPr>
          <w:rFonts w:ascii="Arial" w:cs="Arial" w:eastAsia="Arial" w:hAnsi="Arial"/>
          <w:sz w:val="19"/>
          <w:szCs w:val="19"/>
          <w:b w:val="1"/>
          <w:bCs w:val="1"/>
          <w:color w:val="auto"/>
        </w:rPr>
        <w:t>[***]</w:t>
      </w:r>
      <w:r>
        <w:rPr>
          <w:rFonts w:ascii="Arial" w:cs="Arial" w:eastAsia="Arial" w:hAnsi="Arial"/>
          <w:sz w:val="19"/>
          <w:szCs w:val="19"/>
          <w:color w:val="auto"/>
        </w:rPr>
        <w:t xml:space="preserve">, then </w:t>
      </w:r>
      <w:r>
        <w:rPr>
          <w:rFonts w:ascii="Arial" w:cs="Arial" w:eastAsia="Arial" w:hAnsi="Arial"/>
          <w:sz w:val="19"/>
          <w:szCs w:val="19"/>
          <w:b w:val="1"/>
          <w:bCs w:val="1"/>
          <w:color w:val="auto"/>
        </w:rPr>
        <w:t>[***]</w:t>
      </w:r>
      <w:r>
        <w:rPr>
          <w:rFonts w:ascii="Arial" w:cs="Arial" w:eastAsia="Arial" w:hAnsi="Arial"/>
          <w:sz w:val="19"/>
          <w:szCs w:val="19"/>
          <w:color w:val="auto"/>
        </w:rPr>
        <w:t>, provided that this provision will not</w:t>
      </w:r>
    </w:p>
    <w:p>
      <w:pPr>
        <w:spacing w:after="0" w:line="8" w:lineRule="exact"/>
        <w:rPr>
          <w:rFonts w:ascii="Arial" w:cs="Arial" w:eastAsia="Arial" w:hAnsi="Arial"/>
          <w:sz w:val="19"/>
          <w:szCs w:val="19"/>
          <w:b w:val="1"/>
          <w:bCs w:val="1"/>
          <w:color w:val="auto"/>
        </w:rPr>
      </w:pPr>
    </w:p>
    <w:p>
      <w:pPr>
        <w:ind w:left="100"/>
        <w:spacing w:after="0" w:line="237" w:lineRule="auto"/>
        <w:rPr>
          <w:rFonts w:ascii="Arial" w:cs="Arial" w:eastAsia="Arial" w:hAnsi="Arial"/>
          <w:sz w:val="19"/>
          <w:szCs w:val="19"/>
          <w:b w:val="1"/>
          <w:bCs w:val="1"/>
          <w:color w:val="auto"/>
        </w:rPr>
      </w:pPr>
      <w:r>
        <w:rPr>
          <w:rFonts w:ascii="Arial" w:cs="Arial" w:eastAsia="Arial" w:hAnsi="Arial"/>
          <w:sz w:val="20"/>
          <w:szCs w:val="20"/>
          <w:color w:val="auto"/>
        </w:rPr>
        <w:t xml:space="preserve">apply for </w:t>
      </w:r>
      <w:r>
        <w:rPr>
          <w:rFonts w:ascii="Arial" w:cs="Arial" w:eastAsia="Arial" w:hAnsi="Arial"/>
          <w:sz w:val="20"/>
          <w:szCs w:val="20"/>
          <w:b w:val="1"/>
          <w:bCs w:val="1"/>
          <w:color w:val="auto"/>
        </w:rPr>
        <w:t>[***]</w:t>
      </w:r>
      <w:r>
        <w:rPr>
          <w:rFonts w:ascii="Arial" w:cs="Arial" w:eastAsia="Arial" w:hAnsi="Arial"/>
          <w:sz w:val="20"/>
          <w:szCs w:val="20"/>
          <w:color w:val="auto"/>
        </w:rPr>
        <w:t xml:space="preserve">.PacBio will assess the </w:t>
      </w:r>
      <w:r>
        <w:rPr>
          <w:rFonts w:ascii="Arial" w:cs="Arial" w:eastAsia="Arial" w:hAnsi="Arial"/>
          <w:sz w:val="20"/>
          <w:szCs w:val="20"/>
          <w:b w:val="1"/>
          <w:bCs w:val="1"/>
          <w:color w:val="auto"/>
        </w:rPr>
        <w:t>[***]</w:t>
      </w:r>
      <w:r>
        <w:rPr>
          <w:rFonts w:ascii="Arial" w:cs="Arial" w:eastAsia="Arial" w:hAnsi="Arial"/>
          <w:sz w:val="20"/>
          <w:szCs w:val="20"/>
          <w:color w:val="auto"/>
        </w:rPr>
        <w:t xml:space="preserve"> on a </w:t>
      </w:r>
      <w:r>
        <w:rPr>
          <w:rFonts w:ascii="Arial" w:cs="Arial" w:eastAsia="Arial" w:hAnsi="Arial"/>
          <w:sz w:val="20"/>
          <w:szCs w:val="20"/>
          <w:b w:val="1"/>
          <w:bCs w:val="1"/>
          <w:color w:val="auto"/>
        </w:rPr>
        <w:t>[***]</w:t>
      </w:r>
      <w:r>
        <w:rPr>
          <w:rFonts w:ascii="Arial" w:cs="Arial" w:eastAsia="Arial" w:hAnsi="Arial"/>
          <w:sz w:val="20"/>
          <w:szCs w:val="20"/>
          <w:color w:val="auto"/>
        </w:rPr>
        <w:t xml:space="preserve"> basis, and will issue Invitae with </w:t>
      </w:r>
      <w:r>
        <w:rPr>
          <w:rFonts w:ascii="Arial" w:cs="Arial" w:eastAsia="Arial" w:hAnsi="Arial"/>
          <w:sz w:val="20"/>
          <w:szCs w:val="20"/>
          <w:b w:val="1"/>
          <w:bCs w:val="1"/>
          <w:color w:val="auto"/>
        </w:rPr>
        <w:t>[***]</w:t>
      </w:r>
      <w:r>
        <w:rPr>
          <w:rFonts w:ascii="Arial" w:cs="Arial" w:eastAsia="Arial" w:hAnsi="Arial"/>
          <w:sz w:val="20"/>
          <w:szCs w:val="20"/>
          <w:color w:val="auto"/>
        </w:rPr>
        <w:t xml:space="preserve"> if the</w:t>
      </w:r>
    </w:p>
    <w:p>
      <w:pPr>
        <w:ind w:left="580" w:hanging="486"/>
        <w:spacing w:after="0"/>
        <w:tabs>
          <w:tab w:leader="none" w:pos="580" w:val="left"/>
        </w:tabs>
        <w:numPr>
          <w:ilvl w:val="0"/>
          <w:numId w:val="15"/>
        </w:numPr>
        <w:rPr>
          <w:rFonts w:ascii="Arial" w:cs="Arial" w:eastAsia="Arial" w:hAnsi="Arial"/>
          <w:sz w:val="20"/>
          <w:szCs w:val="20"/>
          <w:b w:val="1"/>
          <w:bCs w:val="1"/>
          <w:color w:val="auto"/>
        </w:rPr>
      </w:pPr>
      <w:r>
        <w:rPr>
          <w:rFonts w:ascii="Arial" w:cs="Arial" w:eastAsia="Arial" w:hAnsi="Arial"/>
          <w:sz w:val="20"/>
          <w:szCs w:val="20"/>
          <w:color w:val="auto"/>
        </w:rPr>
        <w:t xml:space="preserve">has been triggered during the preceding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07"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7"/>
          <w:szCs w:val="17"/>
          <w:color w:val="auto"/>
        </w:rPr>
        <w:t>Reserved.</w:t>
      </w:r>
    </w:p>
    <w:p>
      <w:pPr>
        <w:spacing w:after="0" w:line="225" w:lineRule="exact"/>
        <w:rPr>
          <w:sz w:val="20"/>
          <w:szCs w:val="20"/>
          <w:color w:val="auto"/>
        </w:rPr>
      </w:pPr>
    </w:p>
    <w:p>
      <w:pPr>
        <w:jc w:val="both"/>
        <w:ind w:left="100" w:right="119" w:firstLine="606"/>
        <w:spacing w:after="0" w:line="247"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Adjustments to Purchase Prices</w:t>
      </w:r>
      <w:r>
        <w:rPr>
          <w:rFonts w:ascii="Arial" w:cs="Arial" w:eastAsia="Arial" w:hAnsi="Arial"/>
          <w:sz w:val="20"/>
          <w:szCs w:val="20"/>
          <w:color w:val="auto"/>
        </w:rPr>
        <w:t xml:space="preserve">. Upon written notice by PacBio (including by providing an updated quotation) or upon the written request of Invitae the purchase prices set forth in this Article 3 that are dependent upon </w:t>
      </w:r>
      <w:r>
        <w:rPr>
          <w:rFonts w:ascii="Arial" w:cs="Arial" w:eastAsia="Arial" w:hAnsi="Arial"/>
          <w:sz w:val="20"/>
          <w:szCs w:val="20"/>
          <w:b w:val="1"/>
          <w:bCs w:val="1"/>
          <w:color w:val="auto"/>
        </w:rPr>
        <w:t>[***]</w:t>
      </w:r>
      <w:r>
        <w:rPr>
          <w:rFonts w:ascii="Arial" w:cs="Arial" w:eastAsia="Arial" w:hAnsi="Arial"/>
          <w:sz w:val="20"/>
          <w:szCs w:val="20"/>
          <w:color w:val="auto"/>
        </w:rPr>
        <w:t xml:space="preserve"> may be adjusted no more than </w:t>
      </w:r>
      <w:r>
        <w:rPr>
          <w:rFonts w:ascii="Arial" w:cs="Arial" w:eastAsia="Arial" w:hAnsi="Arial"/>
          <w:sz w:val="20"/>
          <w:szCs w:val="20"/>
          <w:b w:val="1"/>
          <w:bCs w:val="1"/>
          <w:color w:val="auto"/>
        </w:rPr>
        <w:t>[***]</w:t>
      </w:r>
      <w:r>
        <w:rPr>
          <w:rFonts w:ascii="Arial" w:cs="Arial" w:eastAsia="Arial" w:hAnsi="Arial"/>
          <w:sz w:val="20"/>
          <w:szCs w:val="20"/>
          <w:color w:val="auto"/>
        </w:rPr>
        <w:t xml:space="preserve"> per year to reflect the change (up or down) in </w:t>
      </w:r>
      <w:r>
        <w:rPr>
          <w:rFonts w:ascii="Arial" w:cs="Arial" w:eastAsia="Arial" w:hAnsi="Arial"/>
          <w:sz w:val="20"/>
          <w:szCs w:val="20"/>
          <w:b w:val="1"/>
          <w:bCs w:val="1"/>
          <w:color w:val="auto"/>
        </w:rPr>
        <w:t>[***]</w:t>
      </w:r>
      <w:r>
        <w:rPr>
          <w:rFonts w:ascii="Arial" w:cs="Arial" w:eastAsia="Arial" w:hAnsi="Arial"/>
          <w:sz w:val="20"/>
          <w:szCs w:val="20"/>
          <w:color w:val="auto"/>
        </w:rPr>
        <w:t xml:space="preserve"> in respect of each applicable product.</w:t>
      </w:r>
    </w:p>
    <w:p>
      <w:pPr>
        <w:spacing w:after="0" w:line="186" w:lineRule="exact"/>
        <w:rPr>
          <w:sz w:val="20"/>
          <w:szCs w:val="20"/>
          <w:color w:val="auto"/>
        </w:rPr>
      </w:pPr>
    </w:p>
    <w:p>
      <w:pPr>
        <w:jc w:val="both"/>
        <w:ind w:left="100" w:right="99" w:firstLine="606"/>
        <w:spacing w:after="0" w:line="256"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Terms and Conditions</w:t>
      </w:r>
      <w:r>
        <w:rPr>
          <w:rFonts w:ascii="Arial" w:cs="Arial" w:eastAsia="Arial" w:hAnsi="Arial"/>
          <w:sz w:val="19"/>
          <w:szCs w:val="19"/>
          <w:color w:val="auto"/>
        </w:rPr>
        <w:t xml:space="preserve">. The </w:t>
      </w:r>
      <w:r>
        <w:rPr>
          <w:rFonts w:ascii="Arial" w:cs="Arial" w:eastAsia="Arial" w:hAnsi="Arial"/>
          <w:sz w:val="19"/>
          <w:szCs w:val="19"/>
          <w:b w:val="1"/>
          <w:bCs w:val="1"/>
          <w:color w:val="auto"/>
        </w:rPr>
        <w:t>[***]</w:t>
      </w:r>
      <w:r>
        <w:rPr>
          <w:rFonts w:ascii="Arial" w:cs="Arial" w:eastAsia="Arial" w:hAnsi="Arial"/>
          <w:sz w:val="19"/>
          <w:szCs w:val="19"/>
          <w:color w:val="auto"/>
        </w:rPr>
        <w:t xml:space="preserve"> will be labeled “for research use only” and, unless the Parties agree otherwise in a supply agreement, will be sold pursuant to the then-current PacBio standard terms and conditions of sale (available as of the Effective Date at </w:t>
      </w:r>
      <w:r>
        <w:rPr>
          <w:rFonts w:ascii="Arial" w:cs="Arial" w:eastAsia="Arial" w:hAnsi="Arial"/>
          <w:sz w:val="19"/>
          <w:szCs w:val="19"/>
          <w:u w:val="single" w:color="auto"/>
          <w:color w:val="0000FF"/>
        </w:rPr>
        <w:t>https://www.pacb.com/legal-and-trademarks/terms-and-conditions-of-sale/</w:t>
      </w:r>
      <w:r>
        <w:rPr>
          <w:rFonts w:ascii="Arial" w:cs="Arial" w:eastAsia="Arial" w:hAnsi="Arial"/>
          <w:sz w:val="19"/>
          <w:szCs w:val="19"/>
          <w:color w:val="000000"/>
        </w:rPr>
        <w:t>) (“Online Terms and Conditions”). Nothing in this Agreement</w:t>
      </w:r>
      <w:r>
        <w:rPr>
          <w:rFonts w:ascii="Arial" w:cs="Arial" w:eastAsia="Arial" w:hAnsi="Arial"/>
          <w:sz w:val="19"/>
          <w:szCs w:val="19"/>
          <w:color w:val="0000FF"/>
        </w:rPr>
        <w:t xml:space="preserve"> </w:t>
      </w:r>
      <w:r>
        <w:rPr>
          <w:rFonts w:ascii="Arial" w:cs="Arial" w:eastAsia="Arial" w:hAnsi="Arial"/>
          <w:sz w:val="19"/>
          <w:szCs w:val="19"/>
          <w:color w:val="000000"/>
        </w:rPr>
        <w:t>may be construed as a representation, warranty, or covenant that any PacBio product will be sold for any period of time. Notwithstanding anything to the contrary in the Online Terms and Conditions, in the event of any different, additional or inconsistent terms between this Agreement and the Online Terms and Conditions, this Agreement shall control.</w:t>
      </w:r>
    </w:p>
    <w:p>
      <w:pPr>
        <w:spacing w:after="0" w:line="187" w:lineRule="exact"/>
        <w:rPr>
          <w:sz w:val="20"/>
          <w:szCs w:val="20"/>
          <w:color w:val="auto"/>
        </w:rPr>
      </w:pPr>
    </w:p>
    <w:p>
      <w:pPr>
        <w:jc w:val="both"/>
        <w:ind w:left="100" w:right="119" w:firstLine="606"/>
        <w:spacing w:after="0" w:line="252"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Credits and Prices are Non-Transferable</w:t>
      </w:r>
      <w:r>
        <w:rPr>
          <w:rFonts w:ascii="Arial" w:cs="Arial" w:eastAsia="Arial" w:hAnsi="Arial"/>
          <w:sz w:val="20"/>
          <w:szCs w:val="20"/>
          <w:color w:val="auto"/>
        </w:rPr>
        <w:t>. The Credits and prices set forth above are personal and non-transferable, and may only be used by Invitae and its Affiliates to purchase products for its own use subject to the terms and conditions of this Agreement.</w:t>
      </w:r>
    </w:p>
    <w:p>
      <w:pPr>
        <w:spacing w:after="0" w:line="181" w:lineRule="exact"/>
        <w:rPr>
          <w:sz w:val="20"/>
          <w:szCs w:val="20"/>
          <w:color w:val="auto"/>
        </w:rPr>
      </w:pPr>
    </w:p>
    <w:p>
      <w:pPr>
        <w:jc w:val="both"/>
        <w:ind w:left="100" w:right="99" w:firstLine="606"/>
        <w:spacing w:after="0" w:line="248"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Concurrent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Concurrent with the execution of this Agreement, Invitae will </w:t>
      </w:r>
      <w:r>
        <w:rPr>
          <w:rFonts w:ascii="Arial" w:cs="Arial" w:eastAsia="Arial" w:hAnsi="Arial"/>
          <w:sz w:val="20"/>
          <w:szCs w:val="20"/>
          <w:b w:val="1"/>
          <w:bCs w:val="1"/>
          <w:color w:val="auto"/>
        </w:rPr>
        <w:t>[***]</w:t>
      </w:r>
      <w:r>
        <w:rPr>
          <w:rFonts w:ascii="Arial" w:cs="Arial" w:eastAsia="Arial" w:hAnsi="Arial"/>
          <w:sz w:val="20"/>
          <w:szCs w:val="20"/>
          <w:color w:val="auto"/>
        </w:rPr>
        <w:t>. Invitae will</w:t>
      </w:r>
      <w:r>
        <w:rPr>
          <w:rFonts w:ascii="Arial" w:cs="Arial" w:eastAsia="Arial" w:hAnsi="Arial"/>
          <w:sz w:val="20"/>
          <w:szCs w:val="20"/>
          <w:b w:val="1"/>
          <w:bCs w:val="1"/>
          <w:color w:val="auto"/>
        </w:rPr>
        <w:t xml:space="preserve"> [***]</w:t>
      </w:r>
      <w:r>
        <w:rPr>
          <w:rFonts w:ascii="Arial" w:cs="Arial" w:eastAsia="Arial" w:hAnsi="Arial"/>
          <w:sz w:val="20"/>
          <w:szCs w:val="20"/>
          <w:color w:val="auto"/>
        </w:rPr>
        <w:t>. This</w:t>
      </w:r>
      <w:r>
        <w:rPr>
          <w:rFonts w:ascii="Arial" w:cs="Arial" w:eastAsia="Arial" w:hAnsi="Arial"/>
          <w:sz w:val="20"/>
          <w:szCs w:val="20"/>
          <w:b w:val="1"/>
          <w:bCs w:val="1"/>
          <w:color w:val="auto"/>
        </w:rPr>
        <w:t xml:space="preserve"> [***] </w:t>
      </w:r>
      <w:r>
        <w:rPr>
          <w:rFonts w:ascii="Arial" w:cs="Arial" w:eastAsia="Arial" w:hAnsi="Arial"/>
          <w:sz w:val="20"/>
          <w:szCs w:val="20"/>
          <w:color w:val="auto"/>
        </w:rPr>
        <w:t>will be made pursuant to</w:t>
      </w:r>
      <w:r>
        <w:rPr>
          <w:rFonts w:ascii="Arial" w:cs="Arial" w:eastAsia="Arial" w:hAnsi="Arial"/>
          <w:sz w:val="20"/>
          <w:szCs w:val="20"/>
          <w:b w:val="1"/>
          <w:bCs w:val="1"/>
          <w:color w:val="auto"/>
        </w:rPr>
        <w:t xml:space="preserve"> [***] </w:t>
      </w:r>
      <w:r>
        <w:rPr>
          <w:rFonts w:ascii="Arial" w:cs="Arial" w:eastAsia="Arial" w:hAnsi="Arial"/>
          <w:sz w:val="20"/>
          <w:szCs w:val="20"/>
          <w:color w:val="auto"/>
        </w:rPr>
        <w:t>and the</w:t>
      </w:r>
      <w:r>
        <w:rPr>
          <w:rFonts w:ascii="Arial" w:cs="Arial" w:eastAsia="Arial" w:hAnsi="Arial"/>
          <w:sz w:val="20"/>
          <w:szCs w:val="20"/>
          <w:b w:val="1"/>
          <w:bCs w:val="1"/>
          <w:color w:val="auto"/>
        </w:rPr>
        <w:t xml:space="preserve"> [***] </w:t>
      </w:r>
      <w:r>
        <w:rPr>
          <w:rFonts w:ascii="Arial" w:cs="Arial" w:eastAsia="Arial" w:hAnsi="Arial"/>
          <w:sz w:val="20"/>
          <w:szCs w:val="20"/>
          <w:color w:val="auto"/>
        </w:rPr>
        <w:t>(and any additional</w:t>
      </w:r>
      <w:r>
        <w:rPr>
          <w:rFonts w:ascii="Arial" w:cs="Arial" w:eastAsia="Arial" w:hAnsi="Arial"/>
          <w:sz w:val="20"/>
          <w:szCs w:val="20"/>
          <w:b w:val="1"/>
          <w:bCs w:val="1"/>
          <w:color w:val="auto"/>
        </w:rPr>
        <w:t xml:space="preserve"> [***] </w:t>
      </w:r>
      <w:r>
        <w:rPr>
          <w:rFonts w:ascii="Arial" w:cs="Arial" w:eastAsia="Arial" w:hAnsi="Arial"/>
          <w:sz w:val="20"/>
          <w:szCs w:val="20"/>
          <w:color w:val="auto"/>
        </w:rPr>
        <w:t xml:space="preserve">will not apply). For clarity, the </w:t>
      </w:r>
      <w:r>
        <w:rPr>
          <w:rFonts w:ascii="Arial" w:cs="Arial" w:eastAsia="Arial" w:hAnsi="Arial"/>
          <w:sz w:val="20"/>
          <w:szCs w:val="20"/>
          <w:b w:val="1"/>
          <w:b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color w:val="auto"/>
        </w:rPr>
        <w:t>[***]</w:t>
      </w:r>
      <w:r>
        <w:rPr>
          <w:rFonts w:ascii="Arial" w:cs="Arial" w:eastAsia="Arial" w:hAnsi="Arial"/>
          <w:sz w:val="20"/>
          <w:szCs w:val="20"/>
          <w:color w:val="auto"/>
        </w:rPr>
        <w:t xml:space="preserve"> do not apply toward </w:t>
      </w:r>
      <w:r>
        <w:rPr>
          <w:rFonts w:ascii="Arial" w:cs="Arial" w:eastAsia="Arial" w:hAnsi="Arial"/>
          <w:sz w:val="20"/>
          <w:szCs w:val="20"/>
          <w:b w:val="1"/>
          <w:bCs w:val="1"/>
          <w:color w:val="auto"/>
        </w:rPr>
        <w:t>[***]</w:t>
      </w:r>
      <w:r>
        <w:rPr>
          <w:rFonts w:ascii="Arial" w:cs="Arial" w:eastAsia="Arial" w:hAnsi="Arial"/>
          <w:sz w:val="20"/>
          <w:szCs w:val="20"/>
          <w:color w:val="auto"/>
        </w:rPr>
        <w:t xml:space="preserve">, and Invitae will </w:t>
      </w:r>
      <w:r>
        <w:rPr>
          <w:rFonts w:ascii="Arial" w:cs="Arial" w:eastAsia="Arial" w:hAnsi="Arial"/>
          <w:sz w:val="20"/>
          <w:szCs w:val="20"/>
          <w:b w:val="1"/>
          <w:bCs w:val="1"/>
          <w:color w:val="auto"/>
        </w:rPr>
        <w:t>[***]</w:t>
      </w:r>
      <w:r>
        <w:rPr>
          <w:rFonts w:ascii="Arial" w:cs="Arial" w:eastAsia="Arial" w:hAnsi="Arial"/>
          <w:sz w:val="20"/>
          <w:szCs w:val="20"/>
          <w:color w:val="auto"/>
        </w:rPr>
        <w:t xml:space="preserve"> within </w:t>
      </w:r>
      <w:r>
        <w:rPr>
          <w:rFonts w:ascii="Arial" w:cs="Arial" w:eastAsia="Arial" w:hAnsi="Arial"/>
          <w:sz w:val="20"/>
          <w:szCs w:val="20"/>
          <w:b w:val="1"/>
          <w:bCs w:val="1"/>
          <w:color w:val="auto"/>
        </w:rPr>
        <w:t xml:space="preserve">[***] </w:t>
      </w:r>
      <w:r>
        <w:rPr>
          <w:rFonts w:ascii="Arial" w:cs="Arial" w:eastAsia="Arial" w:hAnsi="Arial"/>
          <w:sz w:val="20"/>
          <w:szCs w:val="20"/>
          <w:color w:val="auto"/>
        </w:rPr>
        <w:t>of</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19"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359410</wp:posOffset>
            </wp:positionV>
            <wp:extent cx="5641975" cy="49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573" w:right="1440" w:bottom="1440" w:gutter="0" w:footer="0" w:header="0"/>
        </w:sectPr>
      </w:pPr>
    </w:p>
    <w:bookmarkStart w:id="83" w:name="page84"/>
    <w:bookmarkEnd w:id="83"/>
    <w:p>
      <w:pPr>
        <w:ind w:left="3780"/>
        <w:spacing w:after="0"/>
        <w:rPr>
          <w:sz w:val="20"/>
          <w:szCs w:val="20"/>
          <w:color w:val="auto"/>
        </w:rPr>
      </w:pPr>
      <w:r>
        <w:rPr>
          <w:rFonts w:ascii="Arial" w:cs="Arial" w:eastAsia="Arial" w:hAnsi="Arial"/>
          <w:sz w:val="20"/>
          <w:szCs w:val="20"/>
          <w:b w:val="1"/>
          <w:bCs w:val="1"/>
          <w:color w:val="auto"/>
        </w:rPr>
        <w:t>ARTICLE 4</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CONFIDENTIALITY, PUBLIC ANNOUNCEMENTS</w:t>
      </w:r>
    </w:p>
    <w:p>
      <w:pPr>
        <w:spacing w:after="0" w:line="207" w:lineRule="exact"/>
        <w:rPr>
          <w:sz w:val="20"/>
          <w:szCs w:val="20"/>
          <w:color w:val="auto"/>
        </w:rPr>
      </w:pPr>
    </w:p>
    <w:p>
      <w:pPr>
        <w:jc w:val="both"/>
        <w:ind w:left="100" w:right="99" w:firstLine="606"/>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Except as expressly provided herein, the Parties agree that, for the term of this Agreement and </w:t>
      </w:r>
      <w:r>
        <w:rPr>
          <w:rFonts w:ascii="Arial" w:cs="Arial" w:eastAsia="Arial" w:hAnsi="Arial"/>
          <w:sz w:val="18"/>
          <w:szCs w:val="18"/>
          <w:b w:val="1"/>
          <w:bCs w:val="1"/>
          <w:color w:val="auto"/>
        </w:rPr>
        <w:t>[***]</w:t>
      </w:r>
      <w:r>
        <w:rPr>
          <w:rFonts w:ascii="Arial" w:cs="Arial" w:eastAsia="Arial" w:hAnsi="Arial"/>
          <w:sz w:val="18"/>
          <w:szCs w:val="18"/>
          <w:color w:val="auto"/>
        </w:rPr>
        <w:t xml:space="preserve"> years thereafter, the Receiving Party (as defined below) shall keep confidential and not publish or otherwise disclose and shall not use for any purpose Confidential Information of the Disclosing Party except in connection with the obligations and the rights of the Receiving Party under this Agreement or otherwise as expressly permitted hereunder or with the prior written consent of the Disclosing Party. Each Receiving Party agrees to treat the applicable Disclosing Party’s Confidential Information with the same degree of care such Receiving Party uses to protect such Receiving Party’s own confidential information, but in no event with less than a reasonable degree of care. “</w:t>
      </w:r>
      <w:r>
        <w:rPr>
          <w:rFonts w:ascii="Arial" w:cs="Arial" w:eastAsia="Arial" w:hAnsi="Arial"/>
          <w:sz w:val="18"/>
          <w:szCs w:val="18"/>
          <w:b w:val="1"/>
          <w:b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means all confidential or proprietary information disclosed by the disclosing Party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(the “</w:t>
      </w:r>
      <w:r>
        <w:rPr>
          <w:rFonts w:ascii="Arial" w:cs="Arial" w:eastAsia="Arial" w:hAnsi="Arial"/>
          <w:sz w:val="18"/>
          <w:szCs w:val="18"/>
          <w:b w:val="1"/>
          <w:bCs w:val="1"/>
          <w:color w:val="auto"/>
        </w:rPr>
        <w:t>Disclosing Party</w:t>
      </w:r>
      <w:r>
        <w:rPr>
          <w:rFonts w:ascii="Arial" w:cs="Arial" w:eastAsia="Arial" w:hAnsi="Arial"/>
          <w:sz w:val="18"/>
          <w:szCs w:val="18"/>
          <w:color w:val="auto"/>
        </w:rPr>
        <w:t>”) to the receiving Party or any of its Affiliates (“</w:t>
      </w:r>
      <w:r>
        <w:rPr>
          <w:rFonts w:ascii="Arial" w:cs="Arial" w:eastAsia="Arial" w:hAnsi="Arial"/>
          <w:sz w:val="18"/>
          <w:szCs w:val="18"/>
          <w:b w:val="1"/>
          <w:bCs w:val="1"/>
          <w:color w:val="auto"/>
        </w:rPr>
        <w:t>Receiving Party</w:t>
      </w:r>
      <w:r>
        <w:rPr>
          <w:rFonts w:ascii="Arial" w:cs="Arial" w:eastAsia="Arial" w:hAnsi="Arial"/>
          <w:sz w:val="18"/>
          <w:szCs w:val="18"/>
          <w:color w:val="auto"/>
        </w:rPr>
        <w:t>”), whether made available orally, in writing, or in electronic form, including information comprising or relating to concepts, discoveries, inventions, know how, data, designs, formulae, financial information, product roadmaps, operational information, specifications, processes, techniques, sequences, or models.</w:t>
      </w:r>
    </w:p>
    <w:p>
      <w:pPr>
        <w:spacing w:after="0" w:line="179" w:lineRule="exact"/>
        <w:rPr>
          <w:sz w:val="20"/>
          <w:szCs w:val="20"/>
          <w:color w:val="auto"/>
        </w:rPr>
      </w:pPr>
    </w:p>
    <w:p>
      <w:pPr>
        <w:jc w:val="both"/>
        <w:ind w:left="100" w:right="99" w:firstLine="606"/>
        <w:spacing w:after="0" w:line="266"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Exclusions</w:t>
      </w:r>
      <w:r>
        <w:rPr>
          <w:rFonts w:ascii="Arial" w:cs="Arial" w:eastAsia="Arial" w:hAnsi="Arial"/>
          <w:sz w:val="20"/>
          <w:szCs w:val="20"/>
          <w:color w:val="auto"/>
        </w:rPr>
        <w:t>. Notwithstanding the foregoing, Confidential Information shall not include information that, in each case as demonstrated by written documentation:</w:t>
      </w:r>
    </w:p>
    <w:p>
      <w:pPr>
        <w:spacing w:after="0" w:line="173" w:lineRule="exact"/>
        <w:rPr>
          <w:sz w:val="20"/>
          <w:szCs w:val="20"/>
          <w:color w:val="auto"/>
        </w:rPr>
      </w:pPr>
    </w:p>
    <w:p>
      <w:pPr>
        <w:jc w:val="both"/>
        <w:ind w:left="100" w:right="119" w:firstLine="1213"/>
        <w:spacing w:after="0" w:line="266" w:lineRule="auto"/>
        <w:rPr>
          <w:sz w:val="20"/>
          <w:szCs w:val="20"/>
          <w:color w:val="auto"/>
        </w:rPr>
      </w:pPr>
      <w:r>
        <w:rPr>
          <w:rFonts w:ascii="Arial" w:cs="Arial" w:eastAsia="Arial" w:hAnsi="Arial"/>
          <w:sz w:val="20"/>
          <w:szCs w:val="20"/>
          <w:color w:val="auto"/>
        </w:rPr>
        <w:t>4.2.1 was already known to the Receiving Party, other than under an obligation of confidentiality to the Disclosing Party, at the time of disclosure;</w:t>
      </w:r>
    </w:p>
    <w:p>
      <w:pPr>
        <w:spacing w:after="0" w:line="173" w:lineRule="exact"/>
        <w:rPr>
          <w:sz w:val="20"/>
          <w:szCs w:val="20"/>
          <w:color w:val="auto"/>
        </w:rPr>
      </w:pPr>
    </w:p>
    <w:p>
      <w:pPr>
        <w:jc w:val="both"/>
        <w:ind w:left="100" w:right="119" w:firstLine="1213"/>
        <w:spacing w:after="0" w:line="266" w:lineRule="auto"/>
        <w:rPr>
          <w:sz w:val="20"/>
          <w:szCs w:val="20"/>
          <w:color w:val="auto"/>
        </w:rPr>
      </w:pPr>
      <w:r>
        <w:rPr>
          <w:rFonts w:ascii="Arial" w:cs="Arial" w:eastAsia="Arial" w:hAnsi="Arial"/>
          <w:sz w:val="20"/>
          <w:szCs w:val="20"/>
          <w:color w:val="auto"/>
        </w:rPr>
        <w:t>4.2.2 was generally available to the public or otherwise part of the public domain at the time of its disclosure to the Receiving Party;</w:t>
      </w:r>
    </w:p>
    <w:p>
      <w:pPr>
        <w:spacing w:after="0" w:line="173" w:lineRule="exact"/>
        <w:rPr>
          <w:sz w:val="20"/>
          <w:szCs w:val="20"/>
          <w:color w:val="auto"/>
        </w:rPr>
      </w:pPr>
    </w:p>
    <w:p>
      <w:pPr>
        <w:jc w:val="both"/>
        <w:ind w:left="100" w:right="119" w:firstLine="1213"/>
        <w:spacing w:after="0" w:line="323" w:lineRule="auto"/>
        <w:rPr>
          <w:sz w:val="20"/>
          <w:szCs w:val="20"/>
          <w:color w:val="auto"/>
        </w:rPr>
      </w:pPr>
      <w:r>
        <w:rPr>
          <w:rFonts w:ascii="Arial" w:cs="Arial" w:eastAsia="Arial" w:hAnsi="Arial"/>
          <w:sz w:val="18"/>
          <w:szCs w:val="18"/>
          <w:color w:val="auto"/>
        </w:rPr>
        <w:t>4.2.3 became generally available to the public or otherwise part of the public domain after its disclosure and other than through any act or omission of the Receiving Party in breach of this Agreement;</w:t>
      </w:r>
    </w:p>
    <w:p>
      <w:pPr>
        <w:spacing w:after="0" w:line="1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4.2.4</w:t>
      </w:r>
      <w:r>
        <w:rPr>
          <w:sz w:val="20"/>
          <w:szCs w:val="20"/>
          <w:color w:val="auto"/>
        </w:rPr>
        <w:tab/>
      </w:r>
      <w:r>
        <w:rPr>
          <w:rFonts w:ascii="Arial" w:cs="Arial" w:eastAsia="Arial" w:hAnsi="Arial"/>
          <w:sz w:val="18"/>
          <w:szCs w:val="18"/>
          <w:color w:val="auto"/>
        </w:rPr>
        <w:t>was subsequently lawfully disclosed to the Receiving Party by a Third Party; or</w:t>
      </w:r>
    </w:p>
    <w:p>
      <w:pPr>
        <w:spacing w:after="0" w:line="225" w:lineRule="exact"/>
        <w:rPr>
          <w:sz w:val="20"/>
          <w:szCs w:val="20"/>
          <w:color w:val="auto"/>
        </w:rPr>
      </w:pPr>
    </w:p>
    <w:p>
      <w:pPr>
        <w:jc w:val="both"/>
        <w:ind w:left="100" w:right="119" w:firstLine="1213"/>
        <w:spacing w:after="0" w:line="266" w:lineRule="auto"/>
        <w:rPr>
          <w:sz w:val="20"/>
          <w:szCs w:val="20"/>
          <w:color w:val="auto"/>
        </w:rPr>
      </w:pPr>
      <w:r>
        <w:rPr>
          <w:rFonts w:ascii="Arial" w:cs="Arial" w:eastAsia="Arial" w:hAnsi="Arial"/>
          <w:sz w:val="20"/>
          <w:szCs w:val="20"/>
          <w:color w:val="auto"/>
        </w:rPr>
        <w:t>4.2.5 was developed by the Receiving Party without reference to any information or materials disclosed by the Disclosing Party.</w:t>
      </w:r>
    </w:p>
    <w:p>
      <w:pPr>
        <w:spacing w:after="0" w:line="173" w:lineRule="exact"/>
        <w:rPr>
          <w:sz w:val="20"/>
          <w:szCs w:val="20"/>
          <w:color w:val="auto"/>
        </w:rPr>
      </w:pPr>
    </w:p>
    <w:p>
      <w:pPr>
        <w:jc w:val="both"/>
        <w:ind w:left="100" w:right="99" w:firstLine="606"/>
        <w:spacing w:after="0" w:line="242"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Permitted Disclosures</w:t>
      </w:r>
      <w:r>
        <w:rPr>
          <w:rFonts w:ascii="Arial" w:cs="Arial" w:eastAsia="Arial" w:hAnsi="Arial"/>
          <w:sz w:val="20"/>
          <w:szCs w:val="20"/>
          <w:color w:val="auto"/>
        </w:rPr>
        <w:t>. Notwithstanding the provisions of Section 4.1, each Party hereto may disclose the other Party’s Confidential Information to the extent such disclosure is reasonably necessary for complying with applicable law or governmental regulations, or submitting information to tax or other governmental authorities, provided that if a Party is required to make any such disclosure of the other Party’s Confidential Information, to the extent it may legally do so, it will give reasonable advance notice to such other Party of such disclosure and, save to the extent inappropriate or unavailable, will use its reasonable efforts to secure confidential</w:t>
      </w:r>
    </w:p>
    <w:p>
      <w:pPr>
        <w:spacing w:after="0" w:line="180"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7</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746" w:right="1440" w:bottom="1440" w:gutter="0" w:footer="0" w:header="0"/>
        </w:sectPr>
      </w:pPr>
    </w:p>
    <w:bookmarkStart w:id="84" w:name="page85"/>
    <w:bookmarkEnd w:id="84"/>
    <w:p>
      <w:pPr>
        <w:ind w:left="100"/>
        <w:spacing w:after="0"/>
        <w:rPr>
          <w:sz w:val="20"/>
          <w:szCs w:val="20"/>
          <w:color w:val="auto"/>
        </w:rPr>
      </w:pPr>
      <w:r>
        <w:rPr>
          <w:rFonts w:ascii="Arial" w:cs="Arial" w:eastAsia="Arial" w:hAnsi="Arial"/>
          <w:sz w:val="19"/>
          <w:szCs w:val="19"/>
          <w:color w:val="auto"/>
        </w:rPr>
        <w:t>treatment of such information prior to its disclosure (whether through protective orders or otherwise).</w:t>
      </w:r>
    </w:p>
    <w:p>
      <w:pPr>
        <w:spacing w:after="0" w:line="236" w:lineRule="exact"/>
        <w:rPr>
          <w:sz w:val="20"/>
          <w:szCs w:val="20"/>
          <w:color w:val="auto"/>
        </w:rPr>
      </w:pPr>
    </w:p>
    <w:p>
      <w:pPr>
        <w:jc w:val="both"/>
        <w:ind w:left="100" w:right="99" w:firstLine="606"/>
        <w:spacing w:after="0"/>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Ownership</w:t>
      </w:r>
      <w:r>
        <w:rPr>
          <w:rFonts w:ascii="Arial" w:cs="Arial" w:eastAsia="Arial" w:hAnsi="Arial"/>
          <w:sz w:val="20"/>
          <w:szCs w:val="20"/>
          <w:color w:val="auto"/>
        </w:rPr>
        <w:t>. The Receiving Party hereby acknowledges that, as between the Parties, the Disclosing Party is the owner or licensee of its Confidential Information, including originals and copies of all notes, reports and other documents prepared by the Receiving Party to the extent including such Confidential Information. Confidential Information shall not be reproduced by the Receiving Party in any form except as required to perform the obligations or to exercise the rights of the Receiving Party under this Agreement. Any reproduction of any Confidential Information shall remain the property of the Disclosing Party and shall contain any and all confidential or proprietary notices or legends which appear on the original, unless otherwise authorized in writing by the Disclosing Party. The Receiving Party does not and will not acquire by implication or otherwise any right in, title to or license in respect of the Confidential Information disclosed to it by the Disclosing Party, except as otherwise expressly set forth in this Agreement.</w:t>
      </w:r>
    </w:p>
    <w:p>
      <w:pPr>
        <w:spacing w:after="0" w:line="200" w:lineRule="exact"/>
        <w:rPr>
          <w:sz w:val="20"/>
          <w:szCs w:val="20"/>
          <w:color w:val="auto"/>
        </w:rPr>
      </w:pPr>
    </w:p>
    <w:p>
      <w:pPr>
        <w:jc w:val="both"/>
        <w:ind w:left="100" w:right="119" w:firstLine="606"/>
        <w:spacing w:after="0" w:line="27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Return of Confidential Information</w:t>
      </w:r>
      <w:r>
        <w:rPr>
          <w:rFonts w:ascii="Arial" w:cs="Arial" w:eastAsia="Arial" w:hAnsi="Arial"/>
          <w:sz w:val="18"/>
          <w:szCs w:val="18"/>
          <w:color w:val="auto"/>
        </w:rPr>
        <w:t>. Upon receipt of a written request from the Disclosing Party following the expiration or termination of this Agreement, the Receiving Party will, at the election of the Disclosing Party, either destroy (with written confirmation thereof delivered to the Disclosing Party) or deliver to the Disclosing Party all documents and other materials provided by the Disclosing Party to the Receiving Party (or any reproductions thereof) constituting the Disclosing Party’s Confidential Information.</w:t>
      </w:r>
    </w:p>
    <w:p>
      <w:pPr>
        <w:spacing w:after="0" w:line="166" w:lineRule="exact"/>
        <w:rPr>
          <w:sz w:val="20"/>
          <w:szCs w:val="20"/>
          <w:color w:val="auto"/>
        </w:rPr>
      </w:pPr>
    </w:p>
    <w:p>
      <w:pPr>
        <w:jc w:val="both"/>
        <w:ind w:left="100" w:right="99" w:firstLine="606"/>
        <w:spacing w:after="0" w:line="26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Independent Development and Residuals</w:t>
      </w:r>
      <w:r>
        <w:rPr>
          <w:rFonts w:ascii="Arial" w:cs="Arial" w:eastAsia="Arial" w:hAnsi="Arial"/>
          <w:sz w:val="18"/>
          <w:szCs w:val="18"/>
          <w:color w:val="auto"/>
        </w:rPr>
        <w:t xml:space="preserve">. Notwithstanding any provision in this Agreement to the contrary: (a) this Agreement and the terms of confidentiality and nonuse hereunder shall not be construed to limit either Party’s right to independently develop or acquire products or technology, including products or technology that are similar to, or that compete with, the </w:t>
      </w:r>
      <w:r>
        <w:rPr>
          <w:rFonts w:ascii="Arial" w:cs="Arial" w:eastAsia="Arial" w:hAnsi="Arial"/>
          <w:sz w:val="18"/>
          <w:szCs w:val="18"/>
          <w:b w:val="1"/>
          <w:bCs w:val="1"/>
          <w:color w:val="auto"/>
        </w:rPr>
        <w:t>[***]</w:t>
      </w:r>
      <w:r>
        <w:rPr>
          <w:rFonts w:ascii="Arial" w:cs="Arial" w:eastAsia="Arial" w:hAnsi="Arial"/>
          <w:sz w:val="18"/>
          <w:szCs w:val="18"/>
          <w:color w:val="auto"/>
        </w:rPr>
        <w:t>; and (b) the Receiving Party shall be free to use for any purpose the residuals resulting from access to or work with the Disclosing Party’s Confidential Information. The term “residuals” means information in non-tangible form that may be retained in the unaided memories of individuals who have had rightful access to Confidential Information under this Agreement, including ideas, concepts, know-how or techniques contained therein. No Party shall have any obligation to limit or restrict the assignment or reassignment of such individuals or to pay royalties for any work resulting from the use of residuals. However, the provisions of this Section 4.6 shall not be deemed to grant to any Party a license under the other Party’s copyrights or patents.</w:t>
      </w:r>
    </w:p>
    <w:p>
      <w:pPr>
        <w:spacing w:after="0" w:line="177" w:lineRule="exact"/>
        <w:rPr>
          <w:sz w:val="20"/>
          <w:szCs w:val="20"/>
          <w:color w:val="auto"/>
        </w:rPr>
      </w:pPr>
    </w:p>
    <w:p>
      <w:pPr>
        <w:jc w:val="both"/>
        <w:ind w:left="100" w:right="99" w:firstLine="606"/>
        <w:spacing w:after="0" w:line="244"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Prior CDA</w:t>
      </w:r>
      <w:r>
        <w:rPr>
          <w:rFonts w:ascii="Arial" w:cs="Arial" w:eastAsia="Arial" w:hAnsi="Arial"/>
          <w:sz w:val="20"/>
          <w:szCs w:val="20"/>
          <w:color w:val="auto"/>
        </w:rPr>
        <w:t>. This Agreement supersedes the Confidentiality Agreement between the Parties dated as of February 18, 2020 (the “</w:t>
      </w:r>
      <w:r>
        <w:rPr>
          <w:rFonts w:ascii="Arial" w:cs="Arial" w:eastAsia="Arial" w:hAnsi="Arial"/>
          <w:sz w:val="20"/>
          <w:szCs w:val="20"/>
          <w:b w:val="1"/>
          <w:bCs w:val="1"/>
          <w:color w:val="auto"/>
        </w:rPr>
        <w:t>Prior CDA</w:t>
      </w:r>
      <w:r>
        <w:rPr>
          <w:rFonts w:ascii="Arial" w:cs="Arial" w:eastAsia="Arial" w:hAnsi="Arial"/>
          <w:sz w:val="20"/>
          <w:szCs w:val="20"/>
          <w:color w:val="auto"/>
        </w:rPr>
        <w:t>”) with respect to information disclosed thereunder. All information or materials disclosed or provided by a Party or its Affiliates to the other Party (or its representatives) under the Prior CDA shall be deemed Confidential Information of such Party (subject to the exceptions set forth herein).</w:t>
      </w:r>
    </w:p>
    <w:p>
      <w:pPr>
        <w:spacing w:after="0" w:line="196" w:lineRule="exact"/>
        <w:rPr>
          <w:sz w:val="20"/>
          <w:szCs w:val="20"/>
          <w:color w:val="auto"/>
        </w:rPr>
      </w:pPr>
    </w:p>
    <w:p>
      <w:pPr>
        <w:jc w:val="both"/>
        <w:ind w:left="100" w:right="99" w:firstLine="606"/>
        <w:spacing w:after="0" w:line="247"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Public Announcements; Confidential Terms</w:t>
      </w:r>
      <w:r>
        <w:rPr>
          <w:rFonts w:ascii="Arial" w:cs="Arial" w:eastAsia="Arial" w:hAnsi="Arial"/>
          <w:sz w:val="20"/>
          <w:szCs w:val="20"/>
          <w:color w:val="auto"/>
        </w:rPr>
        <w:t>. Neither Party shall disclose to any Third Party, or issue any other public announcement, press release, advertisement, promotion or other public disclosure regarding the terms of this Agreement or use the other Party’s name or the name of any Affiliate of the other Party, without the other Party’s prior written consent, except</w:t>
      </w:r>
    </w:p>
    <w:p>
      <w:pPr>
        <w:spacing w:after="0" w:line="17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8</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5" w:name="page86"/>
    <w:bookmarkEnd w:id="85"/>
    <w:p>
      <w:pPr>
        <w:jc w:val="both"/>
        <w:ind w:left="100" w:right="99"/>
        <w:spacing w:after="0" w:line="267" w:lineRule="auto"/>
        <w:rPr>
          <w:sz w:val="20"/>
          <w:szCs w:val="20"/>
          <w:color w:val="auto"/>
        </w:rPr>
      </w:pPr>
      <w:r>
        <w:rPr>
          <w:rFonts w:ascii="Arial" w:cs="Arial" w:eastAsia="Arial" w:hAnsi="Arial"/>
          <w:sz w:val="18"/>
          <w:szCs w:val="18"/>
          <w:color w:val="auto"/>
        </w:rPr>
        <w:t>any such disclosure that is required by applicable law or the rules of any securities exchange on which the securities of the disclosing Party are listed. In the event a Party determines in good faith that it is required by applicable law or the rules of any securities exchange on which its securities are listed to make a public disclosure regarding the terms of this Agreement, such Party shall submit the proposed disclosure in writing (including, as applicable, the proposed redacted form of this Agreement) to the other Party as far in advance as reasonably practicable (and in no event less than five (5) Business Days prior to the anticipated date of disclosure) so as to provide a reasonable opportunity for the other Party to comment thereon. The Party making such disclosure shall use good faith efforts to incorporate the reviewing Party’s reasonable comments and, as applicable, seek confidential treatment for the redacted terms of this Agreement to the extent such confidential treatment is applicable and reasonably available. Each Party shall be responsible for its own legal and other external costs in connection with any such disclosure. Neither Party shall be required to seek the permission of the other Party to repeat any information regarding the terms of this Agreement or any amendment hereto that has already been publicly disclosed by such Party, or by the other Party, in accordance with this Section 4.8, provided that such information remains accurate as of such time and provided the frequency and form of such disclosure are reasonable.</w:t>
      </w:r>
    </w:p>
    <w:p>
      <w:pPr>
        <w:spacing w:after="0" w:line="358"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ARTICLE 5</w:t>
      </w:r>
    </w:p>
    <w:p>
      <w:pPr>
        <w:spacing w:after="0" w:line="19"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REPRESENTATIONS AND WARRANTIES</w:t>
      </w:r>
    </w:p>
    <w:p>
      <w:pPr>
        <w:spacing w:after="0" w:line="207"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Mutual Warranties</w:t>
      </w:r>
      <w:r>
        <w:rPr>
          <w:rFonts w:ascii="Arial" w:cs="Arial" w:eastAsia="Arial" w:hAnsi="Arial"/>
          <w:sz w:val="18"/>
          <w:szCs w:val="18"/>
          <w:color w:val="auto"/>
        </w:rPr>
        <w:t>. Each Party represents, warrants and covenants to the other Party that:</w:t>
      </w:r>
    </w:p>
    <w:p>
      <w:pPr>
        <w:spacing w:after="0" w:line="225" w:lineRule="exact"/>
        <w:rPr>
          <w:sz w:val="20"/>
          <w:szCs w:val="20"/>
          <w:color w:val="auto"/>
        </w:rPr>
      </w:pPr>
    </w:p>
    <w:p>
      <w:pPr>
        <w:jc w:val="both"/>
        <w:ind w:left="100" w:right="119" w:firstLine="1213"/>
        <w:spacing w:after="0" w:line="266" w:lineRule="auto"/>
        <w:rPr>
          <w:sz w:val="20"/>
          <w:szCs w:val="20"/>
          <w:color w:val="auto"/>
        </w:rPr>
      </w:pPr>
      <w:r>
        <w:rPr>
          <w:rFonts w:ascii="Arial" w:cs="Arial" w:eastAsia="Arial" w:hAnsi="Arial"/>
          <w:sz w:val="20"/>
          <w:szCs w:val="20"/>
          <w:color w:val="auto"/>
        </w:rPr>
        <w:t>5.1.1 it has and shall continue to maintain the full right and authority to enter into and perform this Agreement; and</w:t>
      </w:r>
    </w:p>
    <w:p>
      <w:pPr>
        <w:spacing w:after="0" w:line="173" w:lineRule="exact"/>
        <w:rPr>
          <w:sz w:val="20"/>
          <w:szCs w:val="20"/>
          <w:color w:val="auto"/>
        </w:rPr>
      </w:pPr>
    </w:p>
    <w:p>
      <w:pPr>
        <w:jc w:val="both"/>
        <w:ind w:left="100" w:right="119" w:firstLine="1213"/>
        <w:spacing w:after="0" w:line="266" w:lineRule="auto"/>
        <w:rPr>
          <w:sz w:val="20"/>
          <w:szCs w:val="20"/>
          <w:color w:val="auto"/>
        </w:rPr>
      </w:pPr>
      <w:r>
        <w:rPr>
          <w:rFonts w:ascii="Arial" w:cs="Arial" w:eastAsia="Arial" w:hAnsi="Arial"/>
          <w:sz w:val="20"/>
          <w:szCs w:val="20"/>
          <w:color w:val="auto"/>
        </w:rPr>
        <w:t>5.1.2 it is not and shall not be party to any agreement that conflicts with its representations, warranties, or obligations under this Agreement.</w:t>
      </w:r>
    </w:p>
    <w:p>
      <w:pPr>
        <w:spacing w:after="0" w:line="173"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PacBio Warranties</w:t>
      </w:r>
      <w:r>
        <w:rPr>
          <w:rFonts w:ascii="Arial" w:cs="Arial" w:eastAsia="Arial" w:hAnsi="Arial"/>
          <w:sz w:val="18"/>
          <w:szCs w:val="18"/>
          <w:color w:val="auto"/>
        </w:rPr>
        <w:t>. PacBio represents, warrants and covenants to Invitae that:</w:t>
      </w:r>
    </w:p>
    <w:p>
      <w:pPr>
        <w:spacing w:after="0" w:line="225" w:lineRule="exact"/>
        <w:rPr>
          <w:sz w:val="20"/>
          <w:szCs w:val="20"/>
          <w:color w:val="auto"/>
        </w:rPr>
      </w:pPr>
    </w:p>
    <w:p>
      <w:pPr>
        <w:jc w:val="both"/>
        <w:ind w:left="100" w:right="99" w:firstLine="1213"/>
        <w:spacing w:after="0" w:line="252" w:lineRule="auto"/>
        <w:rPr>
          <w:sz w:val="20"/>
          <w:szCs w:val="20"/>
          <w:color w:val="auto"/>
        </w:rPr>
      </w:pPr>
      <w:r>
        <w:rPr>
          <w:rFonts w:ascii="Arial" w:cs="Arial" w:eastAsia="Arial" w:hAnsi="Arial"/>
          <w:sz w:val="20"/>
          <w:szCs w:val="20"/>
          <w:color w:val="auto"/>
        </w:rPr>
        <w:t>5.2.1 it has obtained and shall continue to maintain all licenses, authorizations, approvals, consents, or permits required by applicable law to conduct its business generally and to perform its obligations under this Agreement.</w:t>
      </w:r>
    </w:p>
    <w:p>
      <w:pPr>
        <w:spacing w:after="0" w:line="200" w:lineRule="exact"/>
        <w:rPr>
          <w:sz w:val="20"/>
          <w:szCs w:val="20"/>
          <w:color w:val="auto"/>
        </w:rPr>
      </w:pPr>
    </w:p>
    <w:p>
      <w:pPr>
        <w:spacing w:after="0" w:line="386"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ARTICLE 6</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INDEMNIFICATION, LIMITATION OF LIABILITY</w:t>
      </w:r>
    </w:p>
    <w:p>
      <w:pPr>
        <w:spacing w:after="0" w:line="203" w:lineRule="exact"/>
        <w:rPr>
          <w:sz w:val="20"/>
          <w:szCs w:val="20"/>
          <w:color w:val="auto"/>
        </w:rPr>
      </w:pPr>
    </w:p>
    <w:p>
      <w:pPr>
        <w:jc w:val="both"/>
        <w:ind w:left="100" w:right="99" w:firstLine="606"/>
        <w:spacing w:after="0" w:line="245"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Indemnification of</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shall defend each of </w:t>
      </w:r>
      <w:r>
        <w:rPr>
          <w:rFonts w:ascii="Arial" w:cs="Arial" w:eastAsia="Arial" w:hAnsi="Arial"/>
          <w:sz w:val="20"/>
          <w:szCs w:val="20"/>
          <w:b w:val="1"/>
          <w:bCs w:val="1"/>
          <w:color w:val="auto"/>
        </w:rPr>
        <w:t>[***]</w:t>
      </w:r>
      <w:r>
        <w:rPr>
          <w:rFonts w:ascii="Arial" w:cs="Arial" w:eastAsia="Arial" w:hAnsi="Arial"/>
          <w:sz w:val="20"/>
          <w:szCs w:val="20"/>
          <w:color w:val="auto"/>
        </w:rPr>
        <w:t xml:space="preserve"> and its directors, officers, and employees and the successors and assigns of any of the foregoing (each </w:t>
      </w:r>
      <w:r>
        <w:rPr>
          <w:rFonts w:ascii="Arial" w:cs="Arial" w:eastAsia="Arial" w:hAnsi="Arial"/>
          <w:sz w:val="20"/>
          <w:szCs w:val="20"/>
          <w:b w:val="1"/>
          <w:bCs w:val="1"/>
          <w:color w:val="auto"/>
        </w:rPr>
        <w:t>[***] Indemnitee</w:t>
      </w:r>
      <w:r>
        <w:rPr>
          <w:rFonts w:ascii="Arial" w:cs="Arial" w:eastAsia="Arial" w:hAnsi="Arial"/>
          <w:sz w:val="20"/>
          <w:szCs w:val="20"/>
          <w:color w:val="auto"/>
        </w:rPr>
        <w:t xml:space="preserve">”), and indemnify and hold harmless each </w:t>
      </w:r>
      <w:r>
        <w:rPr>
          <w:rFonts w:ascii="Arial" w:cs="Arial" w:eastAsia="Arial" w:hAnsi="Arial"/>
          <w:sz w:val="20"/>
          <w:szCs w:val="20"/>
          <w:b w:val="1"/>
          <w:bCs w:val="1"/>
          <w:color w:val="auto"/>
        </w:rPr>
        <w:t>[***]</w:t>
      </w:r>
      <w:r>
        <w:rPr>
          <w:rFonts w:ascii="Arial" w:cs="Arial" w:eastAsia="Arial" w:hAnsi="Arial"/>
          <w:sz w:val="20"/>
          <w:szCs w:val="20"/>
          <w:color w:val="auto"/>
        </w:rPr>
        <w:t xml:space="preserve"> Indemnitee from and against any and all claims, actions, proceedings, liabilities, damages, settlements, penalties, fines, costs or expenses (including, without limitation, reasonable attorneys’ fees and other expenses of litigation) in each</w:t>
      </w:r>
    </w:p>
    <w:p>
      <w:pPr>
        <w:spacing w:after="0" w:line="178"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9</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6" w:name="page87"/>
    <w:bookmarkEnd w:id="86"/>
    <w:p>
      <w:pPr>
        <w:jc w:val="both"/>
        <w:ind w:left="100" w:right="119"/>
        <w:spacing w:after="0" w:line="253" w:lineRule="auto"/>
        <w:rPr>
          <w:sz w:val="20"/>
          <w:szCs w:val="20"/>
          <w:color w:val="auto"/>
        </w:rPr>
      </w:pPr>
      <w:r>
        <w:rPr>
          <w:rFonts w:ascii="Arial" w:cs="Arial" w:eastAsia="Arial" w:hAnsi="Arial"/>
          <w:sz w:val="19"/>
          <w:szCs w:val="19"/>
          <w:color w:val="auto"/>
        </w:rPr>
        <w:t xml:space="preserve">case brought by a Third Party against any </w:t>
      </w:r>
      <w:r>
        <w:rPr>
          <w:rFonts w:ascii="Arial" w:cs="Arial" w:eastAsia="Arial" w:hAnsi="Arial"/>
          <w:sz w:val="19"/>
          <w:szCs w:val="19"/>
          <w:b w:val="1"/>
          <w:bCs w:val="1"/>
          <w:color w:val="auto"/>
        </w:rPr>
        <w:t>[***]</w:t>
      </w:r>
      <w:r>
        <w:rPr>
          <w:rFonts w:ascii="Arial" w:cs="Arial" w:eastAsia="Arial" w:hAnsi="Arial"/>
          <w:sz w:val="19"/>
          <w:szCs w:val="19"/>
          <w:color w:val="auto"/>
        </w:rPr>
        <w:t xml:space="preserve"> Indemnitee arising out of the following (each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Claim</w:t>
      </w:r>
      <w:r>
        <w:rPr>
          <w:rFonts w:ascii="Arial" w:cs="Arial" w:eastAsia="Arial" w:hAnsi="Arial"/>
          <w:sz w:val="19"/>
          <w:szCs w:val="19"/>
          <w:color w:val="auto"/>
        </w:rPr>
        <w:t>”): (i) any breach by</w:t>
      </w:r>
      <w:r>
        <w:rPr>
          <w:rFonts w:ascii="Arial" w:cs="Arial" w:eastAsia="Arial" w:hAnsi="Arial"/>
          <w:sz w:val="19"/>
          <w:szCs w:val="19"/>
          <w:b w:val="1"/>
          <w:bCs w:val="1"/>
          <w:color w:val="auto"/>
        </w:rPr>
        <w:t xml:space="preserve"> [***] </w:t>
      </w:r>
      <w:r>
        <w:rPr>
          <w:rFonts w:ascii="Arial" w:cs="Arial" w:eastAsia="Arial" w:hAnsi="Arial"/>
          <w:sz w:val="19"/>
          <w:szCs w:val="19"/>
          <w:color w:val="auto"/>
        </w:rPr>
        <w:t>of any of its representations, warranties or covenants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(ii) any failure of </w:t>
      </w:r>
      <w:r>
        <w:rPr>
          <w:rFonts w:ascii="Arial" w:cs="Arial" w:eastAsia="Arial" w:hAnsi="Arial"/>
          <w:sz w:val="19"/>
          <w:szCs w:val="19"/>
          <w:b w:val="1"/>
          <w:bCs w:val="1"/>
          <w:color w:val="auto"/>
        </w:rPr>
        <w:t>[***]</w:t>
      </w:r>
      <w:r>
        <w:rPr>
          <w:rFonts w:ascii="Arial" w:cs="Arial" w:eastAsia="Arial" w:hAnsi="Arial"/>
          <w:sz w:val="19"/>
          <w:szCs w:val="19"/>
          <w:color w:val="auto"/>
        </w:rPr>
        <w:t xml:space="preserve"> or any of its Affiliates or designees (including any of the employees, agents, or consultants of </w:t>
      </w:r>
      <w:r>
        <w:rPr>
          <w:rFonts w:ascii="Arial" w:cs="Arial" w:eastAsia="Arial" w:hAnsi="Arial"/>
          <w:sz w:val="19"/>
          <w:szCs w:val="19"/>
          <w:b w:val="1"/>
          <w:bCs w:val="1"/>
          <w:color w:val="auto"/>
        </w:rPr>
        <w:t>[***]</w:t>
      </w:r>
      <w:r>
        <w:rPr>
          <w:rFonts w:ascii="Arial" w:cs="Arial" w:eastAsia="Arial" w:hAnsi="Arial"/>
          <w:sz w:val="19"/>
          <w:szCs w:val="19"/>
          <w:color w:val="auto"/>
        </w:rPr>
        <w:t xml:space="preserve"> or any of its Affiliates or designees) to comply with any applicable federal, state, local or foreign laws, regulations, or codes in the performance of the obligations of </w:t>
      </w:r>
      <w:r>
        <w:rPr>
          <w:rFonts w:ascii="Arial" w:cs="Arial" w:eastAsia="Arial" w:hAnsi="Arial"/>
          <w:sz w:val="19"/>
          <w:szCs w:val="19"/>
          <w:b w:val="1"/>
          <w:bCs w:val="1"/>
          <w:color w:val="auto"/>
        </w:rPr>
        <w:t>[***]</w:t>
      </w:r>
      <w:r>
        <w:rPr>
          <w:rFonts w:ascii="Arial" w:cs="Arial" w:eastAsia="Arial" w:hAnsi="Arial"/>
          <w:sz w:val="19"/>
          <w:szCs w:val="19"/>
          <w:color w:val="auto"/>
        </w:rPr>
        <w:t xml:space="preserve"> under this Agreement;. </w:t>
      </w:r>
      <w:r>
        <w:rPr>
          <w:rFonts w:ascii="Arial" w:cs="Arial" w:eastAsia="Arial" w:hAnsi="Arial"/>
          <w:sz w:val="19"/>
          <w:szCs w:val="19"/>
          <w:b w:val="1"/>
          <w:bCs w:val="1"/>
          <w:color w:val="auto"/>
        </w:rPr>
        <w:t>[***]</w:t>
      </w:r>
      <w:r>
        <w:rPr>
          <w:rFonts w:ascii="Arial" w:cs="Arial" w:eastAsia="Arial" w:hAnsi="Arial"/>
          <w:sz w:val="19"/>
          <w:szCs w:val="19"/>
          <w:color w:val="auto"/>
        </w:rPr>
        <w:t xml:space="preserve"> shall have no obligation to any </w:t>
      </w:r>
      <w:r>
        <w:rPr>
          <w:rFonts w:ascii="Arial" w:cs="Arial" w:eastAsia="Arial" w:hAnsi="Arial"/>
          <w:sz w:val="19"/>
          <w:szCs w:val="19"/>
          <w:b w:val="1"/>
          <w:bCs w:val="1"/>
          <w:color w:val="auto"/>
        </w:rPr>
        <w:t>[***]</w:t>
      </w:r>
      <w:r>
        <w:rPr>
          <w:rFonts w:ascii="Arial" w:cs="Arial" w:eastAsia="Arial" w:hAnsi="Arial"/>
          <w:sz w:val="19"/>
          <w:szCs w:val="19"/>
          <w:color w:val="auto"/>
        </w:rPr>
        <w:t xml:space="preserve"> Indemnitee under this Section 6.1 to the extent an</w:t>
      </w:r>
    </w:p>
    <w:p>
      <w:pPr>
        <w:spacing w:after="0" w:line="5" w:lineRule="exact"/>
        <w:rPr>
          <w:sz w:val="20"/>
          <w:szCs w:val="20"/>
          <w:color w:val="auto"/>
        </w:rPr>
      </w:pPr>
    </w:p>
    <w:p>
      <w:pPr>
        <w:ind w:left="100" w:right="119" w:hanging="6"/>
        <w:spacing w:after="0" w:line="247" w:lineRule="auto"/>
        <w:tabs>
          <w:tab w:leader="none" w:pos="588" w:val="left"/>
        </w:tabs>
        <w:numPr>
          <w:ilvl w:val="0"/>
          <w:numId w:val="16"/>
        </w:numPr>
        <w:rPr>
          <w:rFonts w:ascii="Arial" w:cs="Arial" w:eastAsia="Arial" w:hAnsi="Arial"/>
          <w:sz w:val="20"/>
          <w:szCs w:val="20"/>
          <w:b w:val="1"/>
          <w:bCs w:val="1"/>
          <w:color w:val="auto"/>
        </w:rPr>
      </w:pPr>
      <w:r>
        <w:rPr>
          <w:rFonts w:ascii="Arial" w:cs="Arial" w:eastAsia="Arial" w:hAnsi="Arial"/>
          <w:sz w:val="20"/>
          <w:szCs w:val="20"/>
          <w:color w:val="auto"/>
        </w:rPr>
        <w:t xml:space="preserve">Claim results from the breach of this Agreement, gross negligence or knowing and willful misconduct of the </w:t>
      </w:r>
      <w:r>
        <w:rPr>
          <w:rFonts w:ascii="Arial" w:cs="Arial" w:eastAsia="Arial" w:hAnsi="Arial"/>
          <w:sz w:val="20"/>
          <w:szCs w:val="20"/>
          <w:b w:val="1"/>
          <w:bCs w:val="1"/>
          <w:color w:val="auto"/>
        </w:rPr>
        <w:t>[***]</w:t>
      </w:r>
      <w:r>
        <w:rPr>
          <w:rFonts w:ascii="Arial" w:cs="Arial" w:eastAsia="Arial" w:hAnsi="Arial"/>
          <w:sz w:val="20"/>
          <w:szCs w:val="20"/>
          <w:color w:val="auto"/>
        </w:rPr>
        <w:t xml:space="preserve"> Indemnitee.</w:t>
      </w:r>
    </w:p>
    <w:p>
      <w:pPr>
        <w:spacing w:after="0" w:line="187" w:lineRule="exact"/>
        <w:rPr>
          <w:sz w:val="20"/>
          <w:szCs w:val="20"/>
          <w:color w:val="auto"/>
        </w:rPr>
      </w:pPr>
    </w:p>
    <w:p>
      <w:pPr>
        <w:jc w:val="both"/>
        <w:ind w:left="100" w:right="99" w:firstLine="606"/>
        <w:spacing w:after="0" w:line="255"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Indemnification of</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shall defend each of </w:t>
      </w:r>
      <w:r>
        <w:rPr>
          <w:rFonts w:ascii="Arial" w:cs="Arial" w:eastAsia="Arial" w:hAnsi="Arial"/>
          <w:sz w:val="19"/>
          <w:szCs w:val="19"/>
          <w:b w:val="1"/>
          <w:bCs w:val="1"/>
          <w:color w:val="auto"/>
        </w:rPr>
        <w:t>[***]</w:t>
      </w:r>
      <w:r>
        <w:rPr>
          <w:rFonts w:ascii="Arial" w:cs="Arial" w:eastAsia="Arial" w:hAnsi="Arial"/>
          <w:sz w:val="19"/>
          <w:szCs w:val="19"/>
          <w:color w:val="auto"/>
        </w:rPr>
        <w:t xml:space="preserve">and its directors, officers, and employees and the successors and assigns of any of the foregoing (each </w:t>
      </w:r>
      <w:r>
        <w:rPr>
          <w:rFonts w:ascii="Arial" w:cs="Arial" w:eastAsia="Arial" w:hAnsi="Arial"/>
          <w:sz w:val="19"/>
          <w:szCs w:val="19"/>
          <w:b w:val="1"/>
          <w:bCs w:val="1"/>
          <w:color w:val="auto"/>
        </w:rPr>
        <w:t>[***] Indemnitee</w:t>
      </w:r>
      <w:r>
        <w:rPr>
          <w:rFonts w:ascii="Arial" w:cs="Arial" w:eastAsia="Arial" w:hAnsi="Arial"/>
          <w:sz w:val="19"/>
          <w:szCs w:val="19"/>
          <w:color w:val="auto"/>
        </w:rPr>
        <w:t xml:space="preserve">”), and indemnify and hold harmless each </w:t>
      </w:r>
      <w:r>
        <w:rPr>
          <w:rFonts w:ascii="Arial" w:cs="Arial" w:eastAsia="Arial" w:hAnsi="Arial"/>
          <w:sz w:val="19"/>
          <w:szCs w:val="19"/>
          <w:b w:val="1"/>
          <w:bCs w:val="1"/>
          <w:color w:val="auto"/>
        </w:rPr>
        <w:t>[***]</w:t>
      </w:r>
      <w:r>
        <w:rPr>
          <w:rFonts w:ascii="Arial" w:cs="Arial" w:eastAsia="Arial" w:hAnsi="Arial"/>
          <w:sz w:val="19"/>
          <w:szCs w:val="19"/>
          <w:color w:val="auto"/>
        </w:rPr>
        <w:t xml:space="preserve"> Indemnitee from and against any and all claims, actions, proceedings, liabilities, damages, settlements, penalties, fines, costs or expenses (including, without limitation, reasonable attorneys’ fees and other expenses of litigation) in each case brought by a Third Party against any </w:t>
      </w:r>
      <w:r>
        <w:rPr>
          <w:rFonts w:ascii="Arial" w:cs="Arial" w:eastAsia="Arial" w:hAnsi="Arial"/>
          <w:sz w:val="19"/>
          <w:szCs w:val="19"/>
          <w:b w:val="1"/>
          <w:bCs w:val="1"/>
          <w:color w:val="auto"/>
        </w:rPr>
        <w:t>[***]</w:t>
      </w:r>
      <w:r>
        <w:rPr>
          <w:rFonts w:ascii="Arial" w:cs="Arial" w:eastAsia="Arial" w:hAnsi="Arial"/>
          <w:sz w:val="19"/>
          <w:szCs w:val="19"/>
          <w:color w:val="auto"/>
        </w:rPr>
        <w:t xml:space="preserve"> Indemnitee arising out any breach by Invitae of any of its representations, warranties or covenants under this Agreement (</w:t>
      </w:r>
      <w:r>
        <w:rPr>
          <w:rFonts w:ascii="Arial" w:cs="Arial" w:eastAsia="Arial" w:hAnsi="Arial"/>
          <w:sz w:val="19"/>
          <w:szCs w:val="19"/>
          <w:b w:val="1"/>
          <w:bCs w:val="1"/>
          <w:color w:val="auto"/>
        </w:rPr>
        <w:t>[***]</w:t>
      </w:r>
      <w:r>
        <w:rPr>
          <w:rFonts w:ascii="Arial" w:cs="Arial" w:eastAsia="Arial" w:hAnsi="Arial"/>
          <w:sz w:val="19"/>
          <w:szCs w:val="19"/>
          <w:color w:val="auto"/>
        </w:rPr>
        <w:t xml:space="preserve"> Claim”); provided that </w:t>
      </w:r>
      <w:r>
        <w:rPr>
          <w:rFonts w:ascii="Arial" w:cs="Arial" w:eastAsia="Arial" w:hAnsi="Arial"/>
          <w:sz w:val="19"/>
          <w:szCs w:val="19"/>
          <w:b w:val="1"/>
          <w:bCs w:val="1"/>
          <w:color w:val="auto"/>
        </w:rPr>
        <w:t>[***]</w:t>
      </w:r>
      <w:r>
        <w:rPr>
          <w:rFonts w:ascii="Arial" w:cs="Arial" w:eastAsia="Arial" w:hAnsi="Arial"/>
          <w:sz w:val="19"/>
          <w:szCs w:val="19"/>
          <w:color w:val="auto"/>
        </w:rPr>
        <w:t xml:space="preserve"> shall have no obligation to any </w:t>
      </w:r>
      <w:r>
        <w:rPr>
          <w:rFonts w:ascii="Arial" w:cs="Arial" w:eastAsia="Arial" w:hAnsi="Arial"/>
          <w:sz w:val="19"/>
          <w:szCs w:val="19"/>
          <w:b w:val="1"/>
          <w:bCs w:val="1"/>
          <w:color w:val="auto"/>
        </w:rPr>
        <w:t>[***]</w:t>
      </w:r>
      <w:r>
        <w:rPr>
          <w:rFonts w:ascii="Arial" w:cs="Arial" w:eastAsia="Arial" w:hAnsi="Arial"/>
          <w:sz w:val="19"/>
          <w:szCs w:val="19"/>
          <w:color w:val="auto"/>
        </w:rPr>
        <w:t xml:space="preserve"> Indemnitee under this Section 6.2 to the extent a </w:t>
      </w:r>
      <w:r>
        <w:rPr>
          <w:rFonts w:ascii="Arial" w:cs="Arial" w:eastAsia="Arial" w:hAnsi="Arial"/>
          <w:sz w:val="19"/>
          <w:szCs w:val="19"/>
          <w:b w:val="1"/>
          <w:bCs w:val="1"/>
          <w:color w:val="auto"/>
        </w:rPr>
        <w:t>[***]</w:t>
      </w:r>
      <w:r>
        <w:rPr>
          <w:rFonts w:ascii="Arial" w:cs="Arial" w:eastAsia="Arial" w:hAnsi="Arial"/>
          <w:sz w:val="19"/>
          <w:szCs w:val="19"/>
          <w:color w:val="auto"/>
        </w:rPr>
        <w:t xml:space="preserve"> Claim results from the breach of this Agreement, gross negligence or knowing and willful misconduct of the </w:t>
      </w:r>
      <w:r>
        <w:rPr>
          <w:rFonts w:ascii="Arial" w:cs="Arial" w:eastAsia="Arial" w:hAnsi="Arial"/>
          <w:sz w:val="19"/>
          <w:szCs w:val="19"/>
          <w:b w:val="1"/>
          <w:bCs w:val="1"/>
          <w:color w:val="auto"/>
        </w:rPr>
        <w:t>[***]</w:t>
      </w:r>
      <w:r>
        <w:rPr>
          <w:rFonts w:ascii="Arial" w:cs="Arial" w:eastAsia="Arial" w:hAnsi="Arial"/>
          <w:sz w:val="19"/>
          <w:szCs w:val="19"/>
          <w:color w:val="auto"/>
        </w:rPr>
        <w:t xml:space="preserve"> Indemnitee.</w:t>
      </w:r>
    </w:p>
    <w:p>
      <w:pPr>
        <w:spacing w:after="0" w:line="185" w:lineRule="exact"/>
        <w:rPr>
          <w:sz w:val="20"/>
          <w:szCs w:val="20"/>
          <w:color w:val="auto"/>
        </w:rPr>
      </w:pPr>
    </w:p>
    <w:p>
      <w:pPr>
        <w:jc w:val="both"/>
        <w:ind w:left="100" w:right="99" w:firstLine="606"/>
        <w:spacing w:after="0" w:line="239"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Procedure</w:t>
      </w:r>
      <w:r>
        <w:rPr>
          <w:rFonts w:ascii="Arial" w:cs="Arial" w:eastAsia="Arial" w:hAnsi="Arial"/>
          <w:sz w:val="20"/>
          <w:szCs w:val="20"/>
          <w:color w:val="auto"/>
        </w:rPr>
        <w:t>. A party (the “</w:t>
      </w:r>
      <w:r>
        <w:rPr>
          <w:rFonts w:ascii="Arial" w:cs="Arial" w:eastAsia="Arial" w:hAnsi="Arial"/>
          <w:sz w:val="20"/>
          <w:szCs w:val="20"/>
          <w:b w:val="1"/>
          <w:bCs w:val="1"/>
          <w:color w:val="auto"/>
        </w:rPr>
        <w:t>Indemnitee</w:t>
      </w:r>
      <w:r>
        <w:rPr>
          <w:rFonts w:ascii="Arial" w:cs="Arial" w:eastAsia="Arial" w:hAnsi="Arial"/>
          <w:sz w:val="20"/>
          <w:szCs w:val="20"/>
          <w:color w:val="auto"/>
        </w:rPr>
        <w:t>”) that intends to require indemnification under this Article 6 shall promptly notify the other party (the “</w:t>
      </w:r>
      <w:r>
        <w:rPr>
          <w:rFonts w:ascii="Arial" w:cs="Arial" w:eastAsia="Arial" w:hAnsi="Arial"/>
          <w:sz w:val="20"/>
          <w:szCs w:val="20"/>
          <w:b w:val="1"/>
          <w:bCs w:val="1"/>
          <w:color w:val="auto"/>
        </w:rPr>
        <w:t>Indemnitor</w:t>
      </w:r>
      <w:r>
        <w:rPr>
          <w:rFonts w:ascii="Arial" w:cs="Arial" w:eastAsia="Arial" w:hAnsi="Arial"/>
          <w:sz w:val="20"/>
          <w:szCs w:val="20"/>
          <w:color w:val="auto"/>
        </w:rPr>
        <w:t xml:space="preserve">”) in writing of any </w:t>
      </w:r>
      <w:r>
        <w:rPr>
          <w:rFonts w:ascii="Arial" w:cs="Arial" w:eastAsia="Arial" w:hAnsi="Arial"/>
          <w:sz w:val="20"/>
          <w:szCs w:val="20"/>
          <w:b w:val="1"/>
          <w:bCs w:val="1"/>
          <w:color w:val="auto"/>
        </w:rPr>
        <w:t>[***]</w:t>
      </w:r>
      <w:r>
        <w:rPr>
          <w:rFonts w:ascii="Arial" w:cs="Arial" w:eastAsia="Arial" w:hAnsi="Arial"/>
          <w:sz w:val="20"/>
          <w:szCs w:val="20"/>
          <w:color w:val="auto"/>
        </w:rPr>
        <w:t xml:space="preserve"> Claim or </w:t>
      </w:r>
      <w:r>
        <w:rPr>
          <w:rFonts w:ascii="Arial" w:cs="Arial" w:eastAsia="Arial" w:hAnsi="Arial"/>
          <w:sz w:val="20"/>
          <w:szCs w:val="20"/>
          <w:b w:val="1"/>
          <w:bCs w:val="1"/>
          <w:color w:val="auto"/>
        </w:rPr>
        <w:t>[***]</w:t>
      </w:r>
      <w:r>
        <w:rPr>
          <w:rFonts w:ascii="Arial" w:cs="Arial" w:eastAsia="Arial" w:hAnsi="Arial"/>
          <w:sz w:val="20"/>
          <w:szCs w:val="20"/>
          <w:color w:val="auto"/>
        </w:rPr>
        <w:t xml:space="preserve"> Claim (any, a “</w:t>
      </w:r>
      <w:r>
        <w:rPr>
          <w:rFonts w:ascii="Arial" w:cs="Arial" w:eastAsia="Arial" w:hAnsi="Arial"/>
          <w:sz w:val="20"/>
          <w:szCs w:val="20"/>
          <w:b w:val="1"/>
          <w:bCs w:val="1"/>
          <w:color w:val="auto"/>
        </w:rPr>
        <w:t>Claim</w:t>
      </w:r>
      <w:r>
        <w:rPr>
          <w:rFonts w:ascii="Arial" w:cs="Arial" w:eastAsia="Arial" w:hAnsi="Arial"/>
          <w:sz w:val="20"/>
          <w:szCs w:val="20"/>
          <w:color w:val="auto"/>
        </w:rPr>
        <w:t xml:space="preserve">”) in respect of which the Indemnitee intends to require such indemnification in accordance with Article 6;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failure to give such notice shall not relive the Indemnitor of its obligations hereunder except to the extent that such Indemnitor is materially prejudiced by such failure. The Indemnitor will have the sole right to defend, negotiate, and settle such claims. The Indemnitee will be entitled to participate in the defense of such matter and to employ counsel at its expense to assist in such defense;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Indemnitor will have final decision-making authority regarding all aspects of the defense of the claim. The Indemnitee will provide the Indemnitor with such information and assistance as the Indemnitor may reasonably request, at the expense of the Indemnitor. Neither party will be responsible nor bound by any settlement of any claim or suit made without its prior written consent;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Indemnitee will not unreasonably withhold or delay such consent. It is understood that only </w:t>
      </w:r>
      <w:r>
        <w:rPr>
          <w:rFonts w:ascii="Arial" w:cs="Arial" w:eastAsia="Arial" w:hAnsi="Arial"/>
          <w:sz w:val="20"/>
          <w:szCs w:val="20"/>
          <w:b w:val="1"/>
          <w:bCs w:val="1"/>
          <w:color w:val="auto"/>
        </w:rPr>
        <w:t>[***]</w:t>
      </w:r>
      <w:r>
        <w:rPr>
          <w:rFonts w:ascii="Arial" w:cs="Arial" w:eastAsia="Arial" w:hAnsi="Arial"/>
          <w:sz w:val="20"/>
          <w:szCs w:val="20"/>
          <w:color w:val="auto"/>
        </w:rPr>
        <w:t xml:space="preserve"> may claim indemnity under this Article 6 (on its own behalf or on behalf of an </w:t>
      </w:r>
      <w:r>
        <w:rPr>
          <w:rFonts w:ascii="Arial" w:cs="Arial" w:eastAsia="Arial" w:hAnsi="Arial"/>
          <w:sz w:val="20"/>
          <w:szCs w:val="20"/>
          <w:b w:val="1"/>
          <w:bCs w:val="1"/>
          <w:color w:val="auto"/>
        </w:rPr>
        <w:t>[***]</w:t>
      </w:r>
      <w:r>
        <w:rPr>
          <w:rFonts w:ascii="Arial" w:cs="Arial" w:eastAsia="Arial" w:hAnsi="Arial"/>
          <w:sz w:val="20"/>
          <w:szCs w:val="20"/>
          <w:color w:val="auto"/>
        </w:rPr>
        <w:t xml:space="preserve"> Indemnitee), and other </w:t>
      </w:r>
      <w:r>
        <w:rPr>
          <w:rFonts w:ascii="Arial" w:cs="Arial" w:eastAsia="Arial" w:hAnsi="Arial"/>
          <w:sz w:val="20"/>
          <w:szCs w:val="20"/>
          <w:b w:val="1"/>
          <w:bCs w:val="1"/>
          <w:color w:val="auto"/>
        </w:rPr>
        <w:t>[***]</w:t>
      </w:r>
      <w:r>
        <w:rPr>
          <w:rFonts w:ascii="Arial" w:cs="Arial" w:eastAsia="Arial" w:hAnsi="Arial"/>
          <w:sz w:val="20"/>
          <w:szCs w:val="20"/>
          <w:color w:val="auto"/>
        </w:rPr>
        <w:t xml:space="preserve"> Indemnitees may not directly claim indemnity hereunder. Likewise, it is understood that only </w:t>
      </w:r>
      <w:r>
        <w:rPr>
          <w:rFonts w:ascii="Arial" w:cs="Arial" w:eastAsia="Arial" w:hAnsi="Arial"/>
          <w:sz w:val="20"/>
          <w:szCs w:val="20"/>
          <w:b w:val="1"/>
          <w:bCs w:val="1"/>
          <w:color w:val="auto"/>
        </w:rPr>
        <w:t>[***]</w:t>
      </w:r>
      <w:r>
        <w:rPr>
          <w:rFonts w:ascii="Arial" w:cs="Arial" w:eastAsia="Arial" w:hAnsi="Arial"/>
          <w:sz w:val="20"/>
          <w:szCs w:val="20"/>
          <w:color w:val="auto"/>
        </w:rPr>
        <w:t xml:space="preserve"> may claim indemnity under this Article 6 (on its own behalf or on behalf of a </w:t>
      </w:r>
      <w:r>
        <w:rPr>
          <w:rFonts w:ascii="Arial" w:cs="Arial" w:eastAsia="Arial" w:hAnsi="Arial"/>
          <w:sz w:val="20"/>
          <w:szCs w:val="20"/>
          <w:b w:val="1"/>
          <w:bCs w:val="1"/>
          <w:color w:val="auto"/>
        </w:rPr>
        <w:t>[***]</w:t>
      </w:r>
      <w:r>
        <w:rPr>
          <w:rFonts w:ascii="Arial" w:cs="Arial" w:eastAsia="Arial" w:hAnsi="Arial"/>
          <w:sz w:val="20"/>
          <w:szCs w:val="20"/>
          <w:color w:val="auto"/>
        </w:rPr>
        <w:t xml:space="preserve"> Indemnitee), and other </w:t>
      </w:r>
      <w:r>
        <w:rPr>
          <w:rFonts w:ascii="Arial" w:cs="Arial" w:eastAsia="Arial" w:hAnsi="Arial"/>
          <w:sz w:val="20"/>
          <w:szCs w:val="20"/>
          <w:b w:val="1"/>
          <w:bCs w:val="1"/>
          <w:color w:val="auto"/>
        </w:rPr>
        <w:t>[***]</w:t>
      </w:r>
      <w:r>
        <w:rPr>
          <w:rFonts w:ascii="Arial" w:cs="Arial" w:eastAsia="Arial" w:hAnsi="Arial"/>
          <w:sz w:val="20"/>
          <w:szCs w:val="20"/>
          <w:color w:val="auto"/>
        </w:rPr>
        <w:t xml:space="preserve"> Indemnitees may not directly claim indemnity hereunder.</w:t>
      </w:r>
    </w:p>
    <w:p>
      <w:pPr>
        <w:spacing w:after="0" w:line="205" w:lineRule="exact"/>
        <w:rPr>
          <w:sz w:val="20"/>
          <w:szCs w:val="20"/>
          <w:color w:val="auto"/>
        </w:rPr>
      </w:pPr>
    </w:p>
    <w:p>
      <w:pPr>
        <w:jc w:val="both"/>
        <w:ind w:left="100" w:right="99" w:firstLine="606"/>
        <w:spacing w:after="0" w:line="270"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Mitigation of Loss; Reliance</w:t>
      </w:r>
      <w:r>
        <w:rPr>
          <w:rFonts w:ascii="Arial" w:cs="Arial" w:eastAsia="Arial" w:hAnsi="Arial"/>
          <w:sz w:val="18"/>
          <w:szCs w:val="18"/>
          <w:color w:val="auto"/>
        </w:rPr>
        <w:t>. Each Indemnitee will take, and will procure that its Affiliates take, all such reasonable steps and action as are necessary (or, as the Indemnitor may reasonably require, at the Indemnitor’s expense) in order to mitigate any Claims (or potential losses or damages) under this Article</w:t>
      </w:r>
    </w:p>
    <w:p>
      <w:pPr>
        <w:spacing w:after="0" w:line="2" w:lineRule="exact"/>
        <w:rPr>
          <w:sz w:val="20"/>
          <w:szCs w:val="20"/>
          <w:color w:val="auto"/>
        </w:rPr>
      </w:pPr>
    </w:p>
    <w:p>
      <w:pPr>
        <w:jc w:val="both"/>
        <w:ind w:left="100" w:right="99" w:hanging="6"/>
        <w:spacing w:after="0" w:line="242" w:lineRule="auto"/>
        <w:tabs>
          <w:tab w:leader="none" w:pos="354" w:val="left"/>
        </w:tabs>
        <w:numPr>
          <w:ilvl w:val="0"/>
          <w:numId w:val="17"/>
        </w:numPr>
        <w:rPr>
          <w:rFonts w:ascii="Arial" w:cs="Arial" w:eastAsia="Arial" w:hAnsi="Arial"/>
          <w:sz w:val="20"/>
          <w:szCs w:val="20"/>
          <w:color w:val="auto"/>
        </w:rPr>
      </w:pPr>
      <w:r>
        <w:rPr>
          <w:rFonts w:ascii="Arial" w:cs="Arial" w:eastAsia="Arial" w:hAnsi="Arial"/>
          <w:sz w:val="20"/>
          <w:szCs w:val="20"/>
          <w:color w:val="auto"/>
        </w:rPr>
        <w:t>Nothing in this Agreement shall or shall be deemed to relieve any Party of any common law or other duty to mitigate any losses incurred by it. The right of an Indemnitee to indemnification or to assert or recover on any Claim shall not be affected by any</w:t>
      </w:r>
    </w:p>
    <w:p>
      <w:pPr>
        <w:spacing w:after="0" w:line="180"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10</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87" w:name="page88"/>
    <w:bookmarkEnd w:id="87"/>
    <w:p>
      <w:pPr>
        <w:jc w:val="both"/>
        <w:ind w:left="100" w:right="99"/>
        <w:spacing w:after="0" w:line="242" w:lineRule="auto"/>
        <w:rPr>
          <w:sz w:val="20"/>
          <w:szCs w:val="20"/>
          <w:color w:val="auto"/>
        </w:rPr>
      </w:pPr>
      <w:r>
        <w:rPr>
          <w:rFonts w:ascii="Arial" w:cs="Arial" w:eastAsia="Arial" w:hAnsi="Arial"/>
          <w:sz w:val="20"/>
          <w:szCs w:val="20"/>
          <w:color w:val="auto"/>
        </w:rPr>
        <w:t>investigation conducted with respect to matters relating thereto, or any knowledge acquired or capable of being acquired, at any time, whether before or after the execution and delivery of this Agreement, including with respect to the accuracy of or compliance with any of the representations, warranties, covenants, or agreements set forth in this Agreement. The waiver of any condition based on the accuracy of any representation or warranty, or on the performance of or compliance with any covenant or agreement, shall not affect the right to indemnification or other remedy based on such representation, warranty, covenant or agreement.</w:t>
      </w:r>
    </w:p>
    <w:p>
      <w:pPr>
        <w:spacing w:after="0" w:line="200" w:lineRule="exact"/>
        <w:rPr>
          <w:sz w:val="20"/>
          <w:szCs w:val="20"/>
          <w:color w:val="auto"/>
        </w:rPr>
      </w:pPr>
    </w:p>
    <w:p>
      <w:pPr>
        <w:spacing w:after="0" w:line="224" w:lineRule="exact"/>
        <w:rPr>
          <w:sz w:val="20"/>
          <w:szCs w:val="20"/>
          <w:color w:val="auto"/>
        </w:rPr>
      </w:pPr>
    </w:p>
    <w:p>
      <w:pPr>
        <w:jc w:val="both"/>
        <w:ind w:left="100" w:right="99" w:firstLine="606"/>
        <w:spacing w:after="0" w:line="256"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Special, Indirect, and Other Losses</w:t>
      </w:r>
      <w:r>
        <w:rPr>
          <w:rFonts w:ascii="Arial" w:cs="Arial" w:eastAsia="Arial" w:hAnsi="Arial"/>
          <w:sz w:val="19"/>
          <w:szCs w:val="19"/>
          <w:color w:val="auto"/>
        </w:rPr>
        <w:t>. NEITHER PARTY NOR ANY OF ITS AFFILIATES SHALL BE LIABLE IN CONTRACT, TORT, NEGLIGENCE, BREACH OF STATUTORY DUTY, OR OTHERWISE FOR ANY SPECIAL, INDIRECT, INCIDENTAL, PUNITIVE, OR CONSEQUENTIAL DAMAGES OR FOR ANY LOSS OF PROFITS SUFFERED BY THE OTHER PARTY. NOTWITHSTANDING THE FOREGOING, NOTHING IN THIS SECTION 6.5 IS INTENDED TO OR SHALL LIMIT OR RESTRICT: (A) THE INDEMNIFICATION RIGHTS OR OBLIGATIONS OF ANY PARTY UNDER SECTION 6.1 OR SECTION 6.2, AS APPLICABLE; OR (B) ANY DAMAGES AVAILABLE FOR A PARTY’S BREACH OF ITS CONFIDENTIALITY OBLIGATIONS IN ARTICLE 4.</w:t>
      </w:r>
    </w:p>
    <w:p>
      <w:pPr>
        <w:spacing w:after="0" w:line="355"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ARTICLE 7</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TERM AND TERMINATION</w:t>
      </w:r>
    </w:p>
    <w:p>
      <w:pPr>
        <w:spacing w:after="0" w:line="207" w:lineRule="exact"/>
        <w:rPr>
          <w:sz w:val="20"/>
          <w:szCs w:val="20"/>
          <w:color w:val="auto"/>
        </w:rPr>
      </w:pPr>
    </w:p>
    <w:p>
      <w:pPr>
        <w:jc w:val="both"/>
        <w:ind w:left="100" w:right="99" w:firstLine="606"/>
        <w:spacing w:after="0" w:line="252"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Unless otherwise agreed in writing or terminated in accordance with this Article 7, the term of this Agreement shall commence on the Original Effective Date and shall continue in full force and effect until </w:t>
      </w:r>
      <w:r>
        <w:rPr>
          <w:rFonts w:ascii="Arial" w:cs="Arial" w:eastAsia="Arial" w:hAnsi="Arial"/>
          <w:sz w:val="20"/>
          <w:szCs w:val="20"/>
          <w:b w:val="1"/>
          <w:bCs w:val="1"/>
          <w:color w:val="auto"/>
        </w:rPr>
        <w:t>[***]</w:t>
      </w:r>
      <w:r>
        <w:rPr>
          <w:rFonts w:ascii="Arial" w:cs="Arial" w:eastAsia="Arial" w:hAnsi="Arial"/>
          <w:sz w:val="20"/>
          <w:szCs w:val="20"/>
          <w:color w:val="auto"/>
        </w:rPr>
        <w:t xml:space="preserve">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85" w:lineRule="exact"/>
        <w:rPr>
          <w:sz w:val="20"/>
          <w:szCs w:val="20"/>
          <w:color w:val="auto"/>
        </w:rPr>
      </w:pPr>
    </w:p>
    <w:p>
      <w:pPr>
        <w:jc w:val="both"/>
        <w:ind w:left="100" w:right="99" w:firstLine="606"/>
        <w:spacing w:after="0" w:line="252"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xml:space="preserve">. Subject to the requirements of this Section 7.2, either Party may terminate this Agreement in the event the other Party is in material breach of any material obligation hereunder. In the event of a material breach, the non-breaching Party shall give written notice to the breaching Party specifying the claimed particulars of such breach and, in the event such material breach is not cured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after the breaching Party’s receipt of such notice, the non-breaching Party shall have the right thereafter to terminate this Agreement immediately by giving written notice referencing this Section 7.2 to the breaching Party to such effect; provided, that if such breach is reasonably capable of being cured but cannot be cured within such </w:t>
      </w:r>
      <w:r>
        <w:rPr>
          <w:rFonts w:ascii="Arial" w:cs="Arial" w:eastAsia="Arial" w:hAnsi="Arial"/>
          <w:sz w:val="19"/>
          <w:szCs w:val="19"/>
          <w:b w:val="1"/>
          <w:bCs w:val="1"/>
          <w:color w:val="auto"/>
        </w:rPr>
        <w:t>[***]</w:t>
      </w:r>
      <w:r>
        <w:rPr>
          <w:rFonts w:ascii="Arial" w:cs="Arial" w:eastAsia="Arial" w:hAnsi="Arial"/>
          <w:sz w:val="19"/>
          <w:szCs w:val="19"/>
          <w:color w:val="auto"/>
        </w:rPr>
        <w:t xml:space="preserve"> period and the breaching Party initiates actions to cure such breach within such period and thereafter diligently pursues such actions, the breaching Party shall have such additional period as is reasonable in the circumstances to cure such breach. In the event that dispute resolution procedures have commenced in accordance with Section 8.2 with respect to any alleged breach hereunder, no purported termination of this Agreement pursuant to this Section 7.2 shall take effect until the resolution of such procedure. Any termination by any Party under this Section 7.2 and the effects of termination provided herein shall be without prejudice to any damages or other legal or equitable remedies to which it may be entitled.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8" w:name="page89"/>
    <w:bookmarkEnd w:id="88"/>
    <w:p>
      <w:pPr>
        <w:jc w:val="both"/>
        <w:ind w:left="100" w:right="99" w:firstLine="606"/>
        <w:spacing w:after="0" w:line="260"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Accrued Liability</w:t>
      </w:r>
      <w:r>
        <w:rPr>
          <w:rFonts w:ascii="Arial" w:cs="Arial" w:eastAsia="Arial" w:hAnsi="Arial"/>
          <w:sz w:val="19"/>
          <w:szCs w:val="19"/>
          <w:color w:val="auto"/>
        </w:rPr>
        <w:t>. Except as expressly set forth herein, termination or expiration of this Agreement for any reason shall not release either Party hereto from any liability which at the time of such termination or expiration has already accrued to the other Party prior to such time. Such termination or expiration will not relieve a Party from accrued payment obligations or from other obligations which are expressly indicated in this Agreement to survive termination or expiration of this Agreement.</w:t>
      </w:r>
    </w:p>
    <w:p>
      <w:pPr>
        <w:spacing w:after="0" w:line="181" w:lineRule="exact"/>
        <w:rPr>
          <w:sz w:val="20"/>
          <w:szCs w:val="20"/>
          <w:color w:val="auto"/>
        </w:rPr>
      </w:pPr>
    </w:p>
    <w:p>
      <w:pPr>
        <w:jc w:val="both"/>
        <w:ind w:left="100" w:right="99" w:firstLine="606"/>
        <w:spacing w:after="0" w:line="266"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Survival</w:t>
      </w:r>
      <w:r>
        <w:rPr>
          <w:rFonts w:ascii="Arial" w:cs="Arial" w:eastAsia="Arial" w:hAnsi="Arial"/>
          <w:sz w:val="20"/>
          <w:szCs w:val="20"/>
          <w:color w:val="auto"/>
        </w:rPr>
        <w:t>. The following provisions shall survive the expiration or termination of this Agreement for any reason: Article 1, Section 2.4, Article 4, Article 6, Section 7.5, and Article 8.</w:t>
      </w:r>
    </w:p>
    <w:p>
      <w:pPr>
        <w:spacing w:after="0" w:line="173" w:lineRule="exact"/>
        <w:rPr>
          <w:sz w:val="20"/>
          <w:szCs w:val="20"/>
          <w:color w:val="auto"/>
        </w:rPr>
      </w:pPr>
    </w:p>
    <w:p>
      <w:pPr>
        <w:jc w:val="both"/>
        <w:ind w:left="100" w:right="119" w:firstLine="606"/>
        <w:spacing w:after="0" w:line="271"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Termination Not Sole Remedy</w:t>
      </w:r>
      <w:r>
        <w:rPr>
          <w:rFonts w:ascii="Arial" w:cs="Arial" w:eastAsia="Arial" w:hAnsi="Arial"/>
          <w:sz w:val="19"/>
          <w:szCs w:val="19"/>
          <w:color w:val="auto"/>
        </w:rPr>
        <w:t>. Termination is not the sole remedy under this Agreement and, whether or not termination is effected and notwithstanding anything contained in this Agreement to the contrary, all other remedies will remain available except as agreed to otherwise herein.</w:t>
      </w:r>
    </w:p>
    <w:p>
      <w:pPr>
        <w:spacing w:after="0" w:line="343"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ARTICLE 8</w:t>
      </w:r>
    </w:p>
    <w:p>
      <w:pPr>
        <w:spacing w:after="0" w:line="19"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MISCELLANEOUS</w:t>
      </w:r>
    </w:p>
    <w:p>
      <w:pPr>
        <w:spacing w:after="0" w:line="207" w:lineRule="exact"/>
        <w:rPr>
          <w:sz w:val="20"/>
          <w:szCs w:val="20"/>
          <w:color w:val="auto"/>
        </w:rPr>
      </w:pPr>
    </w:p>
    <w:p>
      <w:pPr>
        <w:jc w:val="both"/>
        <w:ind w:left="100" w:right="99" w:firstLine="606"/>
        <w:spacing w:after="0" w:line="247"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dispute arising from the performance or breach hereof shall be governed by and construed and enforced in accordance with, the laws of the State of California, United States, without reference to conflicts of laws principles and without regard to the 1980 Convention on the International Sale of Goods.</w:t>
      </w:r>
    </w:p>
    <w:p>
      <w:pPr>
        <w:spacing w:after="0" w:line="190" w:lineRule="exact"/>
        <w:rPr>
          <w:sz w:val="20"/>
          <w:szCs w:val="20"/>
          <w:color w:val="auto"/>
        </w:rPr>
      </w:pPr>
    </w:p>
    <w:p>
      <w:pPr>
        <w:jc w:val="both"/>
        <w:ind w:left="100" w:right="99" w:firstLine="606"/>
        <w:spacing w:after="0" w:line="25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Dispute Resolution</w:t>
      </w:r>
      <w:r>
        <w:rPr>
          <w:rFonts w:ascii="Arial" w:cs="Arial" w:eastAsia="Arial" w:hAnsi="Arial"/>
          <w:sz w:val="19"/>
          <w:szCs w:val="19"/>
          <w:color w:val="auto"/>
        </w:rPr>
        <w:t>. It is the Parties' objective to establish procedures to facilitate the resolution of all disputes or controversies arising out of, in relation to, or in connection with this Agreement, or the validity, enforceability, construction, performance or breach hereof (each a “</w:t>
      </w:r>
      <w:r>
        <w:rPr>
          <w:rFonts w:ascii="Arial" w:cs="Arial" w:eastAsia="Arial" w:hAnsi="Arial"/>
          <w:sz w:val="19"/>
          <w:szCs w:val="19"/>
          <w:b w:val="1"/>
          <w:bCs w:val="1"/>
          <w:color w:val="auto"/>
        </w:rPr>
        <w:t>Dispute</w:t>
      </w:r>
      <w:r>
        <w:rPr>
          <w:rFonts w:ascii="Arial" w:cs="Arial" w:eastAsia="Arial" w:hAnsi="Arial"/>
          <w:sz w:val="19"/>
          <w:szCs w:val="19"/>
          <w:color w:val="auto"/>
        </w:rPr>
        <w:t>”), in an expedient manner by mutual cooperation and without resort to arbitration. Unless otherwise expressly provided in this Agreement, all Disputes will be subject to this Section 8.2. Either Party may initiate the dispute resolution procedure of this Section 8.2 by giving the other Party written notice of any Dispute in accordance with the terms of Section 8.6 (a “</w:t>
      </w:r>
      <w:r>
        <w:rPr>
          <w:rFonts w:ascii="Arial" w:cs="Arial" w:eastAsia="Arial" w:hAnsi="Arial"/>
          <w:sz w:val="19"/>
          <w:szCs w:val="19"/>
          <w:b w:val="1"/>
          <w:bCs w:val="1"/>
          <w:color w:val="auto"/>
        </w:rPr>
        <w:t>Notice of Dispute</w:t>
      </w:r>
      <w:r>
        <w:rPr>
          <w:rFonts w:ascii="Arial" w:cs="Arial" w:eastAsia="Arial" w:hAnsi="Arial"/>
          <w:sz w:val="19"/>
          <w:szCs w:val="19"/>
          <w:color w:val="auto"/>
        </w:rPr>
        <w:t>”).</w:t>
      </w:r>
    </w:p>
    <w:p>
      <w:pPr>
        <w:spacing w:after="0" w:line="182" w:lineRule="exact"/>
        <w:rPr>
          <w:sz w:val="20"/>
          <w:szCs w:val="20"/>
          <w:color w:val="auto"/>
        </w:rPr>
      </w:pPr>
    </w:p>
    <w:p>
      <w:pPr>
        <w:jc w:val="both"/>
        <w:ind w:left="100" w:right="99" w:firstLine="1213"/>
        <w:spacing w:after="0" w:line="256" w:lineRule="auto"/>
        <w:rPr>
          <w:sz w:val="20"/>
          <w:szCs w:val="20"/>
          <w:color w:val="auto"/>
        </w:rPr>
      </w:pPr>
      <w:r>
        <w:rPr>
          <w:rFonts w:ascii="Arial" w:cs="Arial" w:eastAsia="Arial" w:hAnsi="Arial"/>
          <w:sz w:val="19"/>
          <w:szCs w:val="19"/>
          <w:color w:val="auto"/>
        </w:rPr>
        <w:t xml:space="preserve">8.2.1 </w:t>
      </w:r>
      <w:r>
        <w:rPr>
          <w:rFonts w:ascii="Arial" w:cs="Arial" w:eastAsia="Arial" w:hAnsi="Arial"/>
          <w:sz w:val="19"/>
          <w:szCs w:val="19"/>
          <w:u w:val="single" w:color="auto"/>
          <w:color w:val="auto"/>
        </w:rPr>
        <w:t>Senior Executives</w:t>
      </w:r>
      <w:r>
        <w:rPr>
          <w:rFonts w:ascii="Arial" w:cs="Arial" w:eastAsia="Arial" w:hAnsi="Arial"/>
          <w:sz w:val="19"/>
          <w:szCs w:val="19"/>
          <w:color w:val="auto"/>
        </w:rPr>
        <w:t>. If the Parties are unable to resolve any Dispute between them, either Party may, by delivery of a Notice of Dispute to the other, have such Dispute referred to the Chief Executive Officers of the Parties for attempted resolution by good faith negotiations for a period of fifteen</w:t>
      </w:r>
    </w:p>
    <w:p>
      <w:pPr>
        <w:spacing w:after="0" w:line="1" w:lineRule="exact"/>
        <w:rPr>
          <w:sz w:val="20"/>
          <w:szCs w:val="20"/>
          <w:color w:val="auto"/>
        </w:rPr>
      </w:pPr>
    </w:p>
    <w:p>
      <w:pPr>
        <w:ind w:left="480" w:hanging="386"/>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Days after such Notice of Dispute is received. Unless otherwise mutually agreed, within five</w:t>
      </w:r>
    </w:p>
    <w:p>
      <w:pPr>
        <w:spacing w:after="0" w:line="20" w:lineRule="exact"/>
        <w:rPr>
          <w:rFonts w:ascii="Arial" w:cs="Arial" w:eastAsia="Arial" w:hAnsi="Arial"/>
          <w:sz w:val="18"/>
          <w:szCs w:val="18"/>
          <w:color w:val="auto"/>
        </w:rPr>
      </w:pPr>
    </w:p>
    <w:p>
      <w:pPr>
        <w:jc w:val="both"/>
        <w:ind w:left="100" w:right="99" w:hanging="6"/>
        <w:spacing w:after="0" w:line="239" w:lineRule="auto"/>
        <w:tabs>
          <w:tab w:leader="none" w:pos="386" w:val="left"/>
        </w:tabs>
        <w:numPr>
          <w:ilvl w:val="0"/>
          <w:numId w:val="19"/>
        </w:numPr>
        <w:rPr>
          <w:rFonts w:ascii="Arial" w:cs="Arial" w:eastAsia="Arial" w:hAnsi="Arial"/>
          <w:sz w:val="20"/>
          <w:szCs w:val="20"/>
          <w:color w:val="auto"/>
        </w:rPr>
      </w:pPr>
      <w:r>
        <w:rPr>
          <w:rFonts w:ascii="Arial" w:cs="Arial" w:eastAsia="Arial" w:hAnsi="Arial"/>
          <w:sz w:val="20"/>
          <w:szCs w:val="20"/>
          <w:color w:val="auto"/>
        </w:rPr>
        <w:t>Business Days of delivery of the Notice of Dispute, the Chief Executive Officers of the Parties shall meet in person, or by teleconference, at a mutually agreeable time and place, and thereafter as often as they reasonably deem necessary, to attempt in good faith to resolve the Dispute. If the Parties are unable to resolve such Dispute in accordance with the aforementioned procedure or within such fifteen (15) Business Day period (the last day of such time period, the “</w:t>
      </w:r>
      <w:r>
        <w:rPr>
          <w:rFonts w:ascii="Arial" w:cs="Arial" w:eastAsia="Arial" w:hAnsi="Arial"/>
          <w:sz w:val="20"/>
          <w:szCs w:val="20"/>
          <w:b w:val="1"/>
          <w:bCs w:val="1"/>
          <w:color w:val="auto"/>
        </w:rPr>
        <w:t>Escalation to Mediation Date</w:t>
      </w:r>
      <w:r>
        <w:rPr>
          <w:rFonts w:ascii="Arial" w:cs="Arial" w:eastAsia="Arial" w:hAnsi="Arial"/>
          <w:sz w:val="20"/>
          <w:szCs w:val="20"/>
          <w:color w:val="auto"/>
        </w:rPr>
        <w:t>”), either Party may initiate mediation under Section 8.2.2.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89" w:name="page90"/>
    <w:bookmarkEnd w:id="89"/>
    <w:p>
      <w:pPr>
        <w:jc w:val="both"/>
        <w:ind w:left="100" w:right="99" w:firstLine="1213"/>
        <w:spacing w:after="0" w:line="252" w:lineRule="auto"/>
        <w:rPr>
          <w:sz w:val="20"/>
          <w:szCs w:val="20"/>
          <w:color w:val="auto"/>
        </w:rPr>
      </w:pPr>
      <w:r>
        <w:rPr>
          <w:rFonts w:ascii="Arial" w:cs="Arial" w:eastAsia="Arial" w:hAnsi="Arial"/>
          <w:sz w:val="19"/>
          <w:szCs w:val="19"/>
          <w:color w:val="auto"/>
        </w:rPr>
        <w:t xml:space="preserve">8.2.2 </w:t>
      </w:r>
      <w:r>
        <w:rPr>
          <w:rFonts w:ascii="Arial" w:cs="Arial" w:eastAsia="Arial" w:hAnsi="Arial"/>
          <w:sz w:val="19"/>
          <w:szCs w:val="19"/>
          <w:u w:val="single" w:color="auto"/>
          <w:color w:val="auto"/>
        </w:rPr>
        <w:t>Mediation</w:t>
      </w:r>
      <w:r>
        <w:rPr>
          <w:rFonts w:ascii="Arial" w:cs="Arial" w:eastAsia="Arial" w:hAnsi="Arial"/>
          <w:sz w:val="19"/>
          <w:szCs w:val="19"/>
          <w:color w:val="auto"/>
        </w:rPr>
        <w:t>. Subject to Section 8.2.1, the Parties may, at any time after the Escalation to Mediation Date, submit the Dispute at issue to any mutually agreed upon mediation service for mediation by providing to the mediation service a joint, written request for mediation, setting forth the subject of the Dispute and the relief requested. The Parties shall cooperate with one another in selecting a mediation service, and shall cooperate with the mediation service and with one another in selecting a neutral mediator and in scheduling the mediation proceedings. The Parties acknowledge and agree that they will attempt in good faith to select a mediator with experience relevant to the Dispute (including, for example, that the mediator need not be a retired judge or lawyer, but could, as applicable, be someone with relevant business, industry or professional experience). The Parties covenant that they will use commercially reasonable efforts toward engagement in the mediation. The Parties agree that the mediator’s fees and expenses and the costs incidental to the mediation will be shared equally between the Parties. The Parties further agree that all offers, promises, conduct, and statements, whether oral or written, made in the course of the discussions of the Chief Executive Officers of the Parties pursuant to Section 8.2.1 or of the mediation by any of the Parties, their agents, employees, experts, and attorneys, and by the mediator and any employees of the mediation service, are confidential, privileged, and inadmissible for any purpose, including impeachment, in any litigation, arbitration or other proceeding involving the Parties, provided that evidence that is otherwise admissible or discoverable shall not be rendered inadmissible or non-discoverable as a result of its use in the mediation.</w:t>
      </w:r>
    </w:p>
    <w:p>
      <w:pPr>
        <w:spacing w:after="0" w:line="192" w:lineRule="exact"/>
        <w:rPr>
          <w:sz w:val="20"/>
          <w:szCs w:val="20"/>
          <w:color w:val="auto"/>
        </w:rPr>
      </w:pPr>
    </w:p>
    <w:p>
      <w:pPr>
        <w:jc w:val="both"/>
        <w:ind w:left="100" w:right="99" w:firstLine="1213"/>
        <w:spacing w:after="0" w:line="266"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Arbitration</w:t>
      </w:r>
      <w:r>
        <w:rPr>
          <w:rFonts w:ascii="Arial" w:cs="Arial" w:eastAsia="Arial" w:hAnsi="Arial"/>
          <w:sz w:val="18"/>
          <w:szCs w:val="18"/>
          <w:color w:val="auto"/>
        </w:rPr>
        <w:t>. If the Parties cannot resolve any Dispute for any reason, including the failure of either Party to agree to enter into mediation or agree to any settlement proposed by the mediator, within twenty (20) Business Days after the Escalation to Mediation Date, either Party may commence binding arbitration in accordance with this Section 8.2.3. Subject to Section 8.2.1 and Section 8.2.2, Invitae and PacBio agree that any Dispute shall be settled by binding arbitration administered by the American Arbitration Association in San Francisco, California (or virtually as the Parties agree), under the then-current Commercial or other Arbitration Rules by a single arbitrator agreeable to both Parties. If the Parties cannot agree on an arbitrator within five (5) Business Days after the commencement of the arbitration, each Party shall select an arbitrator who is not (and has not been within the past ten (10) years) employed by or a consultant to either Party or any of its Affiliates, and the two (2) selected arbitrators shall select a third (3</w:t>
      </w:r>
      <w:r>
        <w:rPr>
          <w:rFonts w:ascii="Arial" w:cs="Arial" w:eastAsia="Arial" w:hAnsi="Arial"/>
          <w:sz w:val="9"/>
          <w:szCs w:val="9"/>
          <w:color w:val="auto"/>
        </w:rPr>
        <w:t>rd</w:t>
      </w:r>
      <w:r>
        <w:rPr>
          <w:rFonts w:ascii="Arial" w:cs="Arial" w:eastAsia="Arial" w:hAnsi="Arial"/>
          <w:sz w:val="18"/>
          <w:szCs w:val="18"/>
          <w:color w:val="auto"/>
        </w:rPr>
        <w:t xml:space="preserve">) arbitrator who is not (and has not been within the past ten (10) years) employed by or a consultant to either Party or any of its Affiliates. Any arbitrator(s) chosen hereunder shall have reasonable educational training and industry experience relevant to the particular Dispute (including, for example, that an arbitrator need not be a retired judge or lawyer, but could, as applicable, be someone with relevant business, industry or professional experience). The arbitrator(s) shall determine what discovery will be permitted, based on the principle of limiting the cost and time which the Parties must expend on discovery; </w:t>
      </w:r>
      <w:r>
        <w:rPr>
          <w:rFonts w:ascii="Arial" w:cs="Arial" w:eastAsia="Arial" w:hAnsi="Arial"/>
          <w:sz w:val="18"/>
          <w:szCs w:val="18"/>
          <w:u w:val="single" w:color="auto"/>
          <w:color w:val="auto"/>
        </w:rPr>
        <w:t>provided</w:t>
      </w:r>
      <w:r>
        <w:rPr>
          <w:rFonts w:ascii="Arial" w:cs="Arial" w:eastAsia="Arial" w:hAnsi="Arial"/>
          <w:sz w:val="18"/>
          <w:szCs w:val="18"/>
          <w:color w:val="auto"/>
        </w:rPr>
        <w:t>, the arbitrator(s) shall permit such discovery as deemed necessary to achieve an equitable resolution of the Dispute. The decision and/or award rendered by the arbitrator(s) shall be written, final and non-appealable and may be entered in any court of competent jurisdiction. The Parties agree that, any provision of applicable law notwithstanding, they will not request, and the arbitrator shall have no authority to award, punitive or exemplary damages against any Party (except to the extent of any Party’s liability to a Third Party for such damages). The costs of any arbitration, including administrative</w:t>
      </w:r>
    </w:p>
    <w:p>
      <w:pPr>
        <w:spacing w:after="0" w:line="168"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13</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90" w:name="page91"/>
    <w:bookmarkEnd w:id="90"/>
    <w:p>
      <w:pPr>
        <w:jc w:val="both"/>
        <w:ind w:left="100" w:right="99"/>
        <w:spacing w:after="0" w:line="253" w:lineRule="auto"/>
        <w:rPr>
          <w:sz w:val="20"/>
          <w:szCs w:val="20"/>
          <w:color w:val="auto"/>
        </w:rPr>
      </w:pPr>
      <w:r>
        <w:rPr>
          <w:rFonts w:ascii="Arial" w:cs="Arial" w:eastAsia="Arial" w:hAnsi="Arial"/>
          <w:sz w:val="19"/>
          <w:szCs w:val="19"/>
          <w:color w:val="auto"/>
        </w:rPr>
        <w:t xml:space="preserve">fees and fees of the arbitrator(s), shall be borne by the losing Party, if identified, and otherwise shared equally between the Parties. Additionally, the losing Party, if identified, shall reimburse the other Party for its costs and expenses incurred in connection with the arbitration (including attorneys’ and expert fees and expenses). The arbitral proceedings and all pleadings shall be the Confidential Information of both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the foregoing shall not change either Party’s rights or obligations with respect to any information that was the Confidential Information of a Party prior to its introduction into the arbitration. Any decision by the arbitrator(s) shall not be interpreted as an admission against interest of any Party and shall not be admissible as evidence in any subsequent court action with a Third Party. </w:t>
      </w:r>
      <w:r>
        <w:rPr>
          <w:rFonts w:ascii="Arial" w:cs="Arial" w:eastAsia="Arial" w:hAnsi="Arial"/>
          <w:sz w:val="19"/>
          <w:szCs w:val="19"/>
          <w:color w:val="252525"/>
        </w:rPr>
        <w:t>Notwithstanding any</w:t>
      </w:r>
      <w:r>
        <w:rPr>
          <w:rFonts w:ascii="Arial" w:cs="Arial" w:eastAsia="Arial" w:hAnsi="Arial"/>
          <w:sz w:val="19"/>
          <w:szCs w:val="19"/>
          <w:color w:val="auto"/>
        </w:rPr>
        <w:t xml:space="preserve"> </w:t>
      </w:r>
      <w:r>
        <w:rPr>
          <w:rFonts w:ascii="Arial" w:cs="Arial" w:eastAsia="Arial" w:hAnsi="Arial"/>
          <w:sz w:val="19"/>
          <w:szCs w:val="19"/>
          <w:color w:val="252525"/>
        </w:rPr>
        <w:t>provision of this Section 8.2 to the contrary, either Party may initiate and engage in court proceedings in a court of competent jurisdiction at any time: (a) for breach of the other Party’s confidentiality obligations; (b) to enforce any arbitration award between the Parties; or (c) for claims for equitable relief (including any preliminary injunction or temporary restraining order).</w:t>
      </w:r>
    </w:p>
    <w:p>
      <w:pPr>
        <w:spacing w:after="0" w:line="193" w:lineRule="exact"/>
        <w:rPr>
          <w:sz w:val="20"/>
          <w:szCs w:val="20"/>
          <w:color w:val="auto"/>
        </w:rPr>
      </w:pPr>
    </w:p>
    <w:p>
      <w:pPr>
        <w:jc w:val="both"/>
        <w:ind w:left="100" w:right="99" w:firstLine="606"/>
        <w:spacing w:after="0" w:line="254"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Force Majeure</w:t>
      </w:r>
      <w:r>
        <w:rPr>
          <w:rFonts w:ascii="Arial" w:cs="Arial" w:eastAsia="Arial" w:hAnsi="Arial"/>
          <w:sz w:val="19"/>
          <w:szCs w:val="19"/>
          <w:color w:val="auto"/>
        </w:rPr>
        <w:t>. In the event that either Party is prevented from performing its obligations under this Agreement as a result of any contingency beyond its reasonable control (“</w:t>
      </w:r>
      <w:r>
        <w:rPr>
          <w:rFonts w:ascii="Arial" w:cs="Arial" w:eastAsia="Arial" w:hAnsi="Arial"/>
          <w:sz w:val="19"/>
          <w:szCs w:val="19"/>
          <w:b w:val="1"/>
          <w:bCs w:val="1"/>
          <w:color w:val="auto"/>
        </w:rPr>
        <w:t>Force Majeure</w:t>
      </w:r>
      <w:r>
        <w:rPr>
          <w:rFonts w:ascii="Arial" w:cs="Arial" w:eastAsia="Arial" w:hAnsi="Arial"/>
          <w:sz w:val="19"/>
          <w:szCs w:val="19"/>
          <w:color w:val="auto"/>
        </w:rPr>
        <w:t>”), including any actions of governmental authorities or agencies, war, hostilities between nations, civil commotions, riots, national industry strikes, lockouts, sabotage, shortages in supplies, energy shortages, epidemics, pandemics, fire, floods, and acts of nature such as typhoons, hurricanes, earthquakes, or tsunamis, the Party so affected shall not be responsible to the other Party for any delay or failure of performance of its obligations hereunder for so long as Force Majeure prevents such performance. In the event of Force Majeure, the Party immediately affected thereby shall give prompt written notice to the other Party specifying the Force Majeure complained of, and shall use commercially reasonable efforts to resume performance of its obligations as promptly as possible.</w:t>
      </w:r>
    </w:p>
    <w:p>
      <w:pPr>
        <w:spacing w:after="0" w:line="190" w:lineRule="exact"/>
        <w:rPr>
          <w:sz w:val="20"/>
          <w:szCs w:val="20"/>
          <w:color w:val="auto"/>
        </w:rPr>
      </w:pPr>
    </w:p>
    <w:p>
      <w:pPr>
        <w:jc w:val="both"/>
        <w:ind w:left="100" w:right="99" w:firstLine="606"/>
        <w:spacing w:after="0" w:line="244"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No Implied Obligations</w:t>
      </w:r>
      <w:r>
        <w:rPr>
          <w:rFonts w:ascii="Arial" w:cs="Arial" w:eastAsia="Arial" w:hAnsi="Arial"/>
          <w:sz w:val="20"/>
          <w:szCs w:val="20"/>
          <w:color w:val="auto"/>
        </w:rPr>
        <w:t>. Nothing in this Agreement shall be deemed to create any implied obligations of either Party. No failure on the part of PacBio or Invitae to exercise and no delay in exercising any right under this Agreement, or provided by statute or at law or in equity or otherwise, shall impair, prejudice or constitute a waiver of any such right, nor shall any partial exercise of any such right preclude any other or further exercise thereof or the exercise of any other right.</w:t>
      </w:r>
    </w:p>
    <w:p>
      <w:pPr>
        <w:spacing w:after="0" w:line="196" w:lineRule="exact"/>
        <w:rPr>
          <w:sz w:val="20"/>
          <w:szCs w:val="20"/>
          <w:color w:val="auto"/>
        </w:rPr>
      </w:pPr>
    </w:p>
    <w:p>
      <w:pPr>
        <w:jc w:val="both"/>
        <w:ind w:left="100" w:right="99" w:firstLine="606"/>
        <w:spacing w:after="0" w:line="241"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Independent Contractors</w:t>
      </w:r>
      <w:r>
        <w:rPr>
          <w:rFonts w:ascii="Arial" w:cs="Arial" w:eastAsia="Arial" w:hAnsi="Arial"/>
          <w:sz w:val="20"/>
          <w:szCs w:val="20"/>
          <w:color w:val="auto"/>
        </w:rPr>
        <w:t>. The relationship between the Parties is that of independent contractors. Nothing contained in this Agreement shall be construed as creating any agency, partnership, joint venture, or other form of joint enterprise, employment, or fiduciary relationship between the Parties, and neither party shall have authority to contract for or bind the other Party in any manner whatsoever. PacBio is responsible for, and will withhold and/or pay, any and all applicable federal, state or local taxes, payroll taxes, workers’ compensation contributions, unemployment insurance contributions, or other payroll deductions from the compensation of employees and other personnel of PacBio or its Affiliates or designees and no such employees or other personnel will be entitled to any benefits applicable to or available to employees of Invitae.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91" w:name="page92"/>
    <w:bookmarkEnd w:id="91"/>
    <w:p>
      <w:pPr>
        <w:jc w:val="both"/>
        <w:ind w:left="100" w:right="99" w:firstLine="606"/>
        <w:spacing w:after="0" w:line="283"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hereunder shall be in writing and shall be (i) personally delivered or (ii) sent by registered or certified mail, return receipt requested, postage prepaid, (iii) overnight courier service or (iv) or emailed, receipt confirmed, in each case to the respective address specified below, or such other address as may be specified in writing to the other Party:</w:t>
      </w:r>
    </w:p>
    <w:p>
      <w:pPr>
        <w:sectPr>
          <w:pgSz w:w="11900" w:h="16838" w:orient="portrait"/>
          <w:cols w:equalWidth="0" w:num="1">
            <w:col w:w="9019"/>
          </w:cols>
          <w:pgMar w:left="1440" w:top="346" w:right="1440" w:bottom="1440" w:gutter="0" w:footer="0" w:header="0"/>
        </w:sectPr>
      </w:pP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Invitae: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Invitae Corporation.</w:t>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1400 16</w:t>
      </w:r>
      <w:r>
        <w:rPr>
          <w:rFonts w:ascii="Arial" w:cs="Arial" w:eastAsia="Arial" w:hAnsi="Arial"/>
          <w:sz w:val="10"/>
          <w:szCs w:val="10"/>
          <w:color w:val="auto"/>
        </w:rPr>
        <w:t>th</w:t>
      </w:r>
      <w:r>
        <w:rPr>
          <w:rFonts w:ascii="Arial" w:cs="Arial" w:eastAsia="Arial" w:hAnsi="Arial"/>
          <w:sz w:val="20"/>
          <w:szCs w:val="20"/>
          <w:color w:val="auto"/>
        </w:rPr>
        <w:t xml:space="preserve"> Street</w:t>
      </w:r>
    </w:p>
    <w:p>
      <w:pPr>
        <w:spacing w:after="0" w:line="237" w:lineRule="auto"/>
        <w:rPr>
          <w:sz w:val="20"/>
          <w:szCs w:val="20"/>
          <w:color w:val="auto"/>
        </w:rPr>
      </w:pPr>
      <w:r>
        <w:rPr>
          <w:rFonts w:ascii="Arial" w:cs="Arial" w:eastAsia="Arial" w:hAnsi="Arial"/>
          <w:sz w:val="20"/>
          <w:szCs w:val="20"/>
          <w:color w:val="auto"/>
        </w:rPr>
        <w:t>San Francisco, CA 94103</w:t>
      </w:r>
    </w:p>
    <w:p>
      <w:pPr>
        <w:ind w:left="260"/>
        <w:spacing w:after="0" w:line="237" w:lineRule="auto"/>
        <w:rPr>
          <w:sz w:val="20"/>
          <w:szCs w:val="20"/>
          <w:color w:val="auto"/>
        </w:rPr>
      </w:pPr>
      <w:r>
        <w:rPr>
          <w:rFonts w:ascii="Arial" w:cs="Arial" w:eastAsia="Arial" w:hAnsi="Arial"/>
          <w:sz w:val="20"/>
          <w:szCs w:val="20"/>
          <w:color w:val="auto"/>
        </w:rPr>
        <w:t>Attn: General Counsel</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b w:val="1"/>
          <w:bCs w:val="1"/>
          <w:color w:val="auto"/>
        </w:rPr>
        <w:t>[***]</w:t>
      </w:r>
    </w:p>
    <w:p>
      <w:pPr>
        <w:spacing w:after="0" w:line="200" w:lineRule="exact"/>
        <w:rPr>
          <w:sz w:val="20"/>
          <w:szCs w:val="20"/>
          <w:color w:val="auto"/>
        </w:rPr>
      </w:pPr>
    </w:p>
    <w:p>
      <w:pPr>
        <w:sectPr>
          <w:pgSz w:w="11900" w:h="16838" w:orient="portrait"/>
          <w:cols w:equalWidth="0" w:num="2">
            <w:col w:w="1920" w:space="660"/>
            <w:col w:w="6439"/>
          </w:cols>
          <w:pgMar w:left="1440" w:top="346" w:right="1440"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PacBio:</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Arial" w:cs="Arial" w:eastAsia="Arial" w:hAnsi="Arial"/>
          <w:sz w:val="18"/>
          <w:szCs w:val="18"/>
          <w:color w:val="auto"/>
        </w:rPr>
        <w:t>Pacific Biosciences of California, Inc.</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1305 O’Brien Drive</w:t>
      </w:r>
    </w:p>
    <w:p>
      <w:pPr>
        <w:spacing w:after="0" w:line="237" w:lineRule="auto"/>
        <w:rPr>
          <w:sz w:val="20"/>
          <w:szCs w:val="20"/>
          <w:color w:val="auto"/>
        </w:rPr>
      </w:pPr>
      <w:r>
        <w:rPr>
          <w:rFonts w:ascii="Arial" w:cs="Arial" w:eastAsia="Arial" w:hAnsi="Arial"/>
          <w:sz w:val="20"/>
          <w:szCs w:val="20"/>
          <w:color w:val="auto"/>
        </w:rPr>
        <w:t>Menlo Park, CA 94025</w:t>
      </w:r>
    </w:p>
    <w:p>
      <w:pPr>
        <w:ind w:left="100"/>
        <w:spacing w:after="0"/>
        <w:rPr>
          <w:sz w:val="20"/>
          <w:szCs w:val="20"/>
          <w:color w:val="auto"/>
        </w:rPr>
      </w:pPr>
      <w:r>
        <w:rPr>
          <w:rFonts w:ascii="Arial" w:cs="Arial" w:eastAsia="Arial" w:hAnsi="Arial"/>
          <w:sz w:val="20"/>
          <w:szCs w:val="20"/>
          <w:color w:val="auto"/>
        </w:rPr>
        <w:t>Attn: General Counsel</w:t>
      </w:r>
    </w:p>
    <w:p>
      <w:pPr>
        <w:spacing w:after="0" w:line="200" w:lineRule="exact"/>
        <w:rPr>
          <w:sz w:val="20"/>
          <w:szCs w:val="20"/>
          <w:color w:val="auto"/>
        </w:rPr>
      </w:pPr>
    </w:p>
    <w:p>
      <w:pPr>
        <w:sectPr>
          <w:pgSz w:w="11900" w:h="16838" w:orient="portrait"/>
          <w:cols w:equalWidth="0" w:num="2">
            <w:col w:w="2020" w:space="720"/>
            <w:col w:w="6279"/>
          </w:cols>
          <w:pgMar w:left="1440" w:top="346" w:right="1440"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ectPr>
          <w:pgSz w:w="11900" w:h="16838" w:orient="portrait"/>
          <w:cols w:equalWidth="0" w:num="2">
            <w:col w:w="3780" w:space="720"/>
            <w:col w:w="4519"/>
          </w:cols>
          <w:pgMar w:left="1440" w:top="346" w:right="1440" w:bottom="1440" w:gutter="0" w:footer="0" w:header="0"/>
          <w:type w:val="continuous"/>
        </w:sectPr>
      </w:pPr>
    </w:p>
    <w:p>
      <w:pPr>
        <w:spacing w:after="0" w:line="29" w:lineRule="exact"/>
        <w:rPr>
          <w:sz w:val="20"/>
          <w:szCs w:val="20"/>
          <w:color w:val="auto"/>
        </w:rPr>
      </w:pPr>
    </w:p>
    <w:p>
      <w:pPr>
        <w:jc w:val="both"/>
        <w:ind w:left="100" w:right="99" w:firstLine="606"/>
        <w:spacing w:after="0" w:line="270"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this Agreement or any of its rights or obligations hereunder without the other Party’s prior written consent; provided that each Party may assign without the other Party’s consent (a) its rights or obligations under this Agreement to one (1) or more of its Affiliates or</w:t>
      </w:r>
    </w:p>
    <w:p>
      <w:pPr>
        <w:spacing w:after="0" w:line="2" w:lineRule="exact"/>
        <w:rPr>
          <w:sz w:val="20"/>
          <w:szCs w:val="20"/>
          <w:color w:val="auto"/>
        </w:rPr>
      </w:pPr>
    </w:p>
    <w:p>
      <w:pPr>
        <w:jc w:val="both"/>
        <w:ind w:left="100" w:right="99" w:hanging="6"/>
        <w:spacing w:after="0" w:line="253" w:lineRule="auto"/>
        <w:tabs>
          <w:tab w:leader="none" w:pos="401"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this Agreement in its entirety to a successor to all or substantially all of the business or assets of such Party to which this Agreement relates whether by merger, acquisition (or stock or assets) or otherwise, provided that (x) any such successor (whether clause (a) or (b)) agrees in writing to be bound by the terms and conditions of this Agreement. Any permitted assignee will assume all obligations of its assignor under this Agreement. Any assignment shall not relieve the assignor of any of its obligations under this Agreement. Any attempted assignment in contravention of the foregoing will be null and void. Subject to the foregoing and the other terms of this Agreement, this Agreement will be binding upon and inure to the benefit of the Parties and their respective successors and permitted assigns.</w:t>
      </w:r>
    </w:p>
    <w:p>
      <w:pPr>
        <w:spacing w:after="0" w:line="186" w:lineRule="exact"/>
        <w:rPr>
          <w:sz w:val="20"/>
          <w:szCs w:val="20"/>
          <w:color w:val="auto"/>
        </w:rPr>
      </w:pPr>
    </w:p>
    <w:p>
      <w:pPr>
        <w:jc w:val="both"/>
        <w:ind w:left="100" w:right="99" w:firstLine="606"/>
        <w:spacing w:after="0" w:line="247"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Modification</w:t>
      </w:r>
      <w:r>
        <w:rPr>
          <w:rFonts w:ascii="Arial" w:cs="Arial" w:eastAsia="Arial" w:hAnsi="Arial"/>
          <w:sz w:val="20"/>
          <w:szCs w:val="20"/>
          <w:color w:val="auto"/>
        </w:rPr>
        <w:t>. No amendment or modification of any provision of this Agreement shall be effective unless in writing signed by both Parties. No provision of this Agreement shall be varied, contradicted or explained by any oral agreement, course of dealing or performance or any other matter not set forth in writing and signed by both Parties.</w:t>
      </w:r>
    </w:p>
    <w:p>
      <w:pPr>
        <w:spacing w:after="0" w:line="190" w:lineRule="exact"/>
        <w:rPr>
          <w:sz w:val="20"/>
          <w:szCs w:val="20"/>
          <w:color w:val="auto"/>
        </w:rPr>
      </w:pPr>
    </w:p>
    <w:p>
      <w:pPr>
        <w:jc w:val="both"/>
        <w:ind w:left="100" w:right="99" w:firstLine="606"/>
        <w:spacing w:after="0" w:line="258"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hereof should be held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hereto as nearly as may be possible. Such invalidity, illegality or unenforceability shall not affect the validity, legality or enforceability of such provision in any other jurisdiction.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type w:val="continuous"/>
        </w:sectPr>
      </w:pPr>
    </w:p>
    <w:bookmarkStart w:id="92" w:name="page93"/>
    <w:bookmarkEnd w:id="92"/>
    <w:p>
      <w:pPr>
        <w:jc w:val="both"/>
        <w:ind w:left="100" w:right="99" w:firstLine="606"/>
        <w:spacing w:after="0" w:line="247"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Exhibits hereto constitute the entire agreement, both written or oral, with respect to the subject matter hereof, and supersede all prior or contemporaneous understandings or agreements, whether written or oral, between PacBio and Invitae with respect to the subject matter hereof.</w:t>
      </w:r>
    </w:p>
    <w:p>
      <w:pPr>
        <w:spacing w:after="0" w:line="190" w:lineRule="exact"/>
        <w:rPr>
          <w:sz w:val="20"/>
          <w:szCs w:val="20"/>
          <w:color w:val="auto"/>
        </w:rPr>
      </w:pPr>
    </w:p>
    <w:p>
      <w:pPr>
        <w:jc w:val="both"/>
        <w:ind w:left="100" w:right="119" w:firstLine="606"/>
        <w:spacing w:after="0" w:line="323"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 two counterparts, each of which shall be deemed an original, and all of which together, shall constitute one and the same instrument.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1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A&amp;R Development and Commercialization Agmt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344805</wp:posOffset>
            </wp:positionV>
            <wp:extent cx="5641975" cy="49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93" w:name="page94"/>
    <w:bookmarkEnd w:id="93"/>
    <w:p>
      <w:pPr>
        <w:ind w:left="100" w:right="99" w:firstLine="606"/>
        <w:spacing w:after="0" w:line="266" w:lineRule="auto"/>
        <w:rPr>
          <w:sz w:val="20"/>
          <w:szCs w:val="20"/>
          <w:color w:val="auto"/>
        </w:rPr>
      </w:pPr>
      <w:r>
        <w:rPr>
          <w:rFonts w:ascii="Arial" w:cs="Arial" w:eastAsia="Arial" w:hAnsi="Arial"/>
          <w:sz w:val="20"/>
          <w:szCs w:val="20"/>
          <w:color w:val="auto"/>
        </w:rPr>
        <w:t>IN WITNESS WHEREOF, each Party has caused this Agreement to be duly executed and delivered in duplicate originals as of the Effective Date.</w:t>
      </w:r>
    </w:p>
    <w:p>
      <w:pPr>
        <w:spacing w:after="0" w:line="3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780" w:type="dxa"/>
            <w:vAlign w:val="bottom"/>
            <w:gridSpan w:val="3"/>
          </w:tcPr>
          <w:p>
            <w:pPr>
              <w:spacing w:after="0"/>
              <w:rPr>
                <w:sz w:val="20"/>
                <w:szCs w:val="20"/>
                <w:color w:val="auto"/>
              </w:rPr>
            </w:pPr>
            <w:r>
              <w:rPr>
                <w:rFonts w:ascii="Arial" w:cs="Arial" w:eastAsia="Arial" w:hAnsi="Arial"/>
                <w:sz w:val="20"/>
                <w:szCs w:val="20"/>
                <w:color w:val="auto"/>
              </w:rPr>
              <w:t>PACIFIC BIOSCIENCES OF</w:t>
            </w:r>
          </w:p>
        </w:tc>
        <w:tc>
          <w:tcPr>
            <w:tcW w:w="6060" w:type="dxa"/>
            <w:vAlign w:val="bottom"/>
            <w:gridSpan w:val="3"/>
          </w:tcPr>
          <w:p>
            <w:pPr>
              <w:ind w:left="1860"/>
              <w:spacing w:after="0"/>
              <w:rPr>
                <w:sz w:val="20"/>
                <w:szCs w:val="20"/>
                <w:color w:val="auto"/>
              </w:rPr>
            </w:pPr>
            <w:r>
              <w:rPr>
                <w:rFonts w:ascii="Arial" w:cs="Arial" w:eastAsia="Arial" w:hAnsi="Arial"/>
                <w:sz w:val="20"/>
                <w:szCs w:val="20"/>
                <w:color w:val="auto"/>
              </w:rPr>
              <w:t>INVITAE CORPORATION</w:t>
            </w:r>
          </w:p>
        </w:tc>
      </w:tr>
      <w:tr>
        <w:trPr>
          <w:trHeight w:val="258"/>
        </w:trPr>
        <w:tc>
          <w:tcPr>
            <w:tcW w:w="2780" w:type="dxa"/>
            <w:vAlign w:val="bottom"/>
            <w:gridSpan w:val="3"/>
          </w:tcPr>
          <w:p>
            <w:pPr>
              <w:spacing w:after="0"/>
              <w:rPr>
                <w:sz w:val="20"/>
                <w:szCs w:val="20"/>
                <w:color w:val="auto"/>
              </w:rPr>
            </w:pPr>
            <w:r>
              <w:rPr>
                <w:rFonts w:ascii="Arial" w:cs="Arial" w:eastAsia="Arial" w:hAnsi="Arial"/>
                <w:sz w:val="20"/>
                <w:szCs w:val="20"/>
                <w:color w:val="auto"/>
              </w:rPr>
              <w:t>CALIFORNIA, INC.</w:t>
            </w:r>
          </w:p>
        </w:tc>
        <w:tc>
          <w:tcPr>
            <w:tcW w:w="3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584"/>
        </w:trPr>
        <w:tc>
          <w:tcPr>
            <w:tcW w:w="2780" w:type="dxa"/>
            <w:vAlign w:val="bottom"/>
            <w:gridSpan w:val="3"/>
          </w:tcPr>
          <w:p>
            <w:pPr>
              <w:spacing w:after="0"/>
              <w:rPr>
                <w:sz w:val="20"/>
                <w:szCs w:val="20"/>
                <w:color w:val="auto"/>
              </w:rPr>
            </w:pPr>
            <w:r>
              <w:rPr>
                <w:rFonts w:ascii="Arial" w:cs="Arial" w:eastAsia="Arial" w:hAnsi="Arial"/>
                <w:sz w:val="20"/>
                <w:szCs w:val="20"/>
                <w:color w:val="auto"/>
              </w:rPr>
              <w:t>By:  /s/ Mark Van Oene</w:t>
            </w:r>
          </w:p>
        </w:tc>
        <w:tc>
          <w:tcPr>
            <w:tcW w:w="6060" w:type="dxa"/>
            <w:vAlign w:val="bottom"/>
            <w:gridSpan w:val="3"/>
          </w:tcPr>
          <w:p>
            <w:pPr>
              <w:ind w:left="3000"/>
              <w:spacing w:after="0"/>
              <w:rPr>
                <w:sz w:val="20"/>
                <w:szCs w:val="20"/>
                <w:color w:val="auto"/>
              </w:rPr>
            </w:pPr>
            <w:r>
              <w:rPr>
                <w:rFonts w:ascii="Arial" w:cs="Arial" w:eastAsia="Arial" w:hAnsi="Arial"/>
                <w:sz w:val="20"/>
                <w:szCs w:val="20"/>
                <w:color w:val="auto"/>
              </w:rPr>
              <w:t>By: /s/ Sean George</w:t>
            </w:r>
          </w:p>
        </w:tc>
      </w:tr>
      <w:tr>
        <w:trPr>
          <w:trHeight w:val="20"/>
        </w:trPr>
        <w:tc>
          <w:tcPr>
            <w:tcW w:w="4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4"/>
        </w:trPr>
        <w:tc>
          <w:tcPr>
            <w:tcW w:w="2780" w:type="dxa"/>
            <w:vAlign w:val="bottom"/>
            <w:gridSpan w:val="3"/>
          </w:tcPr>
          <w:p>
            <w:pPr>
              <w:spacing w:after="0" w:line="224" w:lineRule="exact"/>
              <w:rPr>
                <w:sz w:val="20"/>
                <w:szCs w:val="20"/>
                <w:color w:val="auto"/>
              </w:rPr>
            </w:pPr>
            <w:r>
              <w:rPr>
                <w:rFonts w:ascii="Arial" w:cs="Arial" w:eastAsia="Arial" w:hAnsi="Arial"/>
                <w:sz w:val="20"/>
                <w:szCs w:val="20"/>
                <w:color w:val="auto"/>
              </w:rPr>
              <w:t>Name: Mark Van Oene</w:t>
            </w:r>
          </w:p>
        </w:tc>
        <w:tc>
          <w:tcPr>
            <w:tcW w:w="6060" w:type="dxa"/>
            <w:vAlign w:val="bottom"/>
            <w:gridSpan w:val="3"/>
          </w:tcPr>
          <w:p>
            <w:pPr>
              <w:ind w:left="360"/>
              <w:spacing w:after="0" w:line="224" w:lineRule="exact"/>
              <w:rPr>
                <w:sz w:val="20"/>
                <w:szCs w:val="20"/>
                <w:color w:val="auto"/>
              </w:rPr>
            </w:pPr>
            <w:r>
              <w:rPr>
                <w:rFonts w:ascii="Arial" w:cs="Arial" w:eastAsia="Arial" w:hAnsi="Arial"/>
                <w:sz w:val="20"/>
                <w:szCs w:val="20"/>
                <w:color w:val="auto"/>
              </w:rPr>
              <w:t>Name: Sean George</w:t>
            </w:r>
          </w:p>
        </w:tc>
      </w:tr>
      <w:tr>
        <w:trPr>
          <w:trHeight w:val="227"/>
        </w:trPr>
        <w:tc>
          <w:tcPr>
            <w:tcW w:w="2780" w:type="dxa"/>
            <w:vAlign w:val="bottom"/>
            <w:gridSpan w:val="3"/>
          </w:tcPr>
          <w:p>
            <w:pPr>
              <w:spacing w:after="0" w:line="228" w:lineRule="exact"/>
              <w:rPr>
                <w:sz w:val="20"/>
                <w:szCs w:val="20"/>
                <w:color w:val="auto"/>
              </w:rPr>
            </w:pPr>
            <w:r>
              <w:rPr>
                <w:rFonts w:ascii="Arial" w:cs="Arial" w:eastAsia="Arial" w:hAnsi="Arial"/>
                <w:sz w:val="20"/>
                <w:szCs w:val="20"/>
                <w:color w:val="auto"/>
              </w:rPr>
              <w:t>Title: Chief Operating Officer</w:t>
            </w:r>
          </w:p>
        </w:tc>
        <w:tc>
          <w:tcPr>
            <w:tcW w:w="3300" w:type="dxa"/>
            <w:vAlign w:val="bottom"/>
          </w:tcPr>
          <w:p>
            <w:pPr>
              <w:spacing w:after="0"/>
              <w:rPr>
                <w:sz w:val="19"/>
                <w:szCs w:val="19"/>
                <w:color w:val="auto"/>
              </w:rPr>
            </w:pPr>
          </w:p>
        </w:tc>
        <w:tc>
          <w:tcPr>
            <w:tcW w:w="2760" w:type="dxa"/>
            <w:vAlign w:val="bottom"/>
            <w:gridSpan w:val="2"/>
          </w:tcPr>
          <w:p>
            <w:pPr>
              <w:ind w:left="320"/>
              <w:spacing w:after="0" w:line="228" w:lineRule="exact"/>
              <w:rPr>
                <w:sz w:val="20"/>
                <w:szCs w:val="20"/>
                <w:color w:val="auto"/>
              </w:rPr>
            </w:pPr>
            <w:r>
              <w:rPr>
                <w:rFonts w:ascii="Arial" w:cs="Arial" w:eastAsia="Arial" w:hAnsi="Arial"/>
                <w:sz w:val="20"/>
                <w:szCs w:val="20"/>
                <w:color w:val="auto"/>
              </w:rPr>
              <w:t>Title: Chief Executive</w:t>
            </w:r>
          </w:p>
        </w:tc>
      </w:tr>
      <w:tr>
        <w:trPr>
          <w:trHeight w:val="258"/>
        </w:trPr>
        <w:tc>
          <w:tcPr>
            <w:tcW w:w="2780" w:type="dxa"/>
            <w:vAlign w:val="bottom"/>
            <w:gridSpan w:val="3"/>
          </w:tcPr>
          <w:p>
            <w:pPr>
              <w:spacing w:after="0"/>
              <w:rPr>
                <w:sz w:val="20"/>
                <w:szCs w:val="20"/>
                <w:color w:val="auto"/>
              </w:rPr>
            </w:pPr>
            <w:r>
              <w:rPr>
                <w:rFonts w:ascii="Arial" w:cs="Arial" w:eastAsia="Arial" w:hAnsi="Arial"/>
                <w:sz w:val="20"/>
                <w:szCs w:val="20"/>
                <w:color w:val="auto"/>
              </w:rPr>
              <w:t>Officer</w:t>
            </w:r>
          </w:p>
        </w:tc>
        <w:tc>
          <w:tcPr>
            <w:tcW w:w="3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837"/>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00" w:type="dxa"/>
            <w:vAlign w:val="bottom"/>
          </w:tcPr>
          <w:p>
            <w:pPr>
              <w:jc w:val="right"/>
              <w:ind w:right="1506"/>
              <w:spacing w:after="0"/>
              <w:rPr>
                <w:sz w:val="20"/>
                <w:szCs w:val="20"/>
                <w:color w:val="auto"/>
              </w:rPr>
            </w:pPr>
            <w:r>
              <w:rPr>
                <w:rFonts w:ascii="Arial" w:cs="Arial" w:eastAsia="Arial" w:hAnsi="Arial"/>
                <w:sz w:val="17"/>
                <w:szCs w:val="17"/>
                <w:color w:val="auto"/>
              </w:rPr>
              <w:t>17</w:t>
            </w: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4"/>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60" w:type="dxa"/>
            <w:vAlign w:val="bottom"/>
            <w:gridSpan w:val="3"/>
          </w:tcPr>
          <w:p>
            <w:pPr>
              <w:ind w:left="2680"/>
              <w:spacing w:after="0"/>
              <w:rPr>
                <w:sz w:val="20"/>
                <w:szCs w:val="20"/>
                <w:color w:val="auto"/>
              </w:rPr>
            </w:pPr>
            <w:r>
              <w:rPr>
                <w:rFonts w:ascii="Arial" w:cs="Arial" w:eastAsia="Arial" w:hAnsi="Arial"/>
                <w:sz w:val="17"/>
                <w:szCs w:val="17"/>
                <w:color w:val="auto"/>
                <w:w w:val="92"/>
              </w:rPr>
              <w:t>A&amp;R Development and Commercialization Agmt</w:t>
            </w:r>
          </w:p>
        </w:tc>
      </w:tr>
      <w:tr>
        <w:trPr>
          <w:trHeight w:val="557"/>
        </w:trPr>
        <w:tc>
          <w:tcPr>
            <w:tcW w:w="4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r>
        <w:trPr>
          <w:trHeight w:val="20"/>
        </w:trPr>
        <w:tc>
          <w:tcPr>
            <w:tcW w:w="46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-36195</wp:posOffset>
            </wp:positionV>
            <wp:extent cx="33655" cy="49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33655" cy="49530"/>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-36195</wp:posOffset>
            </wp:positionV>
            <wp:extent cx="33655"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33655" cy="4953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94" w:name="page95"/>
    <w:bookmarkEnd w:id="94"/>
    <w:p>
      <w:pPr>
        <w:jc w:val="right"/>
        <w:ind w:right="99"/>
        <w:spacing w:after="0"/>
        <w:rPr>
          <w:sz w:val="20"/>
          <w:szCs w:val="20"/>
          <w:color w:val="auto"/>
        </w:rPr>
      </w:pPr>
      <w:r>
        <w:rPr>
          <w:rFonts w:ascii="Arial" w:cs="Arial" w:eastAsia="Arial" w:hAnsi="Arial"/>
          <w:sz w:val="20"/>
          <w:szCs w:val="20"/>
          <w:b w:val="1"/>
          <w:bCs w:val="1"/>
          <w:color w:val="auto"/>
        </w:rPr>
        <w:t>Exhibit 31.1</w:t>
      </w:r>
    </w:p>
    <w:p>
      <w:pPr>
        <w:spacing w:after="0" w:line="133" w:lineRule="exact"/>
        <w:rPr>
          <w:sz w:val="20"/>
          <w:szCs w:val="20"/>
          <w:color w:val="auto"/>
        </w:rPr>
      </w:pPr>
    </w:p>
    <w:p>
      <w:pPr>
        <w:jc w:val="center"/>
        <w:ind w:left="100" w:right="99"/>
        <w:spacing w:after="0" w:line="223" w:lineRule="auto"/>
        <w:rPr>
          <w:sz w:val="20"/>
          <w:szCs w:val="20"/>
          <w:color w:val="auto"/>
        </w:rPr>
      </w:pPr>
      <w:r>
        <w:rPr>
          <w:rFonts w:ascii="Arial" w:cs="Arial" w:eastAsia="Arial" w:hAnsi="Arial"/>
          <w:sz w:val="17"/>
          <w:szCs w:val="17"/>
          <w:b w:val="1"/>
          <w:bCs w:val="1"/>
          <w:color w:val="auto"/>
        </w:rPr>
        <w:t>CERTIFICATION OF CHIEF EXECUTIVE OFFICER PURSUANT TO SECURITIES EXCHANGE ACT RULES 13a-15(e), AS ADOPTED PURSUANT TO SECTION 302 OF THE SARBANES-OXLEY ACT OF 2002</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Christian Henry, certify that:</w:t>
      </w:r>
    </w:p>
    <w:p>
      <w:pPr>
        <w:spacing w:after="0" w:line="45" w:lineRule="exact"/>
        <w:rPr>
          <w:sz w:val="20"/>
          <w:szCs w:val="20"/>
          <w:color w:val="auto"/>
        </w:rPr>
      </w:pPr>
    </w:p>
    <w:p>
      <w:pPr>
        <w:ind w:left="680" w:hanging="173"/>
        <w:spacing w:after="0"/>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Pacific Biosciences of California, Inc.;</w:t>
      </w:r>
    </w:p>
    <w:p>
      <w:pPr>
        <w:spacing w:after="0" w:line="120" w:lineRule="exact"/>
        <w:rPr>
          <w:rFonts w:ascii="Arial" w:cs="Arial" w:eastAsia="Arial" w:hAnsi="Arial"/>
          <w:sz w:val="17"/>
          <w:szCs w:val="17"/>
          <w:color w:val="auto"/>
        </w:rPr>
      </w:pPr>
    </w:p>
    <w:p>
      <w:pPr>
        <w:ind w:left="100" w:right="159" w:firstLine="407"/>
        <w:spacing w:after="0" w:line="222" w:lineRule="auto"/>
        <w:tabs>
          <w:tab w:leader="none" w:pos="68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7"/>
          <w:szCs w:val="17"/>
          <w:color w:val="auto"/>
        </w:rPr>
      </w:pPr>
    </w:p>
    <w:p>
      <w:pPr>
        <w:ind w:left="100" w:right="159" w:firstLine="407"/>
        <w:spacing w:after="0" w:line="222" w:lineRule="auto"/>
        <w:tabs>
          <w:tab w:leader="none" w:pos="68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7"/>
          <w:szCs w:val="17"/>
          <w:color w:val="auto"/>
        </w:rPr>
      </w:pPr>
    </w:p>
    <w:p>
      <w:pPr>
        <w:ind w:left="100" w:right="119" w:firstLine="407"/>
        <w:spacing w:after="0" w:line="222" w:lineRule="auto"/>
        <w:tabs>
          <w:tab w:leader="none" w:pos="67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 w:lineRule="exact"/>
        <w:rPr>
          <w:sz w:val="20"/>
          <w:szCs w:val="20"/>
          <w:color w:val="auto"/>
        </w:rPr>
      </w:pPr>
    </w:p>
    <w:p>
      <w:pPr>
        <w:ind w:left="100" w:right="119" w:firstLine="407"/>
        <w:spacing w:after="0" w:line="257" w:lineRule="auto"/>
        <w:tabs>
          <w:tab w:leader="none" w:pos="685"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5"/>
          <w:szCs w:val="15"/>
          <w:color w:val="auto"/>
        </w:rPr>
      </w:pPr>
    </w:p>
    <w:p>
      <w:pPr>
        <w:ind w:left="100" w:right="139" w:firstLine="407"/>
        <w:spacing w:after="0" w:line="235"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00" w:right="379" w:firstLine="407"/>
        <w:spacing w:after="0" w:line="222" w:lineRule="auto"/>
        <w:tabs>
          <w:tab w:leader="none" w:pos="685"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7"/>
          <w:szCs w:val="17"/>
          <w:color w:val="auto"/>
        </w:rPr>
      </w:pPr>
    </w:p>
    <w:p>
      <w:pPr>
        <w:ind w:left="100" w:right="379" w:firstLine="407"/>
        <w:spacing w:after="0" w:line="257" w:lineRule="auto"/>
        <w:tabs>
          <w:tab w:leader="none" w:pos="695" w:val="left"/>
        </w:tabs>
        <w:numPr>
          <w:ilvl w:val="0"/>
          <w:numId w:val="2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sz w:val="20"/>
          <w:szCs w:val="20"/>
          <w:color w:val="auto"/>
        </w:rPr>
      </w:pPr>
    </w:p>
    <w:p>
      <w:pPr>
        <w:ind w:left="100" w:right="359" w:firstLine="407"/>
        <w:spacing w:after="0" w:line="222" w:lineRule="auto"/>
        <w:tabs>
          <w:tab w:leader="none" w:pos="67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sz w:val="20"/>
          <w:szCs w:val="20"/>
          <w:color w:val="auto"/>
        </w:rPr>
      </w:pPr>
    </w:p>
    <w:p>
      <w:pPr>
        <w:ind w:left="100" w:right="179" w:firstLine="407"/>
        <w:spacing w:after="0" w:line="222" w:lineRule="auto"/>
        <w:tabs>
          <w:tab w:leader="none" w:pos="67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7"/>
          <w:szCs w:val="17"/>
          <w:color w:val="auto"/>
        </w:rPr>
      </w:pPr>
    </w:p>
    <w:p>
      <w:pPr>
        <w:ind w:left="100" w:right="519" w:firstLine="407"/>
        <w:spacing w:after="0" w:line="232" w:lineRule="auto"/>
        <w:tabs>
          <w:tab w:leader="none" w:pos="68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August 5, 2022</w:t>
      </w:r>
    </w:p>
    <w:p>
      <w:pPr>
        <w:spacing w:after="0" w:line="200" w:lineRule="exact"/>
        <w:rPr>
          <w:sz w:val="20"/>
          <w:szCs w:val="20"/>
          <w:color w:val="auto"/>
        </w:rPr>
      </w:pPr>
    </w:p>
    <w:p>
      <w:pPr>
        <w:spacing w:after="0" w:line="224" w:lineRule="exact"/>
        <w:rPr>
          <w:sz w:val="20"/>
          <w:szCs w:val="20"/>
          <w:color w:val="auto"/>
        </w:rPr>
      </w:pPr>
    </w:p>
    <w:p>
      <w:pPr>
        <w:ind w:left="5220"/>
        <w:spacing w:after="0"/>
        <w:tabs>
          <w:tab w:leader="none" w:pos="6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20320</wp:posOffset>
            </wp:positionV>
            <wp:extent cx="2158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2158365" cy="8255"/>
                    </a:xfrm>
                    <a:prstGeom prst="rect">
                      <a:avLst/>
                    </a:prstGeom>
                    <a:noFill/>
                  </pic:spPr>
                </pic:pic>
              </a:graphicData>
            </a:graphic>
          </wp:anchor>
        </w:drawing>
      </w:r>
    </w:p>
    <w:p>
      <w:pPr>
        <w:spacing w:after="0" w:line="7" w:lineRule="exact"/>
        <w:rPr>
          <w:sz w:val="20"/>
          <w:szCs w:val="20"/>
          <w:color w:val="auto"/>
        </w:rPr>
      </w:pPr>
    </w:p>
    <w:p>
      <w:pPr>
        <w:jc w:val="center"/>
        <w:ind w:left="5400"/>
        <w:spacing w:after="0"/>
        <w:rPr>
          <w:sz w:val="20"/>
          <w:szCs w:val="20"/>
          <w:color w:val="auto"/>
        </w:rPr>
      </w:pPr>
      <w:r>
        <w:rPr>
          <w:rFonts w:ascii="Arial" w:cs="Arial" w:eastAsia="Arial" w:hAnsi="Arial"/>
          <w:sz w:val="17"/>
          <w:szCs w:val="17"/>
          <w:color w:val="auto"/>
        </w:rPr>
        <w:t>Christian O. Henry</w:t>
      </w:r>
    </w:p>
    <w:p>
      <w:pPr>
        <w:jc w:val="center"/>
        <w:ind w:left="5400"/>
        <w:spacing w:after="0" w:line="201" w:lineRule="auto"/>
        <w:rPr>
          <w:sz w:val="20"/>
          <w:szCs w:val="20"/>
          <w:color w:val="auto"/>
        </w:rPr>
      </w:pPr>
      <w:r>
        <w:rPr>
          <w:rFonts w:ascii="Arial" w:cs="Arial" w:eastAsia="Arial" w:hAnsi="Arial"/>
          <w:sz w:val="17"/>
          <w:szCs w:val="17"/>
          <w:color w:val="auto"/>
        </w:rPr>
        <w:t>Chief Executive Officer and President</w:t>
      </w:r>
    </w:p>
    <w:p>
      <w:pPr>
        <w:spacing w:after="0" w:line="1" w:lineRule="exact"/>
        <w:rPr>
          <w:sz w:val="20"/>
          <w:szCs w:val="20"/>
          <w:color w:val="auto"/>
        </w:rPr>
      </w:pPr>
    </w:p>
    <w:p>
      <w:pPr>
        <w:jc w:val="center"/>
        <w:ind w:left="540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-24765</wp:posOffset>
            </wp:positionV>
            <wp:extent cx="5641975"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95" w:name="page96"/>
    <w:bookmarkEnd w:id="95"/>
    <w:p>
      <w:pPr>
        <w:jc w:val="right"/>
        <w:ind w:right="99"/>
        <w:spacing w:after="0"/>
        <w:rPr>
          <w:sz w:val="20"/>
          <w:szCs w:val="20"/>
          <w:color w:val="auto"/>
        </w:rPr>
      </w:pPr>
      <w:r>
        <w:rPr>
          <w:rFonts w:ascii="Arial" w:cs="Arial" w:eastAsia="Arial" w:hAnsi="Arial"/>
          <w:sz w:val="20"/>
          <w:szCs w:val="20"/>
          <w:b w:val="1"/>
          <w:bCs w:val="1"/>
          <w:color w:val="auto"/>
        </w:rPr>
        <w:t>Exhibit 31.2</w:t>
      </w:r>
    </w:p>
    <w:p>
      <w:pPr>
        <w:spacing w:after="0" w:line="133" w:lineRule="exact"/>
        <w:rPr>
          <w:sz w:val="20"/>
          <w:szCs w:val="20"/>
          <w:color w:val="auto"/>
        </w:rPr>
      </w:pPr>
    </w:p>
    <w:p>
      <w:pPr>
        <w:jc w:val="center"/>
        <w:ind w:left="100" w:right="99"/>
        <w:spacing w:after="0" w:line="223" w:lineRule="auto"/>
        <w:rPr>
          <w:sz w:val="20"/>
          <w:szCs w:val="20"/>
          <w:color w:val="auto"/>
        </w:rPr>
      </w:pPr>
      <w:r>
        <w:rPr>
          <w:rFonts w:ascii="Arial" w:cs="Arial" w:eastAsia="Arial" w:hAnsi="Arial"/>
          <w:sz w:val="17"/>
          <w:szCs w:val="17"/>
          <w:b w:val="1"/>
          <w:bCs w:val="1"/>
          <w:color w:val="auto"/>
        </w:rPr>
        <w:t>CERTIFICATION OF CHIEF FINANCIAL OFFICER PURSUANT TO SECURITIES EXCHANGE ACT RULES 13a-15(e), AS ADOPTED PURSUANT TO SECTION 302 OF THE SARBANES-OXLEY ACT OF 2002</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Susan Kim, certify that:</w:t>
      </w:r>
    </w:p>
    <w:p>
      <w:pPr>
        <w:spacing w:after="0" w:line="45" w:lineRule="exact"/>
        <w:rPr>
          <w:sz w:val="20"/>
          <w:szCs w:val="20"/>
          <w:color w:val="auto"/>
        </w:rPr>
      </w:pPr>
    </w:p>
    <w:p>
      <w:pPr>
        <w:ind w:left="680" w:hanging="173"/>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Pacific Biosciences of California, Inc.;</w:t>
      </w:r>
    </w:p>
    <w:p>
      <w:pPr>
        <w:spacing w:after="0" w:line="120" w:lineRule="exact"/>
        <w:rPr>
          <w:rFonts w:ascii="Arial" w:cs="Arial" w:eastAsia="Arial" w:hAnsi="Arial"/>
          <w:sz w:val="17"/>
          <w:szCs w:val="17"/>
          <w:color w:val="auto"/>
        </w:rPr>
      </w:pPr>
    </w:p>
    <w:p>
      <w:pPr>
        <w:ind w:left="100" w:right="159" w:firstLine="407"/>
        <w:spacing w:after="0" w:line="222" w:lineRule="auto"/>
        <w:tabs>
          <w:tab w:leader="none" w:pos="68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7"/>
          <w:szCs w:val="17"/>
          <w:color w:val="auto"/>
        </w:rPr>
      </w:pPr>
    </w:p>
    <w:p>
      <w:pPr>
        <w:ind w:left="100" w:right="159" w:firstLine="407"/>
        <w:spacing w:after="0" w:line="222" w:lineRule="auto"/>
        <w:tabs>
          <w:tab w:leader="none" w:pos="68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7"/>
          <w:szCs w:val="17"/>
          <w:color w:val="auto"/>
        </w:rPr>
      </w:pPr>
    </w:p>
    <w:p>
      <w:pPr>
        <w:ind w:left="100" w:right="119" w:firstLine="407"/>
        <w:spacing w:after="0" w:line="222" w:lineRule="auto"/>
        <w:tabs>
          <w:tab w:leader="none" w:pos="67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 w:lineRule="exact"/>
        <w:rPr>
          <w:sz w:val="20"/>
          <w:szCs w:val="20"/>
          <w:color w:val="auto"/>
        </w:rPr>
      </w:pPr>
    </w:p>
    <w:p>
      <w:pPr>
        <w:ind w:left="100" w:right="119" w:firstLine="407"/>
        <w:spacing w:after="0" w:line="257" w:lineRule="auto"/>
        <w:tabs>
          <w:tab w:leader="none" w:pos="685"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5"/>
          <w:szCs w:val="15"/>
          <w:color w:val="auto"/>
        </w:rPr>
      </w:pPr>
    </w:p>
    <w:p>
      <w:pPr>
        <w:ind w:left="100" w:right="139" w:firstLine="407"/>
        <w:spacing w:after="0" w:line="235"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00" w:right="379" w:firstLine="407"/>
        <w:spacing w:after="0" w:line="222" w:lineRule="auto"/>
        <w:tabs>
          <w:tab w:leader="none" w:pos="6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7"/>
          <w:szCs w:val="17"/>
          <w:color w:val="auto"/>
        </w:rPr>
      </w:pPr>
    </w:p>
    <w:p>
      <w:pPr>
        <w:ind w:left="100" w:right="379" w:firstLine="407"/>
        <w:spacing w:after="0" w:line="257" w:lineRule="auto"/>
        <w:tabs>
          <w:tab w:leader="none" w:pos="695" w:val="left"/>
        </w:tabs>
        <w:numPr>
          <w:ilvl w:val="0"/>
          <w:numId w:val="2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sz w:val="20"/>
          <w:szCs w:val="20"/>
          <w:color w:val="auto"/>
        </w:rPr>
      </w:pPr>
    </w:p>
    <w:p>
      <w:pPr>
        <w:ind w:left="100" w:right="359" w:firstLine="407"/>
        <w:spacing w:after="0" w:line="222" w:lineRule="auto"/>
        <w:tabs>
          <w:tab w:leader="none" w:pos="6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sz w:val="20"/>
          <w:szCs w:val="20"/>
          <w:color w:val="auto"/>
        </w:rPr>
      </w:pPr>
    </w:p>
    <w:p>
      <w:pPr>
        <w:ind w:left="100" w:right="179" w:firstLine="407"/>
        <w:spacing w:after="0" w:line="222" w:lineRule="auto"/>
        <w:tabs>
          <w:tab w:leader="none" w:pos="6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7"/>
          <w:szCs w:val="17"/>
          <w:color w:val="auto"/>
        </w:rPr>
      </w:pPr>
    </w:p>
    <w:p>
      <w:pPr>
        <w:ind w:left="100" w:right="519" w:firstLine="407"/>
        <w:spacing w:after="0" w:line="232" w:lineRule="auto"/>
        <w:tabs>
          <w:tab w:leader="none" w:pos="68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August 5, 2022</w:t>
      </w:r>
    </w:p>
    <w:p>
      <w:pPr>
        <w:spacing w:after="0" w:line="200" w:lineRule="exact"/>
        <w:rPr>
          <w:sz w:val="20"/>
          <w:szCs w:val="20"/>
          <w:color w:val="auto"/>
        </w:rPr>
      </w:pPr>
    </w:p>
    <w:p>
      <w:pPr>
        <w:spacing w:after="0" w:line="224" w:lineRule="exact"/>
        <w:rPr>
          <w:sz w:val="20"/>
          <w:szCs w:val="20"/>
          <w:color w:val="auto"/>
        </w:rPr>
      </w:pPr>
    </w:p>
    <w:p>
      <w:pPr>
        <w:ind w:left="5220"/>
        <w:spacing w:after="0"/>
        <w:tabs>
          <w:tab w:leader="none" w:pos="66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20320</wp:posOffset>
            </wp:positionV>
            <wp:extent cx="21583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215836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Susan G. Kim</w:t>
      </w:r>
    </w:p>
    <w:p>
      <w:pPr>
        <w:ind w:left="6400"/>
        <w:spacing w:after="0" w:line="201"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-24765</wp:posOffset>
            </wp:positionV>
            <wp:extent cx="5641975" cy="49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96" w:name="page97"/>
    <w:bookmarkEnd w:id="96"/>
    <w:p>
      <w:pPr>
        <w:jc w:val="right"/>
        <w:ind w:right="99"/>
        <w:spacing w:after="0"/>
        <w:rPr>
          <w:sz w:val="20"/>
          <w:szCs w:val="20"/>
          <w:color w:val="auto"/>
        </w:rPr>
      </w:pPr>
      <w:r>
        <w:rPr>
          <w:rFonts w:ascii="Arial" w:cs="Arial" w:eastAsia="Arial" w:hAnsi="Arial"/>
          <w:sz w:val="20"/>
          <w:szCs w:val="20"/>
          <w:b w:val="1"/>
          <w:bCs w:val="1"/>
          <w:color w:val="auto"/>
        </w:rPr>
        <w:t>Exhibit 32.1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Furnished Pursuant to 18 U.S.C. Section 1350,</w:t>
      </w:r>
    </w:p>
    <w:p>
      <w:pPr>
        <w:jc w:val="center"/>
        <w:spacing w:after="0" w:line="201" w:lineRule="auto"/>
        <w:rPr>
          <w:sz w:val="20"/>
          <w:szCs w:val="20"/>
          <w:color w:val="auto"/>
        </w:rPr>
      </w:pPr>
      <w:r>
        <w:rPr>
          <w:rFonts w:ascii="Arial" w:cs="Arial" w:eastAsia="Arial" w:hAnsi="Arial"/>
          <w:sz w:val="17"/>
          <w:szCs w:val="17"/>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6" w:lineRule="exact"/>
        <w:rPr>
          <w:sz w:val="20"/>
          <w:szCs w:val="20"/>
          <w:color w:val="auto"/>
        </w:rPr>
      </w:pPr>
    </w:p>
    <w:p>
      <w:pPr>
        <w:ind w:left="100" w:right="259"/>
        <w:spacing w:after="0" w:line="230" w:lineRule="auto"/>
        <w:rPr>
          <w:sz w:val="20"/>
          <w:szCs w:val="20"/>
          <w:color w:val="auto"/>
        </w:rPr>
      </w:pPr>
      <w:r>
        <w:rPr>
          <w:rFonts w:ascii="Arial" w:cs="Arial" w:eastAsia="Arial" w:hAnsi="Arial"/>
          <w:sz w:val="16"/>
          <w:szCs w:val="16"/>
          <w:color w:val="auto"/>
        </w:rPr>
        <w:t>In connection with the Quarterly Report of Pacific Biosciences of California, Inc. (the “Company”) on Form 10-Q for the period ended June 30, 2022,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103" w:lineRule="exact"/>
        <w:rPr>
          <w:sz w:val="20"/>
          <w:szCs w:val="20"/>
          <w:color w:val="auto"/>
        </w:rPr>
      </w:pPr>
    </w:p>
    <w:p>
      <w:pPr>
        <w:ind w:left="700" w:right="339" w:hanging="303"/>
        <w:spacing w:after="0" w:line="232"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June 30, 2022 (the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700" w:right="499" w:hanging="303"/>
        <w:spacing w:after="0" w:line="232"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68" w:lineRule="exact"/>
        <w:rPr>
          <w:sz w:val="20"/>
          <w:szCs w:val="20"/>
          <w:color w:val="auto"/>
        </w:rPr>
      </w:pPr>
    </w:p>
    <w:p>
      <w:pPr>
        <w:ind w:left="100"/>
        <w:spacing w:after="0"/>
        <w:tabs>
          <w:tab w:leader="none" w:pos="5980" w:val="left"/>
        </w:tabs>
        <w:rPr>
          <w:sz w:val="20"/>
          <w:szCs w:val="20"/>
          <w:color w:val="auto"/>
        </w:rPr>
      </w:pPr>
      <w:r>
        <w:rPr>
          <w:rFonts w:ascii="Arial" w:cs="Arial" w:eastAsia="Arial" w:hAnsi="Arial"/>
          <w:sz w:val="17"/>
          <w:szCs w:val="17"/>
          <w:color w:val="auto"/>
        </w:rPr>
        <w:t>Date: August 5, 2022</w:t>
      </w:r>
      <w:r>
        <w:rPr>
          <w:sz w:val="20"/>
          <w:szCs w:val="20"/>
          <w:color w:val="auto"/>
        </w:rPr>
        <w:tab/>
      </w:r>
      <w:r>
        <w:rPr>
          <w:rFonts w:ascii="Arial" w:cs="Arial" w:eastAsia="Arial" w:hAnsi="Arial"/>
          <w:sz w:val="15"/>
          <w:szCs w:val="15"/>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12065</wp:posOffset>
            </wp:positionV>
            <wp:extent cx="27520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2752090" cy="8255"/>
                    </a:xfrm>
                    <a:prstGeom prst="rect">
                      <a:avLst/>
                    </a:prstGeom>
                    <a:noFill/>
                  </pic:spPr>
                </pic:pic>
              </a:graphicData>
            </a:graphic>
          </wp:anchor>
        </w:drawing>
      </w:r>
    </w:p>
    <w:p>
      <w:pPr>
        <w:spacing w:after="0" w:line="25" w:lineRule="exact"/>
        <w:rPr>
          <w:sz w:val="20"/>
          <w:szCs w:val="20"/>
          <w:color w:val="auto"/>
        </w:rPr>
      </w:pPr>
    </w:p>
    <w:p>
      <w:pPr>
        <w:jc w:val="center"/>
        <w:ind w:left="4480"/>
        <w:spacing w:after="0"/>
        <w:rPr>
          <w:sz w:val="20"/>
          <w:szCs w:val="20"/>
          <w:color w:val="auto"/>
        </w:rPr>
      </w:pPr>
      <w:r>
        <w:rPr>
          <w:rFonts w:ascii="Arial" w:cs="Arial" w:eastAsia="Arial" w:hAnsi="Arial"/>
          <w:sz w:val="17"/>
          <w:szCs w:val="17"/>
          <w:color w:val="auto"/>
        </w:rPr>
        <w:t>Christian O. Henry</w:t>
      </w:r>
    </w:p>
    <w:p>
      <w:pPr>
        <w:spacing w:after="0" w:line="2" w:lineRule="exact"/>
        <w:rPr>
          <w:sz w:val="20"/>
          <w:szCs w:val="20"/>
          <w:color w:val="auto"/>
        </w:rPr>
      </w:pPr>
    </w:p>
    <w:p>
      <w:pPr>
        <w:jc w:val="center"/>
        <w:ind w:left="4480"/>
        <w:spacing w:after="0"/>
        <w:rPr>
          <w:sz w:val="20"/>
          <w:szCs w:val="20"/>
          <w:color w:val="auto"/>
        </w:rPr>
      </w:pPr>
      <w:r>
        <w:rPr>
          <w:rFonts w:ascii="Arial" w:cs="Arial" w:eastAsia="Arial" w:hAnsi="Arial"/>
          <w:sz w:val="17"/>
          <w:szCs w:val="17"/>
          <w:color w:val="auto"/>
        </w:rPr>
        <w:t>Chief Executive Officer and President</w:t>
      </w:r>
    </w:p>
    <w:p>
      <w:pPr>
        <w:jc w:val="center"/>
        <w:ind w:left="448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247015</wp:posOffset>
            </wp:positionV>
            <wp:extent cx="5641975"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97" w:name="page98"/>
    <w:bookmarkEnd w:id="97"/>
    <w:p>
      <w:pPr>
        <w:jc w:val="right"/>
        <w:ind w:right="99"/>
        <w:spacing w:after="0"/>
        <w:rPr>
          <w:sz w:val="20"/>
          <w:szCs w:val="20"/>
          <w:color w:val="auto"/>
        </w:rPr>
      </w:pPr>
      <w:r>
        <w:rPr>
          <w:rFonts w:ascii="Arial" w:cs="Arial" w:eastAsia="Arial" w:hAnsi="Arial"/>
          <w:sz w:val="20"/>
          <w:szCs w:val="20"/>
          <w:b w:val="1"/>
          <w:bCs w:val="1"/>
          <w:color w:val="auto"/>
        </w:rPr>
        <w:t>Exhibit 32.2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CFO Furnished Pursuant to 18 U.S.C. Section 1350,</w:t>
      </w:r>
    </w:p>
    <w:p>
      <w:pPr>
        <w:jc w:val="center"/>
        <w:spacing w:after="0" w:line="201" w:lineRule="auto"/>
        <w:rPr>
          <w:sz w:val="20"/>
          <w:szCs w:val="20"/>
          <w:color w:val="auto"/>
        </w:rPr>
      </w:pPr>
      <w:r>
        <w:rPr>
          <w:rFonts w:ascii="Arial" w:cs="Arial" w:eastAsia="Arial" w:hAnsi="Arial"/>
          <w:sz w:val="17"/>
          <w:szCs w:val="17"/>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6" w:lineRule="exact"/>
        <w:rPr>
          <w:sz w:val="20"/>
          <w:szCs w:val="20"/>
          <w:color w:val="auto"/>
        </w:rPr>
      </w:pPr>
    </w:p>
    <w:p>
      <w:pPr>
        <w:ind w:left="100" w:right="259"/>
        <w:spacing w:after="0" w:line="230" w:lineRule="auto"/>
        <w:rPr>
          <w:sz w:val="20"/>
          <w:szCs w:val="20"/>
          <w:color w:val="auto"/>
        </w:rPr>
      </w:pPr>
      <w:r>
        <w:rPr>
          <w:rFonts w:ascii="Arial" w:cs="Arial" w:eastAsia="Arial" w:hAnsi="Arial"/>
          <w:sz w:val="16"/>
          <w:szCs w:val="16"/>
          <w:color w:val="auto"/>
        </w:rPr>
        <w:t>In connection with the Quarterly Report of Pacific Biosciences of California, Inc. (the “Company”) on Form 10-Q for the period ended June 30, 2022,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w:t>
      </w:r>
    </w:p>
    <w:p>
      <w:pPr>
        <w:spacing w:after="0" w:line="103" w:lineRule="exact"/>
        <w:rPr>
          <w:sz w:val="20"/>
          <w:szCs w:val="20"/>
          <w:color w:val="auto"/>
        </w:rPr>
      </w:pPr>
    </w:p>
    <w:p>
      <w:pPr>
        <w:ind w:left="700" w:right="339" w:hanging="303"/>
        <w:spacing w:after="0" w:line="232"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June 30, 2022 (the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700" w:right="499" w:hanging="303"/>
        <w:spacing w:after="0" w:line="232"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100"/>
        <w:spacing w:after="0"/>
        <w:tabs>
          <w:tab w:leader="none" w:pos="6160" w:val="left"/>
        </w:tabs>
        <w:rPr>
          <w:sz w:val="20"/>
          <w:szCs w:val="20"/>
          <w:color w:val="auto"/>
        </w:rPr>
      </w:pPr>
      <w:r>
        <w:rPr>
          <w:rFonts w:ascii="Arial" w:cs="Arial" w:eastAsia="Arial" w:hAnsi="Arial"/>
          <w:sz w:val="17"/>
          <w:szCs w:val="17"/>
          <w:color w:val="auto"/>
        </w:rPr>
        <w:t>Date: August 5, 2022</w:t>
      </w:r>
      <w:r>
        <w:rPr>
          <w:sz w:val="20"/>
          <w:szCs w:val="20"/>
          <w:color w:val="auto"/>
        </w:rPr>
        <w:tab/>
      </w:r>
      <w:r>
        <w:rPr>
          <w:rFonts w:ascii="Arial" w:cs="Arial" w:eastAsia="Arial" w:hAnsi="Arial"/>
          <w:sz w:val="15"/>
          <w:szCs w:val="15"/>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4445</wp:posOffset>
            </wp:positionV>
            <wp:extent cx="27520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2752090" cy="8255"/>
                    </a:xfrm>
                    <a:prstGeom prst="rect">
                      <a:avLst/>
                    </a:prstGeom>
                    <a:noFill/>
                  </pic:spPr>
                </pic:pic>
              </a:graphicData>
            </a:graphic>
          </wp:anchor>
        </w:drawing>
      </w:r>
    </w:p>
    <w:p>
      <w:pPr>
        <w:jc w:val="center"/>
        <w:ind w:left="4480"/>
        <w:spacing w:after="0"/>
        <w:rPr>
          <w:sz w:val="20"/>
          <w:szCs w:val="20"/>
          <w:color w:val="auto"/>
        </w:rPr>
      </w:pPr>
      <w:r>
        <w:rPr>
          <w:rFonts w:ascii="Arial" w:cs="Arial" w:eastAsia="Arial" w:hAnsi="Arial"/>
          <w:sz w:val="17"/>
          <w:szCs w:val="17"/>
          <w:color w:val="auto"/>
        </w:rPr>
        <w:t>Susan G. Kim</w:t>
      </w:r>
    </w:p>
    <w:p>
      <w:pPr>
        <w:jc w:val="center"/>
        <w:ind w:left="4480"/>
        <w:spacing w:after="0" w:line="201"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jc w:val="center"/>
        <w:ind w:left="448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760730</wp:posOffset>
            </wp:positionV>
            <wp:extent cx="5641975"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5641975" cy="49530"/>
                    </a:xfrm>
                    <a:prstGeom prst="rect">
                      <a:avLst/>
                    </a:prstGeom>
                    <a:noFill/>
                  </pic:spPr>
                </pic:pic>
              </a:graphicData>
            </a:graphic>
          </wp:anchor>
        </w:drawing>
      </w:r>
    </w:p>
    <w:sectPr>
      <w:pgSz w:w="11900" w:h="16838" w:orient="portrait"/>
      <w:cols w:equalWidth="0" w:num="1">
        <w:col w:w="9019"/>
      </w:cols>
      <w:pgMar w:left="1440" w:top="1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Roman"/>
      <w:start w:val="4"/>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upperLetter"/>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Letter"/>
      <w:start w:val="4"/>
    </w:lvl>
  </w:abstractNum>
  <w:abstractNum w:abstractNumId="12">
    <w:nsid w:val="333AB105"/>
    <w:multiLevelType w:val="hybridMultilevel"/>
    <w:lvl w:ilvl="0">
      <w:lvlJc w:val="left"/>
      <w:lvlText w:val="(%1)"/>
      <w:numFmt w:val="lowerLetter"/>
      <w:start w:val="8"/>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6"/>
    </w:lvl>
  </w:abstractNum>
  <w:abstractNum w:abstractNumId="17">
    <w:nsid w:val="75A2A8D4"/>
    <w:multiLevelType w:val="hybridMultilevel"/>
    <w:lvl w:ilvl="0">
      <w:lvlJc w:val="left"/>
      <w:lvlText w:val="(%1)"/>
      <w:numFmt w:val="decimal"/>
      <w:start w:val="15"/>
    </w:lvl>
  </w:abstractNum>
  <w:abstractNum w:abstractNumId="18">
    <w:nsid w:val="8EDBDAB"/>
    <w:multiLevelType w:val="hybridMultilevel"/>
    <w:lvl w:ilvl="0">
      <w:lvlJc w:val="left"/>
      <w:lvlText w:val="(%1)"/>
      <w:numFmt w:val="decimal"/>
      <w:start w:val="5"/>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Roman"/>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17" Type="http://schemas.openxmlformats.org/officeDocument/2006/relationships/hyperlink" Target="http://www.sec.gov/Archives/edgar/data/1299130/000110465922065284/tm2216796d1_ex10-1.htm" TargetMode="External"/><Relationship Id="rId118" Type="http://schemas.openxmlformats.org/officeDocument/2006/relationships/hyperlink" Target="http://www.sec.gov/Archives/edgar/data/1299130/000110465922065284/tm2216796d1_ex10-2.htm" TargetMode="External"/><Relationship Id="rId119" Type="http://schemas.openxmlformats.org/officeDocument/2006/relationships/hyperlink" Target="http://www.sec.gov/Archives/edgar/data/1299130/000110465922065284/tm2216796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2022-08-08T05:25:03Z</dcterms:created>
  <dcterms:modified xsi:type="dcterms:W3CDTF">2022-08-08T05:25:03Z</dcterms:modified>
</cp:coreProperties>
</file>