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464820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0" w:lineRule="exact"/>
        <w:rPr>
          <w:sz w:val="24"/>
          <w:szCs w:val="24"/>
          <w:color w:val="auto"/>
        </w:rPr>
      </w:pPr>
    </w:p>
    <w:p>
      <w:pPr>
        <w:jc w:val="center"/>
        <w:spacing w:after="0"/>
        <w:rPr>
          <w:sz w:val="20"/>
          <w:szCs w:val="20"/>
          <w:color w:val="auto"/>
        </w:rPr>
      </w:pPr>
      <w:r>
        <w:rPr>
          <w:rFonts w:ascii="Wingdings" w:cs="Wingdings" w:eastAsia="Wingdings" w:hAnsi="Wingdings"/>
          <w:sz w:val="16"/>
          <w:szCs w:val="16"/>
          <w:b w:val="1"/>
          <w:bCs w:val="1"/>
          <w:color w:val="auto"/>
          <w:highlight w:val="black"/>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4100"/>
        <w:spacing w:after="0"/>
        <w:tabs>
          <w:tab w:leader="none" w:pos="65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Commission File Number 001-34899</w:t>
      </w:r>
    </w:p>
    <w:p>
      <w:pPr>
        <w:spacing w:after="0" w:line="2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2497455</wp:posOffset>
            </wp:positionH>
            <wp:positionV relativeFrom="paragraph">
              <wp:posOffset>35560</wp:posOffset>
            </wp:positionV>
            <wp:extent cx="2147570" cy="495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7570" cy="495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Pacific Biosciences of California,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39" w:lineRule="exact"/>
        <w:rPr>
          <w:sz w:val="24"/>
          <w:szCs w:val="24"/>
          <w:color w:val="auto"/>
        </w:rPr>
      </w:pPr>
    </w:p>
    <w:tbl>
      <w:tblPr>
        <w:tblLayout w:type="fixed"/>
        <w:tblInd w:w="1660" w:type="dxa"/>
        <w:tblCellMar>
          <w:top w:w="0" w:type="dxa"/>
          <w:left w:w="0" w:type="dxa"/>
          <w:bottom w:w="0" w:type="dxa"/>
          <w:right w:w="0" w:type="dxa"/>
        </w:tblCellMar>
      </w:tblP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16-1590339</w:t>
            </w:r>
          </w:p>
        </w:tc>
      </w:tr>
      <w:tr>
        <w:trPr>
          <w:trHeight w:val="19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63"/>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1305 O’Brien Drive</w:t>
            </w:r>
          </w:p>
        </w:tc>
        <w:tc>
          <w:tcPr>
            <w:tcW w:w="4980" w:type="dxa"/>
            <w:vAlign w:val="bottom"/>
          </w:tcPr>
          <w:p>
            <w:pPr>
              <w:spacing w:after="0"/>
              <w:rPr>
                <w:sz w:val="24"/>
                <w:szCs w:val="24"/>
                <w:color w:val="auto"/>
              </w:rPr>
            </w:pPr>
          </w:p>
        </w:tc>
      </w:tr>
      <w:tr>
        <w:trPr>
          <w:trHeight w:val="197"/>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Menlo Park, CA</w:t>
            </w:r>
          </w:p>
        </w:tc>
        <w:tc>
          <w:tcPr>
            <w:tcW w:w="49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94025</w:t>
            </w:r>
          </w:p>
        </w:tc>
      </w:tr>
      <w:tr>
        <w:trPr>
          <w:trHeight w:val="221"/>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4980" w:type="dxa"/>
            <w:vAlign w:val="bottom"/>
          </w:tcPr>
          <w:p>
            <w:pPr>
              <w:jc w:val="center"/>
              <w:ind w:left="383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28"/>
        </w:trPr>
        <w:tc>
          <w:tcPr>
            <w:tcW w:w="2340" w:type="dxa"/>
            <w:vAlign w:val="bottom"/>
          </w:tcPr>
          <w:p>
            <w:pPr>
              <w:spacing w:after="0"/>
              <w:rPr>
                <w:sz w:val="24"/>
                <w:szCs w:val="24"/>
                <w:color w:val="auto"/>
              </w:rPr>
            </w:pPr>
          </w:p>
        </w:tc>
        <w:tc>
          <w:tcPr>
            <w:tcW w:w="4980" w:type="dxa"/>
            <w:vAlign w:val="bottom"/>
          </w:tcPr>
          <w:p>
            <w:pPr>
              <w:jc w:val="right"/>
              <w:ind w:right="2851"/>
              <w:spacing w:after="0"/>
              <w:rPr>
                <w:sz w:val="20"/>
                <w:szCs w:val="20"/>
                <w:color w:val="auto"/>
              </w:rPr>
            </w:pPr>
            <w:r>
              <w:rPr>
                <w:rFonts w:ascii="Times New Roman" w:cs="Times New Roman" w:eastAsia="Times New Roman" w:hAnsi="Times New Roman"/>
                <w:sz w:val="14"/>
                <w:szCs w:val="14"/>
                <w:b w:val="1"/>
                <w:bCs w:val="1"/>
                <w:color w:val="auto"/>
              </w:rPr>
              <w:t>(650) 521-8000</w:t>
            </w:r>
          </w:p>
        </w:tc>
      </w:tr>
      <w:tr>
        <w:trPr>
          <w:trHeight w:val="184"/>
        </w:trPr>
        <w:tc>
          <w:tcPr>
            <w:tcW w:w="2340" w:type="dxa"/>
            <w:vAlign w:val="bottom"/>
          </w:tcPr>
          <w:p>
            <w:pPr>
              <w:spacing w:after="0"/>
              <w:rPr>
                <w:sz w:val="15"/>
                <w:szCs w:val="15"/>
                <w:color w:val="auto"/>
              </w:rPr>
            </w:pPr>
          </w:p>
        </w:tc>
        <w:tc>
          <w:tcPr>
            <w:tcW w:w="4980" w:type="dxa"/>
            <w:vAlign w:val="bottom"/>
          </w:tcPr>
          <w:p>
            <w:pPr>
              <w:jc w:val="center"/>
              <w:ind w:right="1671"/>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r>
    </w:tbl>
    <w:p>
      <w:pPr>
        <w:ind w:left="20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8" w:lineRule="exact"/>
        <w:rPr>
          <w:sz w:val="24"/>
          <w:szCs w:val="24"/>
          <w:color w:val="auto"/>
        </w:rPr>
      </w:pPr>
    </w:p>
    <w:tbl>
      <w:tblPr>
        <w:tblLayout w:type="fixed"/>
        <w:tblInd w:w="10" w:type="dxa"/>
        <w:tblCellMar>
          <w:top w:w="0" w:type="dxa"/>
          <w:left w:w="0" w:type="dxa"/>
          <w:bottom w:w="0" w:type="dxa"/>
          <w:right w:w="0" w:type="dxa"/>
        </w:tblCellMar>
      </w:tblPr>
      <w:tr>
        <w:trPr>
          <w:trHeight w:val="198"/>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178"/>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PACB</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36"/>
        </w:trPr>
        <w:tc>
          <w:tcPr>
            <w:tcW w:w="434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bl>
    <w:p>
      <w:pPr>
        <w:spacing w:after="0" w:line="121" w:lineRule="exact"/>
        <w:rPr>
          <w:sz w:val="24"/>
          <w:szCs w:val="24"/>
          <w:color w:val="auto"/>
        </w:rPr>
      </w:pPr>
    </w:p>
    <w:p>
      <w:pPr>
        <w:ind w:right="16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15" w:lineRule="exact"/>
        <w:rPr>
          <w:sz w:val="24"/>
          <w:szCs w:val="24"/>
          <w:color w:val="auto"/>
        </w:rPr>
      </w:pPr>
    </w:p>
    <w:p>
      <w:pPr>
        <w:ind w:right="400" w:firstLine="468"/>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rPr>
                <w:sz w:val="20"/>
                <w:szCs w:val="20"/>
                <w:color w:val="auto"/>
              </w:rPr>
            </w:pPr>
            <w:r>
              <w:rPr>
                <w:rFonts w:ascii="Wingdings" w:cs="Wingdings" w:eastAsia="Wingdings" w:hAnsi="Wingdings"/>
                <w:sz w:val="14"/>
                <w:szCs w:val="14"/>
                <w:b w:val="1"/>
                <w:bCs w:val="1"/>
                <w:color w:val="auto"/>
                <w:w w:val="80"/>
              </w:rPr>
              <w:t>x</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rPr>
                <w:sz w:val="20"/>
                <w:szCs w:val="20"/>
                <w:color w:val="auto"/>
              </w:rPr>
            </w:pPr>
            <w:r>
              <w:rPr>
                <w:rFonts w:ascii="Wingdings" w:cs="Wingdings" w:eastAsia="Wingdings" w:hAnsi="Wingdings"/>
                <w:sz w:val="14"/>
                <w:szCs w:val="14"/>
                <w:b w:val="1"/>
                <w:bCs w:val="1"/>
                <w:color w:val="auto"/>
                <w:w w:val="95"/>
              </w:rPr>
              <w:t>o</w:t>
            </w:r>
          </w:p>
        </w:tc>
      </w:tr>
      <w:tr>
        <w:trPr>
          <w:trHeight w:val="221"/>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74" w:lineRule="exact"/>
        <w:rPr>
          <w:sz w:val="24"/>
          <w:szCs w:val="24"/>
          <w:color w:val="auto"/>
        </w:rPr>
      </w:pPr>
    </w:p>
    <w:p>
      <w:pPr>
        <w:ind w:right="500" w:firstLine="46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Number of shares outstanding of the issuer’s common stock as of July 31, 2025: 300,370,611.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849630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201295</wp:posOffset>
            </wp:positionV>
            <wp:extent cx="6917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226060</wp:posOffset>
            </wp:positionV>
            <wp:extent cx="691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shd w:val="clear" w:color="auto" w:fill="DF1995"/>
          </w:tcPr>
          <w:p>
            <w:pPr>
              <w:spacing w:after="0"/>
              <w:rPr>
                <w:sz w:val="22"/>
                <w:szCs w:val="22"/>
                <w:color w:val="auto"/>
              </w:rPr>
            </w:pPr>
          </w:p>
        </w:tc>
        <w:tc>
          <w:tcPr>
            <w:tcW w:w="10080" w:type="dxa"/>
            <w:vAlign w:val="bottom"/>
            <w:gridSpan w:val="20"/>
            <w:shd w:val="clear" w:color="auto" w:fill="DF1995"/>
          </w:tcPr>
          <w:p>
            <w:pPr>
              <w:spacing w:after="0"/>
              <w:rPr>
                <w:sz w:val="20"/>
                <w:szCs w:val="20"/>
                <w:color w:val="auto"/>
              </w:rPr>
            </w:pPr>
            <w:r>
              <w:rPr>
                <w:rFonts w:ascii="Arial" w:cs="Arial" w:eastAsia="Arial" w:hAnsi="Arial"/>
                <w:sz w:val="17"/>
                <w:szCs w:val="17"/>
                <w:b w:val="1"/>
                <w:bCs w:val="1"/>
                <w:color w:val="FFFFFF"/>
              </w:rPr>
              <w:t>PART I. FINANCIAL INFORMATION</w:t>
            </w:r>
          </w:p>
        </w:tc>
        <w:tc>
          <w:tcPr>
            <w:tcW w:w="260" w:type="dxa"/>
            <w:vAlign w:val="bottom"/>
            <w:shd w:val="clear" w:color="auto" w:fill="DF1995"/>
          </w:tcPr>
          <w:p>
            <w:pPr>
              <w:spacing w:after="0"/>
              <w:rPr>
                <w:sz w:val="22"/>
                <w:szCs w:val="22"/>
                <w:color w:val="auto"/>
              </w:rPr>
            </w:pPr>
          </w:p>
        </w:tc>
        <w:tc>
          <w:tcPr>
            <w:tcW w:w="400" w:type="dxa"/>
            <w:vAlign w:val="bottom"/>
            <w:shd w:val="clear" w:color="auto" w:fill="DF1995"/>
          </w:tcPr>
          <w:p>
            <w:pPr>
              <w:spacing w:after="0"/>
              <w:rPr>
                <w:sz w:val="22"/>
                <w:szCs w:val="22"/>
                <w:color w:val="auto"/>
              </w:rPr>
            </w:pPr>
          </w:p>
        </w:tc>
        <w:tc>
          <w:tcPr>
            <w:tcW w:w="480" w:type="dxa"/>
            <w:vAlign w:val="bottom"/>
            <w:shd w:val="clear" w:color="auto" w:fill="DF1995"/>
          </w:tcPr>
          <w:p>
            <w:pPr>
              <w:spacing w:after="0"/>
              <w:rPr>
                <w:sz w:val="22"/>
                <w:szCs w:val="22"/>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318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rPr>
              <w:t>Item 1. Financial Statements (unaudited):</w:t>
            </w:r>
          </w:p>
        </w:tc>
        <w:tc>
          <w:tcPr>
            <w:tcW w:w="6900" w:type="dxa"/>
            <w:vAlign w:val="bottom"/>
            <w:gridSpan w:val="9"/>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0000FF"/>
              </w:rPr>
              <w:t>Condensed Consolidated Balance Sheets as of June 30, 2025 and December 31, 2024</w:t>
            </w: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w w:val="84"/>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2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rPr>
              <w:t>Condensed Consolidated Statements of Operations and Comprehensive Loss for the Three and Six Months Ended June 30,</w:t>
            </w:r>
          </w:p>
        </w:tc>
        <w:tc>
          <w:tcPr>
            <w:tcW w:w="240" w:type="dxa"/>
            <w:vAlign w:val="bottom"/>
          </w:tcPr>
          <w:p>
            <w:pPr>
              <w:spacing w:after="0"/>
              <w:rPr>
                <w:sz w:val="24"/>
                <w:szCs w:val="24"/>
                <w:color w:val="auto"/>
              </w:rPr>
            </w:pPr>
          </w:p>
        </w:tc>
        <w:tc>
          <w:tcPr>
            <w:tcW w:w="660" w:type="dxa"/>
            <w:vAlign w:val="bottom"/>
            <w:gridSpan w:val="2"/>
            <w:vMerge w:val="restart"/>
          </w:tcPr>
          <w:p>
            <w:pPr>
              <w:jc w:val="center"/>
              <w:ind w:left="173"/>
              <w:spacing w:after="0"/>
              <w:rPr>
                <w:sz w:val="20"/>
                <w:szCs w:val="20"/>
                <w:color w:val="auto"/>
              </w:rPr>
            </w:pPr>
            <w:r>
              <w:rPr>
                <w:rFonts w:ascii="Arial" w:cs="Arial" w:eastAsia="Arial" w:hAnsi="Arial"/>
                <w:sz w:val="17"/>
                <w:szCs w:val="17"/>
                <w:color w:val="auto"/>
                <w:w w:val="84"/>
              </w:rPr>
              <w:t>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7"/>
                <w:szCs w:val="17"/>
                <w:color w:val="0000FF"/>
              </w:rPr>
              <w:t>2025 and 2024</w:t>
            </w:r>
          </w:p>
        </w:tc>
        <w:tc>
          <w:tcPr>
            <w:tcW w:w="8600" w:type="dxa"/>
            <w:vAlign w:val="bottom"/>
            <w:gridSpan w:val="16"/>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6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Stockholders’ Equity for the Three and Six Months Ended June 30, 2025 and 2024</w:t>
            </w: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w w:val="84"/>
              </w:rPr>
              <w:t>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20" w:type="dxa"/>
            <w:vAlign w:val="bottom"/>
            <w:tcBorders>
              <w:top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Statements of Cash Flows for the Six Months Ended June 30, 2025 and 2024</w:t>
            </w:r>
          </w:p>
        </w:tc>
        <w:tc>
          <w:tcPr>
            <w:tcW w:w="340" w:type="dxa"/>
            <w:vAlign w:val="bottom"/>
            <w:gridSpan w:val="2"/>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w w:val="84"/>
              </w:rPr>
              <w:t>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20" w:type="dxa"/>
            <w:vAlign w:val="bottom"/>
            <w:tcBorders>
              <w:top w:val="single" w:sz="8" w:color="0000FF"/>
            </w:tcBorders>
            <w:gridSpan w:val="16"/>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1840" w:type="dxa"/>
            <w:vAlign w:val="bottom"/>
            <w:gridSpan w:val="3"/>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w w:val="84"/>
              </w:rPr>
              <w:t>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740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2680" w:type="dxa"/>
            <w:vAlign w:val="bottom"/>
            <w:gridSpan w:val="4"/>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27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12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4960" w:type="dxa"/>
            <w:vAlign w:val="bottom"/>
            <w:gridSpan w:val="7"/>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40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0080" w:type="dxa"/>
            <w:vAlign w:val="bottom"/>
            <w:gridSpan w:val="20"/>
          </w:tcPr>
          <w:p>
            <w:pPr>
              <w:spacing w:after="0"/>
              <w:rPr>
                <w:sz w:val="20"/>
                <w:szCs w:val="20"/>
                <w:color w:val="auto"/>
              </w:rPr>
            </w:pPr>
            <w:r>
              <w:rPr>
                <w:rFonts w:ascii="Arial" w:cs="Arial" w:eastAsia="Arial" w:hAnsi="Arial"/>
                <w:sz w:val="17"/>
                <w:szCs w:val="17"/>
                <w:color w:val="0000FF"/>
              </w:rPr>
              <w:t>Item 4. Controls and Procedures</w:t>
            </w: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40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shd w:val="clear" w:color="auto" w:fill="DF1995"/>
          </w:tcPr>
          <w:p>
            <w:pPr>
              <w:spacing w:after="0"/>
              <w:rPr>
                <w:sz w:val="22"/>
                <w:szCs w:val="22"/>
                <w:color w:val="auto"/>
              </w:rPr>
            </w:pPr>
          </w:p>
        </w:tc>
        <w:tc>
          <w:tcPr>
            <w:tcW w:w="10080" w:type="dxa"/>
            <w:vAlign w:val="bottom"/>
            <w:gridSpan w:val="20"/>
            <w:shd w:val="clear" w:color="auto" w:fill="DF1995"/>
          </w:tcPr>
          <w:p>
            <w:pPr>
              <w:spacing w:after="0"/>
              <w:rPr>
                <w:sz w:val="20"/>
                <w:szCs w:val="20"/>
                <w:color w:val="auto"/>
              </w:rPr>
            </w:pPr>
            <w:r>
              <w:rPr>
                <w:rFonts w:ascii="Arial" w:cs="Arial" w:eastAsia="Arial" w:hAnsi="Arial"/>
                <w:sz w:val="17"/>
                <w:szCs w:val="17"/>
                <w:b w:val="1"/>
                <w:bCs w:val="1"/>
                <w:color w:val="FFFFFF"/>
              </w:rPr>
              <w:t>PART II. OTHER INFORMATION</w:t>
            </w:r>
          </w:p>
        </w:tc>
        <w:tc>
          <w:tcPr>
            <w:tcW w:w="260" w:type="dxa"/>
            <w:vAlign w:val="bottom"/>
            <w:shd w:val="clear" w:color="auto" w:fill="DF1995"/>
          </w:tcPr>
          <w:p>
            <w:pPr>
              <w:spacing w:after="0"/>
              <w:rPr>
                <w:sz w:val="22"/>
                <w:szCs w:val="22"/>
                <w:color w:val="auto"/>
              </w:rPr>
            </w:pPr>
          </w:p>
        </w:tc>
        <w:tc>
          <w:tcPr>
            <w:tcW w:w="400" w:type="dxa"/>
            <w:vAlign w:val="bottom"/>
            <w:shd w:val="clear" w:color="auto" w:fill="DF1995"/>
          </w:tcPr>
          <w:p>
            <w:pPr>
              <w:spacing w:after="0"/>
              <w:rPr>
                <w:sz w:val="22"/>
                <w:szCs w:val="22"/>
                <w:color w:val="auto"/>
              </w:rPr>
            </w:pPr>
          </w:p>
        </w:tc>
        <w:tc>
          <w:tcPr>
            <w:tcW w:w="480" w:type="dxa"/>
            <w:vAlign w:val="bottom"/>
            <w:shd w:val="clear" w:color="auto" w:fill="DF1995"/>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0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Item 1. Legal Proceedings</w:t>
            </w:r>
          </w:p>
        </w:tc>
        <w:tc>
          <w:tcPr>
            <w:tcW w:w="8060" w:type="dxa"/>
            <w:vAlign w:val="bottom"/>
            <w:gridSpan w:val="13"/>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41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66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Item 1A. Risk Factors</w:t>
            </w:r>
          </w:p>
        </w:tc>
        <w:tc>
          <w:tcPr>
            <w:tcW w:w="8420" w:type="dxa"/>
            <w:vAlign w:val="bottom"/>
            <w:gridSpan w:val="15"/>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43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526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4820" w:type="dxa"/>
            <w:vAlign w:val="bottom"/>
            <w:gridSpan w:val="6"/>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rPr>
              <w:t>Item 3. Defaults Upon Senior Securities</w:t>
            </w:r>
          </w:p>
        </w:tc>
        <w:tc>
          <w:tcPr>
            <w:tcW w:w="7040" w:type="dxa"/>
            <w:vAlign w:val="bottom"/>
            <w:gridSpan w:val="10"/>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244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Item 4. Mine Safety Disclosures</w:t>
            </w:r>
          </w:p>
        </w:tc>
        <w:tc>
          <w:tcPr>
            <w:tcW w:w="7640" w:type="dxa"/>
            <w:vAlign w:val="bottom"/>
            <w:gridSpan w:val="12"/>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0080" w:type="dxa"/>
            <w:vAlign w:val="bottom"/>
            <w:gridSpan w:val="20"/>
          </w:tcPr>
          <w:p>
            <w:pPr>
              <w:spacing w:after="0"/>
              <w:rPr>
                <w:sz w:val="20"/>
                <w:szCs w:val="20"/>
                <w:color w:val="auto"/>
              </w:rPr>
            </w:pPr>
            <w:r>
              <w:rPr>
                <w:rFonts w:ascii="Arial" w:cs="Arial" w:eastAsia="Arial" w:hAnsi="Arial"/>
                <w:sz w:val="17"/>
                <w:szCs w:val="17"/>
                <w:color w:val="0000FF"/>
              </w:rPr>
              <w:t>Item 5. Other Information</w:t>
            </w: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92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Item 6. Exhibits</w:t>
            </w:r>
          </w:p>
        </w:tc>
        <w:tc>
          <w:tcPr>
            <w:tcW w:w="8160" w:type="dxa"/>
            <w:vAlign w:val="bottom"/>
            <w:gridSpan w:val="14"/>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18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Signatures</w:t>
            </w:r>
          </w:p>
        </w:tc>
        <w:tc>
          <w:tcPr>
            <w:tcW w:w="8900" w:type="dxa"/>
            <w:vAlign w:val="bottom"/>
            <w:gridSpan w:val="17"/>
          </w:tcPr>
          <w:p>
            <w:pPr>
              <w:spacing w:after="0"/>
              <w:rPr>
                <w:sz w:val="24"/>
                <w:szCs w:val="24"/>
                <w:color w:val="auto"/>
              </w:rPr>
            </w:pPr>
          </w:p>
        </w:tc>
        <w:tc>
          <w:tcPr>
            <w:tcW w:w="660" w:type="dxa"/>
            <w:vAlign w:val="bottom"/>
            <w:gridSpan w:val="2"/>
          </w:tcPr>
          <w:p>
            <w:pPr>
              <w:jc w:val="center"/>
              <w:ind w:left="173"/>
              <w:spacing w:after="0"/>
              <w:rPr>
                <w:sz w:val="20"/>
                <w:szCs w:val="20"/>
                <w:color w:val="auto"/>
              </w:rPr>
            </w:pPr>
            <w:r>
              <w:rPr>
                <w:rFonts w:ascii="Arial" w:cs="Arial" w:eastAsia="Arial" w:hAnsi="Arial"/>
                <w:sz w:val="17"/>
                <w:szCs w:val="17"/>
                <w:color w:val="auto"/>
              </w:rPr>
              <w:t>87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Borders>
              <w:bottom w:val="single" w:sz="8" w:color="DF1995"/>
            </w:tcBorders>
          </w:tcPr>
          <w:p>
            <w:pPr>
              <w:spacing w:after="0"/>
              <w:rPr>
                <w:sz w:val="24"/>
                <w:szCs w:val="24"/>
                <w:color w:val="auto"/>
              </w:rPr>
            </w:pPr>
          </w:p>
        </w:tc>
        <w:tc>
          <w:tcPr>
            <w:tcW w:w="320" w:type="dxa"/>
            <w:vAlign w:val="bottom"/>
            <w:tcBorders>
              <w:top w:val="single" w:sz="8" w:color="0000FF"/>
              <w:bottom w:val="single" w:sz="8" w:color="DF1995"/>
            </w:tcBorders>
          </w:tcPr>
          <w:p>
            <w:pPr>
              <w:spacing w:after="0"/>
              <w:rPr>
                <w:sz w:val="24"/>
                <w:szCs w:val="24"/>
                <w:color w:val="auto"/>
              </w:rPr>
            </w:pPr>
          </w:p>
        </w:tc>
        <w:tc>
          <w:tcPr>
            <w:tcW w:w="520" w:type="dxa"/>
            <w:vAlign w:val="bottom"/>
            <w:tcBorders>
              <w:top w:val="single" w:sz="8" w:color="0000FF"/>
              <w:bottom w:val="single" w:sz="8" w:color="DF1995"/>
            </w:tcBorders>
          </w:tcPr>
          <w:p>
            <w:pPr>
              <w:spacing w:after="0"/>
              <w:rPr>
                <w:sz w:val="24"/>
                <w:szCs w:val="24"/>
                <w:color w:val="auto"/>
              </w:rPr>
            </w:pPr>
          </w:p>
        </w:tc>
        <w:tc>
          <w:tcPr>
            <w:tcW w:w="9240" w:type="dxa"/>
            <w:vAlign w:val="bottom"/>
            <w:tcBorders>
              <w:bottom w:val="single" w:sz="8" w:color="DF1995"/>
            </w:tcBorders>
            <w:gridSpan w:val="18"/>
          </w:tcPr>
          <w:p>
            <w:pPr>
              <w:spacing w:after="0"/>
              <w:rPr>
                <w:sz w:val="24"/>
                <w:szCs w:val="24"/>
                <w:color w:val="auto"/>
              </w:rPr>
            </w:pPr>
          </w:p>
        </w:tc>
        <w:tc>
          <w:tcPr>
            <w:tcW w:w="1140" w:type="dxa"/>
            <w:vAlign w:val="bottom"/>
            <w:tcBorders>
              <w:bottom w:val="single" w:sz="8" w:color="DF1995"/>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40" w:type="dxa"/>
            <w:vAlign w:val="bottom"/>
            <w:gridSpan w:val="18"/>
          </w:tcPr>
          <w:p>
            <w:pPr>
              <w:ind w:left="220"/>
              <w:spacing w:after="0"/>
              <w:rPr>
                <w:sz w:val="20"/>
                <w:szCs w:val="20"/>
                <w:color w:val="auto"/>
              </w:rPr>
            </w:pPr>
            <w:r>
              <w:rPr>
                <w:rFonts w:ascii="Arial" w:cs="Arial" w:eastAsia="Arial" w:hAnsi="Arial"/>
                <w:sz w:val="17"/>
                <w:szCs w:val="17"/>
                <w:color w:val="DF1995"/>
              </w:rPr>
              <w:t>Q2 Fiscal 2025 Form 10-Q</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DF1995"/>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DF1995"/>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3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243205</wp:posOffset>
            </wp:positionV>
            <wp:extent cx="7137400" cy="471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471170"/>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CONDENSED CONSOLIDATED BALANCE SHEETS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340" w:type="dxa"/>
            <w:vAlign w:val="bottom"/>
            <w:shd w:val="clear" w:color="auto" w:fill="E7F2F9"/>
          </w:tcPr>
          <w:p>
            <w:pPr>
              <w:spacing w:after="0"/>
              <w:rPr>
                <w:sz w:val="15"/>
                <w:szCs w:val="15"/>
                <w:color w:val="auto"/>
              </w:rPr>
            </w:pPr>
          </w:p>
        </w:tc>
        <w:tc>
          <w:tcPr>
            <w:tcW w:w="1320" w:type="dxa"/>
            <w:vAlign w:val="bottom"/>
            <w:shd w:val="clear" w:color="auto" w:fill="E7F2F9"/>
          </w:tcPr>
          <w:p>
            <w:pPr>
              <w:jc w:val="right"/>
              <w:ind w:right="462"/>
              <w:spacing w:after="0"/>
              <w:rPr>
                <w:sz w:val="20"/>
                <w:szCs w:val="20"/>
                <w:color w:val="auto"/>
              </w:rPr>
            </w:pPr>
            <w:r>
              <w:rPr>
                <w:rFonts w:ascii="Arial" w:cs="Arial" w:eastAsia="Arial" w:hAnsi="Arial"/>
                <w:sz w:val="14"/>
                <w:szCs w:val="14"/>
                <w:b w:val="1"/>
                <w:bCs w:val="1"/>
                <w:color w:val="1383C6"/>
              </w:rPr>
              <w:t>June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02"/>
              <w:spacing w:after="0"/>
              <w:rPr>
                <w:sz w:val="20"/>
                <w:szCs w:val="20"/>
                <w:color w:val="auto"/>
              </w:rPr>
            </w:pPr>
            <w:r>
              <w:rPr>
                <w:rFonts w:ascii="Arial" w:cs="Arial" w:eastAsia="Arial" w:hAnsi="Arial"/>
                <w:sz w:val="14"/>
                <w:szCs w:val="14"/>
                <w:b w:val="1"/>
                <w:bCs w:val="1"/>
                <w:color w:val="auto"/>
              </w:rPr>
              <w:t>December 31,</w:t>
            </w:r>
          </w:p>
        </w:tc>
      </w:tr>
      <w:tr>
        <w:trPr>
          <w:trHeight w:val="218"/>
        </w:trPr>
        <w:tc>
          <w:tcPr>
            <w:tcW w:w="7820" w:type="dxa"/>
            <w:vAlign w:val="bottom"/>
          </w:tcPr>
          <w:p>
            <w:pPr>
              <w:spacing w:after="0"/>
              <w:rPr>
                <w:sz w:val="20"/>
                <w:szCs w:val="20"/>
                <w:color w:val="auto"/>
              </w:rPr>
            </w:pPr>
            <w:r>
              <w:rPr>
                <w:rFonts w:ascii="Arial" w:cs="Arial" w:eastAsia="Arial" w:hAnsi="Arial"/>
                <w:sz w:val="14"/>
                <w:szCs w:val="14"/>
                <w:i w:val="1"/>
                <w:iCs w:val="1"/>
                <w:color w:val="auto"/>
              </w:rPr>
              <w:t>(In thousands, except par value)</w:t>
            </w:r>
          </w:p>
        </w:tc>
        <w:tc>
          <w:tcPr>
            <w:tcW w:w="340" w:type="dxa"/>
            <w:vAlign w:val="bottom"/>
            <w:tcBorders>
              <w:bottom w:val="single" w:sz="8" w:color="E7F2F9"/>
            </w:tcBorders>
            <w:shd w:val="clear" w:color="auto" w:fill="E7F2F9"/>
          </w:tcPr>
          <w:p>
            <w:pPr>
              <w:spacing w:after="0"/>
              <w:rPr>
                <w:sz w:val="18"/>
                <w:szCs w:val="18"/>
                <w:color w:val="auto"/>
              </w:rPr>
            </w:pPr>
          </w:p>
        </w:tc>
        <w:tc>
          <w:tcPr>
            <w:tcW w:w="1320" w:type="dxa"/>
            <w:vAlign w:val="bottom"/>
            <w:tcBorders>
              <w:bottom w:val="single" w:sz="8" w:color="E7F2F9"/>
            </w:tcBorders>
            <w:shd w:val="clear" w:color="auto" w:fill="E7F2F9"/>
          </w:tcPr>
          <w:p>
            <w:pPr>
              <w:jc w:val="right"/>
              <w:ind w:right="602"/>
              <w:spacing w:after="0"/>
              <w:rPr>
                <w:sz w:val="20"/>
                <w:szCs w:val="20"/>
                <w:color w:val="auto"/>
              </w:rPr>
            </w:pPr>
            <w:r>
              <w:rPr>
                <w:rFonts w:ascii="Arial" w:cs="Arial" w:eastAsia="Arial" w:hAnsi="Arial"/>
                <w:sz w:val="14"/>
                <w:szCs w:val="14"/>
                <w:b w:val="1"/>
                <w:bCs w:val="1"/>
                <w:color w:val="1383C6"/>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82"/>
              <w:spacing w:after="0"/>
              <w:rPr>
                <w:sz w:val="20"/>
                <w:szCs w:val="20"/>
                <w:color w:val="auto"/>
              </w:rPr>
            </w:pPr>
            <w:r>
              <w:rPr>
                <w:rFonts w:ascii="Arial" w:cs="Arial" w:eastAsia="Arial" w:hAnsi="Arial"/>
                <w:sz w:val="14"/>
                <w:szCs w:val="14"/>
                <w:b w:val="1"/>
                <w:bCs w:val="1"/>
                <w:color w:val="auto"/>
              </w:rPr>
              <w:t>2024</w:t>
            </w:r>
          </w:p>
        </w:tc>
      </w:tr>
      <w:tr>
        <w:trPr>
          <w:trHeight w:val="207"/>
        </w:trPr>
        <w:tc>
          <w:tcPr>
            <w:tcW w:w="78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E7F2F9"/>
          </w:tcPr>
          <w:p>
            <w:pPr>
              <w:spacing w:after="0"/>
              <w:rPr>
                <w:sz w:val="18"/>
                <w:szCs w:val="18"/>
                <w:color w:val="auto"/>
              </w:rPr>
            </w:pPr>
          </w:p>
        </w:tc>
        <w:tc>
          <w:tcPr>
            <w:tcW w:w="1320" w:type="dxa"/>
            <w:vAlign w:val="bottom"/>
            <w:tcBorders>
              <w:top w:val="single" w:sz="8" w:color="auto"/>
            </w:tcBorders>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E7F2F9"/>
          </w:tcPr>
          <w:p>
            <w:pPr>
              <w:spacing w:after="0"/>
              <w:rPr>
                <w:sz w:val="19"/>
                <w:szCs w:val="19"/>
                <w:color w:val="auto"/>
              </w:rPr>
            </w:pPr>
          </w:p>
        </w:tc>
        <w:tc>
          <w:tcPr>
            <w:tcW w:w="1320" w:type="dxa"/>
            <w:vAlign w:val="bottom"/>
            <w:shd w:val="clear" w:color="auto" w:fill="E7F2F9"/>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rPr>
              <w:t>$</w:t>
            </w: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54,803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55,370</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259,932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334,561</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32,257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27,524</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Inventory, net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53,839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58,755</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12,266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18,781</w:t>
            </w:r>
          </w:p>
        </w:tc>
      </w:tr>
      <w:tr>
        <w:trPr>
          <w:trHeight w:val="242"/>
        </w:trPr>
        <w:tc>
          <w:tcPr>
            <w:tcW w:w="7820" w:type="dxa"/>
            <w:vAlign w:val="bottom"/>
          </w:tcPr>
          <w:p>
            <w:pPr>
              <w:ind w:left="80"/>
              <w:spacing w:after="0"/>
              <w:rPr>
                <w:sz w:val="20"/>
                <w:szCs w:val="20"/>
                <w:color w:val="auto"/>
              </w:rPr>
            </w:pPr>
            <w:r>
              <w:rPr>
                <w:rFonts w:ascii="Arial" w:cs="Arial" w:eastAsia="Arial" w:hAnsi="Arial"/>
                <w:sz w:val="16"/>
                <w:szCs w:val="16"/>
                <w:color w:val="auto"/>
              </w:rPr>
              <w:t>Short-term restricted cash</w:t>
            </w:r>
          </w:p>
        </w:tc>
        <w:tc>
          <w:tcPr>
            <w:tcW w:w="340" w:type="dxa"/>
            <w:vAlign w:val="bottom"/>
            <w:tcBorders>
              <w:bottom w:val="single" w:sz="8" w:color="auto"/>
            </w:tcBorders>
            <w:shd w:val="clear" w:color="auto" w:fill="E7F2F9"/>
          </w:tcPr>
          <w:p>
            <w:pPr>
              <w:spacing w:after="0"/>
              <w:rPr>
                <w:sz w:val="21"/>
                <w:szCs w:val="21"/>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r>
      <w:tr>
        <w:trPr>
          <w:trHeight w:val="219"/>
        </w:trPr>
        <w:tc>
          <w:tcPr>
            <w:tcW w:w="7820" w:type="dxa"/>
            <w:vAlign w:val="bottom"/>
          </w:tcPr>
          <w:p>
            <w:pPr>
              <w:ind w:left="40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E7F2F9"/>
          </w:tcPr>
          <w:p>
            <w:pPr>
              <w:spacing w:after="0"/>
              <w:rPr>
                <w:sz w:val="19"/>
                <w:szCs w:val="19"/>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413,397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495,681</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23,102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30,505</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43,504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16,091</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Long-term restricted cash</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389,572</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317,761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317,761</w:t>
            </w:r>
          </w:p>
        </w:tc>
      </w:tr>
      <w:tr>
        <w:trPr>
          <w:trHeight w:val="242"/>
        </w:trPr>
        <w:tc>
          <w:tcPr>
            <w:tcW w:w="7820" w:type="dxa"/>
            <w:vAlign w:val="bottom"/>
          </w:tcPr>
          <w:p>
            <w:pPr>
              <w:spacing w:after="0"/>
              <w:rPr>
                <w:sz w:val="20"/>
                <w:szCs w:val="20"/>
                <w:color w:val="auto"/>
              </w:rPr>
            </w:pPr>
            <w:r>
              <w:rPr>
                <w:rFonts w:ascii="Arial" w:cs="Arial" w:eastAsia="Arial" w:hAnsi="Arial"/>
                <w:sz w:val="16"/>
                <w:szCs w:val="16"/>
                <w:color w:val="auto"/>
              </w:rPr>
              <w:t>Other long-term assets</w:t>
            </w:r>
          </w:p>
        </w:tc>
        <w:tc>
          <w:tcPr>
            <w:tcW w:w="340" w:type="dxa"/>
            <w:vAlign w:val="bottom"/>
            <w:tcBorders>
              <w:bottom w:val="single" w:sz="8" w:color="auto"/>
            </w:tcBorders>
            <w:shd w:val="clear" w:color="auto" w:fill="E7F2F9"/>
          </w:tcPr>
          <w:p>
            <w:pPr>
              <w:spacing w:after="0"/>
              <w:rPr>
                <w:sz w:val="21"/>
                <w:szCs w:val="21"/>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9,011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9,305</w:t>
            </w:r>
          </w:p>
        </w:tc>
      </w:tr>
      <w:tr>
        <w:trPr>
          <w:trHeight w:val="273"/>
        </w:trPr>
        <w:tc>
          <w:tcPr>
            <w:tcW w:w="7820" w:type="dxa"/>
            <w:vAlign w:val="bottom"/>
          </w:tcPr>
          <w:p>
            <w:pPr>
              <w:ind w:left="400"/>
              <w:spacing w:after="0"/>
              <w:rPr>
                <w:sz w:val="20"/>
                <w:szCs w:val="20"/>
                <w:color w:val="auto"/>
              </w:rPr>
            </w:pPr>
            <w:r>
              <w:rPr>
                <w:rFonts w:ascii="Arial" w:cs="Arial" w:eastAsia="Arial" w:hAnsi="Arial"/>
                <w:sz w:val="16"/>
                <w:szCs w:val="16"/>
                <w:color w:val="auto"/>
              </w:rPr>
              <w:t>Total assets</w:t>
            </w:r>
          </w:p>
        </w:tc>
        <w:tc>
          <w:tcPr>
            <w:tcW w:w="34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rPr>
              <w:t>$</w:t>
            </w: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825,470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1,260,447</w:t>
            </w:r>
          </w:p>
        </w:tc>
      </w:tr>
      <w:tr>
        <w:trPr>
          <w:trHeight w:val="194"/>
        </w:trPr>
        <w:tc>
          <w:tcPr>
            <w:tcW w:w="782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tcBorders>
            <w:shd w:val="clear" w:color="auto" w:fill="E7F2F9"/>
          </w:tcPr>
          <w:p>
            <w:pPr>
              <w:spacing w:after="0"/>
              <w:rPr>
                <w:sz w:val="16"/>
                <w:szCs w:val="16"/>
                <w:color w:val="auto"/>
              </w:rPr>
            </w:pPr>
          </w:p>
        </w:tc>
        <w:tc>
          <w:tcPr>
            <w:tcW w:w="132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E7F2F9"/>
          </w:tcPr>
          <w:p>
            <w:pPr>
              <w:spacing w:after="0"/>
              <w:rPr>
                <w:sz w:val="19"/>
                <w:szCs w:val="19"/>
                <w:color w:val="auto"/>
              </w:rPr>
            </w:pPr>
          </w:p>
        </w:tc>
        <w:tc>
          <w:tcPr>
            <w:tcW w:w="1320" w:type="dxa"/>
            <w:vAlign w:val="bottom"/>
            <w:shd w:val="clear" w:color="auto" w:fill="E7F2F9"/>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rPr>
              <w:t>$</w:t>
            </w: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15,055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16,590</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26,541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22,595</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Deferred revenue, 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14,863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13,864</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10,026</w:t>
            </w:r>
          </w:p>
        </w:tc>
      </w:tr>
      <w:tr>
        <w:trPr>
          <w:trHeight w:val="242"/>
        </w:trPr>
        <w:tc>
          <w:tcPr>
            <w:tcW w:w="7820" w:type="dxa"/>
            <w:vAlign w:val="bottom"/>
          </w:tcPr>
          <w:p>
            <w:pPr>
              <w:ind w:left="80"/>
              <w:spacing w:after="0"/>
              <w:rPr>
                <w:sz w:val="20"/>
                <w:szCs w:val="20"/>
                <w:color w:val="auto"/>
              </w:rPr>
            </w:pPr>
            <w:r>
              <w:rPr>
                <w:rFonts w:ascii="Arial" w:cs="Arial" w:eastAsia="Arial" w:hAnsi="Arial"/>
                <w:sz w:val="16"/>
                <w:szCs w:val="16"/>
                <w:color w:val="auto"/>
              </w:rPr>
              <w:t>Other liabilities, current</w:t>
            </w:r>
          </w:p>
        </w:tc>
        <w:tc>
          <w:tcPr>
            <w:tcW w:w="340" w:type="dxa"/>
            <w:vAlign w:val="bottom"/>
            <w:tcBorders>
              <w:bottom w:val="single" w:sz="8" w:color="auto"/>
            </w:tcBorders>
            <w:shd w:val="clear" w:color="auto" w:fill="E7F2F9"/>
          </w:tcPr>
          <w:p>
            <w:pPr>
              <w:spacing w:after="0"/>
              <w:rPr>
                <w:sz w:val="21"/>
                <w:szCs w:val="21"/>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2,592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3,224</w:t>
            </w:r>
          </w:p>
        </w:tc>
      </w:tr>
      <w:tr>
        <w:trPr>
          <w:trHeight w:val="219"/>
        </w:trPr>
        <w:tc>
          <w:tcPr>
            <w:tcW w:w="782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E7F2F9"/>
          </w:tcPr>
          <w:p>
            <w:pPr>
              <w:spacing w:after="0"/>
              <w:rPr>
                <w:sz w:val="19"/>
                <w:szCs w:val="19"/>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59,754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66,299</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Deferred revenue, non-current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5,709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5,900</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Contingent consideration liability, non-current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18,700</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52,082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14,914</w:t>
            </w:r>
          </w:p>
        </w:tc>
      </w:tr>
      <w:tr>
        <w:trPr>
          <w:trHeight w:val="234"/>
        </w:trPr>
        <w:tc>
          <w:tcPr>
            <w:tcW w:w="7820" w:type="dxa"/>
            <w:vAlign w:val="bottom"/>
          </w:tcPr>
          <w:p>
            <w:pPr>
              <w:spacing w:after="0"/>
              <w:rPr>
                <w:sz w:val="20"/>
                <w:szCs w:val="20"/>
                <w:color w:val="auto"/>
              </w:rPr>
            </w:pPr>
            <w:r>
              <w:rPr>
                <w:rFonts w:ascii="Arial" w:cs="Arial" w:eastAsia="Arial" w:hAnsi="Arial"/>
                <w:sz w:val="16"/>
                <w:szCs w:val="16"/>
                <w:color w:val="auto"/>
              </w:rPr>
              <w:t>Convertible senior notes, net, non-current</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646,436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647,494</w:t>
            </w:r>
          </w:p>
        </w:tc>
      </w:tr>
      <w:tr>
        <w:trPr>
          <w:trHeight w:val="242"/>
        </w:trPr>
        <w:tc>
          <w:tcPr>
            <w:tcW w:w="7820" w:type="dxa"/>
            <w:vAlign w:val="bottom"/>
          </w:tcPr>
          <w:p>
            <w:pPr>
              <w:spacing w:after="0"/>
              <w:rPr>
                <w:sz w:val="20"/>
                <w:szCs w:val="20"/>
                <w:color w:val="auto"/>
              </w:rPr>
            </w:pPr>
            <w:r>
              <w:rPr>
                <w:rFonts w:ascii="Arial" w:cs="Arial" w:eastAsia="Arial" w:hAnsi="Arial"/>
                <w:sz w:val="16"/>
                <w:szCs w:val="16"/>
                <w:color w:val="auto"/>
              </w:rPr>
              <w:t>Other liabilities, non-current</w:t>
            </w:r>
          </w:p>
        </w:tc>
        <w:tc>
          <w:tcPr>
            <w:tcW w:w="340" w:type="dxa"/>
            <w:vAlign w:val="bottom"/>
            <w:tcBorders>
              <w:bottom w:val="single" w:sz="8" w:color="auto"/>
            </w:tcBorders>
            <w:shd w:val="clear" w:color="auto" w:fill="E7F2F9"/>
          </w:tcPr>
          <w:p>
            <w:pPr>
              <w:spacing w:after="0"/>
              <w:rPr>
                <w:sz w:val="21"/>
                <w:szCs w:val="21"/>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27"/>
        </w:trPr>
        <w:tc>
          <w:tcPr>
            <w:tcW w:w="7820" w:type="dxa"/>
            <w:vAlign w:val="bottom"/>
          </w:tcPr>
          <w:p>
            <w:pPr>
              <w:ind w:left="40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E7F2F9"/>
          </w:tcPr>
          <w:p>
            <w:pPr>
              <w:spacing w:after="0"/>
              <w:rPr>
                <w:sz w:val="19"/>
                <w:szCs w:val="19"/>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763,981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753,853</w:t>
            </w:r>
          </w:p>
        </w:tc>
      </w:tr>
      <w:tr>
        <w:trPr>
          <w:trHeight w:val="258"/>
        </w:trPr>
        <w:tc>
          <w:tcPr>
            <w:tcW w:w="78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40" w:type="dxa"/>
            <w:vAlign w:val="bottom"/>
            <w:shd w:val="clear" w:color="auto" w:fill="E7F2F9"/>
          </w:tcPr>
          <w:p>
            <w:pPr>
              <w:spacing w:after="0"/>
              <w:rPr>
                <w:sz w:val="22"/>
                <w:szCs w:val="22"/>
                <w:color w:val="auto"/>
              </w:rPr>
            </w:pPr>
          </w:p>
        </w:tc>
        <w:tc>
          <w:tcPr>
            <w:tcW w:w="1320" w:type="dxa"/>
            <w:vAlign w:val="bottom"/>
            <w:shd w:val="clear" w:color="auto" w:fill="E7F2F9"/>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6"/>
        </w:trPr>
        <w:tc>
          <w:tcPr>
            <w:tcW w:w="7820" w:type="dxa"/>
            <w:vAlign w:val="bottom"/>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E7F2F9"/>
          </w:tcPr>
          <w:p>
            <w:pPr>
              <w:spacing w:after="0"/>
              <w:rPr>
                <w:sz w:val="24"/>
                <w:szCs w:val="24"/>
                <w:color w:val="auto"/>
              </w:rPr>
            </w:pPr>
          </w:p>
        </w:tc>
        <w:tc>
          <w:tcPr>
            <w:tcW w:w="1320" w:type="dxa"/>
            <w:vAlign w:val="bottom"/>
            <w:shd w:val="clear" w:color="auto" w:fill="E7F2F9"/>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Preferred stock, $0.001 par value:</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Authorized 50,000 shares; No shares issued or outstanding</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Common stock, $0.001 par value:</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1"/>
        </w:trPr>
        <w:tc>
          <w:tcPr>
            <w:tcW w:w="7820" w:type="dxa"/>
            <w:vAlign w:val="bottom"/>
          </w:tcPr>
          <w:p>
            <w:pPr>
              <w:ind w:left="80"/>
              <w:spacing w:after="0"/>
              <w:rPr>
                <w:sz w:val="20"/>
                <w:szCs w:val="20"/>
                <w:color w:val="auto"/>
              </w:rPr>
            </w:pPr>
            <w:r>
              <w:rPr>
                <w:rFonts w:ascii="Arial" w:cs="Arial" w:eastAsia="Arial" w:hAnsi="Arial"/>
                <w:sz w:val="16"/>
                <w:szCs w:val="16"/>
                <w:color w:val="auto"/>
              </w:rPr>
              <w:t>Authorized 1,000,000 shares; issued and outstanding 300,350 and 294,418 shares at June 30, 2025 and</w:t>
            </w:r>
          </w:p>
        </w:tc>
        <w:tc>
          <w:tcPr>
            <w:tcW w:w="340" w:type="dxa"/>
            <w:vAlign w:val="bottom"/>
            <w:shd w:val="clear" w:color="auto" w:fill="E7F2F9"/>
          </w:tcPr>
          <w:p>
            <w:pPr>
              <w:spacing w:after="0"/>
              <w:rPr>
                <w:sz w:val="18"/>
                <w:szCs w:val="18"/>
                <w:color w:val="auto"/>
              </w:rPr>
            </w:pPr>
          </w:p>
        </w:tc>
        <w:tc>
          <w:tcPr>
            <w:tcW w:w="1320" w:type="dxa"/>
            <w:vAlign w:val="bottom"/>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7820" w:type="dxa"/>
            <w:vAlign w:val="bottom"/>
          </w:tcPr>
          <w:p>
            <w:pPr>
              <w:ind w:left="80"/>
              <w:spacing w:after="0"/>
              <w:rPr>
                <w:sz w:val="20"/>
                <w:szCs w:val="20"/>
                <w:color w:val="auto"/>
              </w:rPr>
            </w:pPr>
            <w:r>
              <w:rPr>
                <w:rFonts w:ascii="Arial" w:cs="Arial" w:eastAsia="Arial" w:hAnsi="Arial"/>
                <w:sz w:val="16"/>
                <w:szCs w:val="16"/>
                <w:color w:val="auto"/>
              </w:rPr>
              <w:t>December 31, 2024, respectively</w:t>
            </w:r>
          </w:p>
        </w:tc>
        <w:tc>
          <w:tcPr>
            <w:tcW w:w="340" w:type="dxa"/>
            <w:vAlign w:val="bottom"/>
            <w:shd w:val="clear" w:color="auto" w:fill="E7F2F9"/>
          </w:tcPr>
          <w:p>
            <w:pPr>
              <w:spacing w:after="0"/>
              <w:rPr>
                <w:sz w:val="18"/>
                <w:szCs w:val="18"/>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2,677,853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2,654,804</w:t>
            </w:r>
          </w:p>
        </w:tc>
      </w:tr>
      <w:tr>
        <w:trPr>
          <w:trHeight w:val="234"/>
        </w:trPr>
        <w:tc>
          <w:tcPr>
            <w:tcW w:w="7820" w:type="dxa"/>
            <w:vAlign w:val="bottom"/>
          </w:tcPr>
          <w:p>
            <w:pPr>
              <w:ind w:left="8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42"/>
        </w:trPr>
        <w:tc>
          <w:tcPr>
            <w:tcW w:w="7820" w:type="dxa"/>
            <w:vAlign w:val="bottom"/>
          </w:tcPr>
          <w:p>
            <w:pPr>
              <w:ind w:left="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E7F2F9"/>
          </w:tcPr>
          <w:p>
            <w:pPr>
              <w:spacing w:after="0"/>
              <w:rPr>
                <w:sz w:val="21"/>
                <w:szCs w:val="21"/>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(2,616,931)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(2,148,926)</w:t>
            </w:r>
          </w:p>
        </w:tc>
      </w:tr>
      <w:tr>
        <w:trPr>
          <w:trHeight w:val="227"/>
        </w:trPr>
        <w:tc>
          <w:tcPr>
            <w:tcW w:w="7820" w:type="dxa"/>
            <w:vAlign w:val="bottom"/>
          </w:tcPr>
          <w:p>
            <w:pPr>
              <w:ind w:left="40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E7F2F9"/>
          </w:tcPr>
          <w:p>
            <w:pPr>
              <w:spacing w:after="0"/>
              <w:rPr>
                <w:sz w:val="19"/>
                <w:szCs w:val="19"/>
                <w:color w:val="auto"/>
              </w:rPr>
            </w:pPr>
          </w:p>
        </w:tc>
        <w:tc>
          <w:tcPr>
            <w:tcW w:w="13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61,489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506,594</w:t>
            </w:r>
          </w:p>
        </w:tc>
      </w:tr>
      <w:tr>
        <w:trPr>
          <w:trHeight w:val="247"/>
        </w:trPr>
        <w:tc>
          <w:tcPr>
            <w:tcW w:w="7820" w:type="dxa"/>
            <w:vAlign w:val="bottom"/>
          </w:tcPr>
          <w:p>
            <w:pPr>
              <w:ind w:left="40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rPr>
              <w:t>$</w:t>
            </w: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825,470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1,260,447</w:t>
            </w:r>
          </w:p>
        </w:tc>
      </w:tr>
      <w:tr>
        <w:trPr>
          <w:trHeight w:val="20"/>
        </w:trPr>
        <w:tc>
          <w:tcPr>
            <w:tcW w:w="7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1080"/>
        <w:spacing w:after="0"/>
        <w:tabs>
          <w:tab w:leader="none" w:pos="11120" w:val="left"/>
        </w:tabs>
        <w:rPr>
          <w:sz w:val="20"/>
          <w:szCs w:val="20"/>
          <w:color w:val="auto"/>
        </w:rPr>
      </w:pPr>
      <w:r>
        <w:rPr>
          <w:rFonts w:ascii="Arial" w:cs="Arial" w:eastAsia="Arial" w:hAnsi="Arial"/>
          <w:sz w:val="17"/>
          <w:szCs w:val="17"/>
          <w:color w:val="DF1995"/>
        </w:rPr>
        <w:t>Q2 Fiscal 2025 Form 10-Q</w:t>
      </w:r>
      <w:r>
        <w:rPr>
          <w:sz w:val="20"/>
          <w:szCs w:val="20"/>
          <w:color w:val="auto"/>
        </w:rPr>
        <w:tab/>
      </w:r>
      <w:r>
        <w:rPr>
          <w:rFonts w:ascii="Arial" w:cs="Arial" w:eastAsia="Arial" w:hAnsi="Arial"/>
          <w:sz w:val="14"/>
          <w:szCs w:val="14"/>
          <w:color w:val="DF199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138430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-121285</wp:posOffset>
            </wp:positionV>
            <wp:extent cx="396240" cy="82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597535</wp:posOffset>
            </wp:positionV>
            <wp:extent cx="7137400"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6" w:lineRule="exact"/>
        <w:rPr>
          <w:sz w:val="20"/>
          <w:szCs w:val="20"/>
          <w:color w:val="auto"/>
        </w:rPr>
      </w:pPr>
    </w:p>
    <w:p>
      <w:pPr>
        <w:ind w:left="20" w:right="2800"/>
        <w:spacing w:after="0" w:line="258" w:lineRule="auto"/>
        <w:rPr>
          <w:sz w:val="20"/>
          <w:szCs w:val="20"/>
          <w:color w:val="auto"/>
        </w:rPr>
      </w:pPr>
      <w:r>
        <w:rPr>
          <w:rFonts w:ascii="Arial" w:cs="Arial" w:eastAsia="Arial" w:hAnsi="Arial"/>
          <w:sz w:val="19"/>
          <w:szCs w:val="19"/>
          <w:color w:val="FFFFFF"/>
        </w:rPr>
        <w:t>CONDENSED CONSOLIDATED STATEMENTS OF OPERATIONS AND COMPREHENSIVE LOSS (Unaudited)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98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top w:val="single" w:sz="8" w:color="auto"/>
              <w:bottom w:val="single" w:sz="8" w:color="auto"/>
            </w:tcBorders>
            <w:shd w:val="clear" w:color="auto" w:fill="E7F2F9"/>
          </w:tcPr>
          <w:p>
            <w:pPr>
              <w:spacing w:after="0"/>
              <w:rPr>
                <w:sz w:val="18"/>
                <w:szCs w:val="18"/>
                <w:color w:val="auto"/>
              </w:rPr>
            </w:pPr>
          </w:p>
        </w:tc>
        <w:tc>
          <w:tcPr>
            <w:tcW w:w="136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E7F2F9"/>
          </w:tcPr>
          <w:p>
            <w:pPr>
              <w:spacing w:after="0"/>
              <w:rPr>
                <w:sz w:val="18"/>
                <w:szCs w:val="18"/>
                <w:color w:val="auto"/>
              </w:rPr>
            </w:pPr>
          </w:p>
        </w:tc>
        <w:tc>
          <w:tcPr>
            <w:tcW w:w="138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r>
      <w:tr>
        <w:trPr>
          <w:trHeight w:val="206"/>
        </w:trPr>
        <w:tc>
          <w:tcPr>
            <w:tcW w:w="496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E7F2F9"/>
          </w:tcPr>
          <w:p>
            <w:pPr>
              <w:spacing w:after="0"/>
              <w:rPr>
                <w:sz w:val="17"/>
                <w:szCs w:val="17"/>
                <w:color w:val="auto"/>
              </w:rPr>
            </w:pPr>
          </w:p>
        </w:tc>
        <w:tc>
          <w:tcPr>
            <w:tcW w:w="136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38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Product revenue</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33,083</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31,746</w:t>
            </w:r>
          </w:p>
        </w:tc>
        <w:tc>
          <w:tcPr>
            <w:tcW w:w="80" w:type="dxa"/>
            <w:vAlign w:val="bottom"/>
          </w:tcPr>
          <w:p>
            <w:pPr>
              <w:spacing w:after="0"/>
              <w:rPr>
                <w:sz w:val="20"/>
                <w:szCs w:val="20"/>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64,196</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66,755</w:t>
            </w:r>
          </w:p>
        </w:tc>
      </w:tr>
      <w:tr>
        <w:trPr>
          <w:trHeight w:val="242"/>
        </w:trPr>
        <w:tc>
          <w:tcPr>
            <w:tcW w:w="4960" w:type="dxa"/>
            <w:vAlign w:val="bottom"/>
          </w:tcPr>
          <w:p>
            <w:pPr>
              <w:ind w:left="460"/>
              <w:spacing w:after="0"/>
              <w:rPr>
                <w:sz w:val="20"/>
                <w:szCs w:val="20"/>
                <w:color w:val="auto"/>
              </w:rPr>
            </w:pPr>
            <w:r>
              <w:rPr>
                <w:rFonts w:ascii="Arial" w:cs="Arial" w:eastAsia="Arial" w:hAnsi="Arial"/>
                <w:sz w:val="16"/>
                <w:szCs w:val="16"/>
                <w:color w:val="auto"/>
              </w:rPr>
              <w:t>Service and other revenue</w:t>
            </w: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6,683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4,267</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12,723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w:t>
            </w:r>
          </w:p>
        </w:tc>
      </w:tr>
      <w:tr>
        <w:trPr>
          <w:trHeight w:val="219"/>
        </w:trPr>
        <w:tc>
          <w:tcPr>
            <w:tcW w:w="4960" w:type="dxa"/>
            <w:vAlign w:val="bottom"/>
          </w:tcPr>
          <w:p>
            <w:pPr>
              <w:ind w:left="78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E7F2F9"/>
          </w:tcPr>
          <w:p>
            <w:pPr>
              <w:spacing w:after="0"/>
              <w:rPr>
                <w:sz w:val="19"/>
                <w:szCs w:val="19"/>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39,766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36,013</w:t>
            </w:r>
          </w:p>
        </w:tc>
        <w:tc>
          <w:tcPr>
            <w:tcW w:w="80" w:type="dxa"/>
            <w:vAlign w:val="bottom"/>
          </w:tcPr>
          <w:p>
            <w:pPr>
              <w:spacing w:after="0"/>
              <w:rPr>
                <w:sz w:val="19"/>
                <w:szCs w:val="19"/>
                <w:color w:val="auto"/>
              </w:rPr>
            </w:pPr>
          </w:p>
        </w:tc>
        <w:tc>
          <w:tcPr>
            <w:tcW w:w="120" w:type="dxa"/>
            <w:vAlign w:val="bottom"/>
            <w:shd w:val="clear" w:color="auto" w:fill="E7F2F9"/>
          </w:tcPr>
          <w:p>
            <w:pPr>
              <w:spacing w:after="0"/>
              <w:rPr>
                <w:sz w:val="19"/>
                <w:szCs w:val="19"/>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76,919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74,823</w:t>
            </w:r>
          </w:p>
        </w:tc>
      </w:tr>
      <w:tr>
        <w:trPr>
          <w:trHeight w:val="234"/>
        </w:trPr>
        <w:tc>
          <w:tcPr>
            <w:tcW w:w="4960" w:type="dxa"/>
            <w:vAlign w:val="bottom"/>
          </w:tcPr>
          <w:p>
            <w:pPr>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Cost of product revenue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20,022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23,083</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46,355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45,530</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Cost of service and other revenue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3,366</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8,631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7,104</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Amortization of acquired intangible assets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2,628</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4,528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3,971</w:t>
            </w:r>
          </w:p>
        </w:tc>
      </w:tr>
      <w:tr>
        <w:trPr>
          <w:trHeight w:val="242"/>
        </w:trPr>
        <w:tc>
          <w:tcPr>
            <w:tcW w:w="4960" w:type="dxa"/>
            <w:vAlign w:val="bottom"/>
          </w:tcPr>
          <w:p>
            <w:pPr>
              <w:ind w:left="460"/>
              <w:spacing w:after="0"/>
              <w:rPr>
                <w:sz w:val="20"/>
                <w:szCs w:val="20"/>
                <w:color w:val="auto"/>
              </w:rPr>
            </w:pPr>
            <w:r>
              <w:rPr>
                <w:rFonts w:ascii="Arial" w:cs="Arial" w:eastAsia="Arial" w:hAnsi="Arial"/>
                <w:sz w:val="16"/>
                <w:szCs w:val="16"/>
                <w:color w:val="auto"/>
              </w:rPr>
              <w:t>Loss on purchase commitment</w:t>
            </w: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4,092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r>
      <w:tr>
        <w:trPr>
          <w:trHeight w:val="227"/>
        </w:trPr>
        <w:tc>
          <w:tcPr>
            <w:tcW w:w="4960" w:type="dxa"/>
            <w:vAlign w:val="bottom"/>
          </w:tcPr>
          <w:p>
            <w:pPr>
              <w:ind w:left="78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E7F2F9"/>
          </w:tcPr>
          <w:p>
            <w:pPr>
              <w:spacing w:after="0"/>
              <w:rPr>
                <w:sz w:val="19"/>
                <w:szCs w:val="19"/>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25,082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30,075</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63,606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57,603</w:t>
            </w:r>
          </w:p>
        </w:tc>
      </w:tr>
      <w:tr>
        <w:trPr>
          <w:trHeight w:val="219"/>
        </w:trPr>
        <w:tc>
          <w:tcPr>
            <w:tcW w:w="4960" w:type="dxa"/>
            <w:vAlign w:val="bottom"/>
          </w:tcPr>
          <w:p>
            <w:pPr>
              <w:ind w:left="1260"/>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E7F2F9"/>
          </w:tcPr>
          <w:p>
            <w:pPr>
              <w:spacing w:after="0"/>
              <w:rPr>
                <w:sz w:val="19"/>
                <w:szCs w:val="19"/>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14,684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5,938</w:t>
            </w:r>
          </w:p>
        </w:tc>
        <w:tc>
          <w:tcPr>
            <w:tcW w:w="80" w:type="dxa"/>
            <w:vAlign w:val="bottom"/>
          </w:tcPr>
          <w:p>
            <w:pPr>
              <w:spacing w:after="0"/>
              <w:rPr>
                <w:sz w:val="19"/>
                <w:szCs w:val="19"/>
                <w:color w:val="auto"/>
              </w:rPr>
            </w:pPr>
          </w:p>
        </w:tc>
        <w:tc>
          <w:tcPr>
            <w:tcW w:w="120" w:type="dxa"/>
            <w:vAlign w:val="bottom"/>
            <w:shd w:val="clear" w:color="auto" w:fill="E7F2F9"/>
          </w:tcPr>
          <w:p>
            <w:pPr>
              <w:spacing w:after="0"/>
              <w:rPr>
                <w:sz w:val="19"/>
                <w:szCs w:val="19"/>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13,313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17,220</w:t>
            </w:r>
          </w:p>
        </w:tc>
      </w:tr>
      <w:tr>
        <w:trPr>
          <w:trHeight w:val="234"/>
        </w:trPr>
        <w:tc>
          <w:tcPr>
            <w:tcW w:w="4960" w:type="dxa"/>
            <w:vAlign w:val="bottom"/>
          </w:tcPr>
          <w:p>
            <w:pPr>
              <w:spacing w:after="0"/>
              <w:rPr>
                <w:sz w:val="20"/>
                <w:szCs w:val="20"/>
                <w:color w:val="auto"/>
              </w:rPr>
            </w:pPr>
            <w:r>
              <w:rPr>
                <w:rFonts w:ascii="Arial" w:cs="Arial" w:eastAsia="Arial" w:hAnsi="Arial"/>
                <w:sz w:val="16"/>
                <w:szCs w:val="16"/>
                <w:color w:val="auto"/>
              </w:rPr>
              <w:t>Operating Expense: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22,529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38,485</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51,582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81,940</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Sales, general and administrative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36,175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45,877</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89,630</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Impairment charges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93,200</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93,200</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Amortization of acquired intangible assets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4,222</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362,875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9,728</w:t>
            </w:r>
          </w:p>
        </w:tc>
      </w:tr>
      <w:tr>
        <w:trPr>
          <w:trHeight w:val="242"/>
        </w:trPr>
        <w:tc>
          <w:tcPr>
            <w:tcW w:w="4960" w:type="dxa"/>
            <w:vAlign w:val="bottom"/>
          </w:tcPr>
          <w:p>
            <w:pPr>
              <w:ind w:left="460"/>
              <w:spacing w:after="0"/>
              <w:rPr>
                <w:sz w:val="20"/>
                <w:szCs w:val="20"/>
                <w:color w:val="auto"/>
              </w:rPr>
            </w:pPr>
            <w:r>
              <w:rPr>
                <w:rFonts w:ascii="Arial" w:cs="Arial" w:eastAsia="Arial" w:hAnsi="Arial"/>
                <w:sz w:val="16"/>
                <w:szCs w:val="16"/>
                <w:color w:val="auto"/>
              </w:rPr>
              <w:t>Change in fair value of contingent consideration</w:t>
            </w:r>
          </w:p>
        </w:tc>
        <w:tc>
          <w:tcPr>
            <w:tcW w:w="120" w:type="dxa"/>
            <w:vAlign w:val="bottom"/>
            <w:shd w:val="clear" w:color="auto" w:fill="E7F2F9"/>
          </w:tcPr>
          <w:p>
            <w:pPr>
              <w:spacing w:after="0"/>
              <w:rPr>
                <w:sz w:val="21"/>
                <w:szCs w:val="21"/>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F2F9"/>
          </w:tcPr>
          <w:p>
            <w:pPr>
              <w:spacing w:after="0"/>
              <w:rPr>
                <w:sz w:val="21"/>
                <w:szCs w:val="21"/>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4960" w:type="dxa"/>
            <w:vAlign w:val="bottom"/>
          </w:tcPr>
          <w:p>
            <w:pPr>
              <w:ind w:left="780"/>
              <w:spacing w:after="0"/>
              <w:rPr>
                <w:sz w:val="20"/>
                <w:szCs w:val="20"/>
                <w:color w:val="auto"/>
              </w:rPr>
            </w:pPr>
            <w:r>
              <w:rPr>
                <w:rFonts w:ascii="Arial" w:cs="Arial" w:eastAsia="Arial" w:hAnsi="Arial"/>
                <w:sz w:val="16"/>
                <w:szCs w:val="16"/>
                <w:color w:val="auto"/>
              </w:rPr>
              <w:t>Total operating expense</w:t>
            </w:r>
          </w:p>
        </w:tc>
        <w:tc>
          <w:tcPr>
            <w:tcW w:w="120" w:type="dxa"/>
            <w:vAlign w:val="bottom"/>
            <w:tcBorders>
              <w:top w:val="single" w:sz="8" w:color="auto"/>
            </w:tcBorders>
            <w:shd w:val="clear" w:color="auto" w:fill="E7F2F9"/>
          </w:tcPr>
          <w:p>
            <w:pPr>
              <w:spacing w:after="0"/>
              <w:rPr>
                <w:sz w:val="19"/>
                <w:szCs w:val="19"/>
                <w:color w:val="auto"/>
              </w:rPr>
            </w:pPr>
          </w:p>
        </w:tc>
        <w:tc>
          <w:tcPr>
            <w:tcW w:w="136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59,537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181,784</w:t>
            </w:r>
          </w:p>
        </w:tc>
        <w:tc>
          <w:tcPr>
            <w:tcW w:w="80" w:type="dxa"/>
            <w:vAlign w:val="bottom"/>
          </w:tcPr>
          <w:p>
            <w:pPr>
              <w:spacing w:after="0"/>
              <w:rPr>
                <w:sz w:val="19"/>
                <w:szCs w:val="19"/>
                <w:color w:val="auto"/>
              </w:rPr>
            </w:pPr>
          </w:p>
        </w:tc>
        <w:tc>
          <w:tcPr>
            <w:tcW w:w="120" w:type="dxa"/>
            <w:vAlign w:val="bottom"/>
            <w:tcBorders>
              <w:top w:val="single" w:sz="8" w:color="auto"/>
            </w:tcBorders>
            <w:shd w:val="clear" w:color="auto" w:fill="E7F2F9"/>
          </w:tcPr>
          <w:p>
            <w:pPr>
              <w:spacing w:after="0"/>
              <w:rPr>
                <w:sz w:val="19"/>
                <w:szCs w:val="19"/>
                <w:color w:val="auto"/>
              </w:rPr>
            </w:pPr>
          </w:p>
        </w:tc>
        <w:tc>
          <w:tcPr>
            <w:tcW w:w="138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487,100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274,428</w:t>
            </w:r>
          </w:p>
        </w:tc>
      </w:tr>
      <w:tr>
        <w:trPr>
          <w:trHeight w:val="234"/>
        </w:trPr>
        <w:tc>
          <w:tcPr>
            <w:tcW w:w="4960" w:type="dxa"/>
            <w:vAlign w:val="bottom"/>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(44,853)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(175,846)</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(473,787)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(257,208)</w:t>
            </w:r>
          </w:p>
        </w:tc>
      </w:tr>
      <w:tr>
        <w:trPr>
          <w:trHeight w:val="234"/>
        </w:trPr>
        <w:tc>
          <w:tcPr>
            <w:tcW w:w="4960" w:type="dxa"/>
            <w:vAlign w:val="bottom"/>
          </w:tcPr>
          <w:p>
            <w:pPr>
              <w:ind w:left="46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(3,475)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(7,117)</w:t>
            </w:r>
          </w:p>
        </w:tc>
      </w:tr>
      <w:tr>
        <w:trPr>
          <w:trHeight w:val="242"/>
        </w:trPr>
        <w:tc>
          <w:tcPr>
            <w:tcW w:w="4960" w:type="dxa"/>
            <w:vAlign w:val="bottom"/>
          </w:tcPr>
          <w:p>
            <w:pPr>
              <w:ind w:left="46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4,696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6,069</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8,990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12,828</w:t>
            </w:r>
          </w:p>
        </w:tc>
      </w:tr>
      <w:tr>
        <w:trPr>
          <w:trHeight w:val="219"/>
        </w:trPr>
        <w:tc>
          <w:tcPr>
            <w:tcW w:w="496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20" w:type="dxa"/>
            <w:vAlign w:val="bottom"/>
            <w:shd w:val="clear" w:color="auto" w:fill="E7F2F9"/>
          </w:tcPr>
          <w:p>
            <w:pPr>
              <w:spacing w:after="0"/>
              <w:rPr>
                <w:sz w:val="19"/>
                <w:szCs w:val="19"/>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(173,319)</w:t>
            </w:r>
          </w:p>
        </w:tc>
        <w:tc>
          <w:tcPr>
            <w:tcW w:w="80" w:type="dxa"/>
            <w:vAlign w:val="bottom"/>
          </w:tcPr>
          <w:p>
            <w:pPr>
              <w:spacing w:after="0"/>
              <w:rPr>
                <w:sz w:val="19"/>
                <w:szCs w:val="19"/>
                <w:color w:val="auto"/>
              </w:rPr>
            </w:pPr>
          </w:p>
        </w:tc>
        <w:tc>
          <w:tcPr>
            <w:tcW w:w="120" w:type="dxa"/>
            <w:vAlign w:val="bottom"/>
            <w:shd w:val="clear" w:color="auto" w:fill="E7F2F9"/>
          </w:tcPr>
          <w:p>
            <w:pPr>
              <w:spacing w:after="0"/>
              <w:rPr>
                <w:sz w:val="19"/>
                <w:szCs w:val="19"/>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(251,497)</w:t>
            </w:r>
          </w:p>
        </w:tc>
      </w:tr>
      <w:tr>
        <w:trPr>
          <w:trHeight w:val="242"/>
        </w:trPr>
        <w:tc>
          <w:tcPr>
            <w:tcW w:w="496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20" w:type="dxa"/>
            <w:vAlign w:val="bottom"/>
            <w:shd w:val="clear" w:color="auto" w:fill="E7F2F9"/>
          </w:tcPr>
          <w:p>
            <w:pPr>
              <w:spacing w:after="0"/>
              <w:rPr>
                <w:sz w:val="21"/>
                <w:szCs w:val="21"/>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F2F9"/>
          </w:tcPr>
          <w:p>
            <w:pPr>
              <w:spacing w:after="0"/>
              <w:rPr>
                <w:sz w:val="21"/>
                <w:szCs w:val="21"/>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E7F2F9"/>
          </w:tcPr>
          <w:p>
            <w:pPr>
              <w:spacing w:after="0"/>
              <w:rPr>
                <w:sz w:val="19"/>
                <w:szCs w:val="19"/>
                <w:color w:val="auto"/>
              </w:rPr>
            </w:pPr>
          </w:p>
        </w:tc>
        <w:tc>
          <w:tcPr>
            <w:tcW w:w="136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(41,930)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(173,319)</w:t>
            </w:r>
          </w:p>
        </w:tc>
        <w:tc>
          <w:tcPr>
            <w:tcW w:w="80" w:type="dxa"/>
            <w:vAlign w:val="bottom"/>
          </w:tcPr>
          <w:p>
            <w:pPr>
              <w:spacing w:after="0"/>
              <w:rPr>
                <w:sz w:val="19"/>
                <w:szCs w:val="19"/>
                <w:color w:val="auto"/>
              </w:rPr>
            </w:pPr>
          </w:p>
        </w:tc>
        <w:tc>
          <w:tcPr>
            <w:tcW w:w="120" w:type="dxa"/>
            <w:vAlign w:val="bottom"/>
            <w:tcBorders>
              <w:top w:val="single" w:sz="8" w:color="auto"/>
            </w:tcBorders>
            <w:shd w:val="clear" w:color="auto" w:fill="E7F2F9"/>
          </w:tcPr>
          <w:p>
            <w:pPr>
              <w:spacing w:after="0"/>
              <w:rPr>
                <w:sz w:val="19"/>
                <w:szCs w:val="19"/>
                <w:color w:val="auto"/>
              </w:rPr>
            </w:pPr>
          </w:p>
        </w:tc>
        <w:tc>
          <w:tcPr>
            <w:tcW w:w="138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(468,005)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(251,497)</w:t>
            </w:r>
          </w:p>
        </w:tc>
      </w:tr>
      <w:tr>
        <w:trPr>
          <w:trHeight w:val="234"/>
        </w:trPr>
        <w:tc>
          <w:tcPr>
            <w:tcW w:w="49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2"/>
        </w:trPr>
        <w:tc>
          <w:tcPr>
            <w:tcW w:w="4960" w:type="dxa"/>
            <w:vAlign w:val="bottom"/>
          </w:tcPr>
          <w:p>
            <w:pPr>
              <w:ind w:left="460"/>
              <w:spacing w:after="0"/>
              <w:rPr>
                <w:sz w:val="20"/>
                <w:szCs w:val="20"/>
                <w:color w:val="auto"/>
              </w:rPr>
            </w:pPr>
            <w:r>
              <w:rPr>
                <w:rFonts w:ascii="Arial" w:cs="Arial" w:eastAsia="Arial" w:hAnsi="Arial"/>
                <w:sz w:val="16"/>
                <w:szCs w:val="16"/>
                <w:color w:val="auto"/>
              </w:rPr>
              <w:t>Unrealized loss on investments</w:t>
            </w: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(114)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(155)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73"/>
        </w:trPr>
        <w:tc>
          <w:tcPr>
            <w:tcW w:w="4960" w:type="dxa"/>
            <w:vAlign w:val="bottom"/>
          </w:tcPr>
          <w:p>
            <w:pPr>
              <w:spacing w:after="0"/>
              <w:rPr>
                <w:sz w:val="20"/>
                <w:szCs w:val="20"/>
                <w:color w:val="auto"/>
              </w:rPr>
            </w:pPr>
            <w:r>
              <w:rPr>
                <w:rFonts w:ascii="Arial" w:cs="Arial" w:eastAsia="Arial" w:hAnsi="Arial"/>
                <w:sz w:val="16"/>
                <w:szCs w:val="16"/>
                <w:color w:val="auto"/>
              </w:rPr>
              <w:t>Comprehensive loss</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(42,044)</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(173,536)</w:t>
            </w:r>
          </w:p>
        </w:tc>
        <w:tc>
          <w:tcPr>
            <w:tcW w:w="80" w:type="dxa"/>
            <w:vAlign w:val="bottom"/>
          </w:tcPr>
          <w:p>
            <w:pPr>
              <w:spacing w:after="0"/>
              <w:rPr>
                <w:sz w:val="23"/>
                <w:szCs w:val="23"/>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(468,160)</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(252,239)</w:t>
            </w:r>
          </w:p>
        </w:tc>
      </w:tr>
      <w:tr>
        <w:trPr>
          <w:trHeight w:val="186"/>
        </w:trPr>
        <w:tc>
          <w:tcPr>
            <w:tcW w:w="4960" w:type="dxa"/>
            <w:vAlign w:val="bottom"/>
          </w:tcPr>
          <w:p>
            <w:pPr>
              <w:ind w:left="80"/>
              <w:spacing w:after="0"/>
              <w:rPr>
                <w:sz w:val="20"/>
                <w:szCs w:val="20"/>
                <w:color w:val="auto"/>
              </w:rPr>
            </w:pPr>
            <w:r>
              <w:rPr>
                <w:rFonts w:ascii="Arial" w:cs="Arial" w:eastAsia="Arial" w:hAnsi="Arial"/>
                <w:sz w:val="16"/>
                <w:szCs w:val="16"/>
                <w:color w:val="auto"/>
              </w:rPr>
              <w:t>Net loss per share:</w:t>
            </w:r>
          </w:p>
        </w:tc>
        <w:tc>
          <w:tcPr>
            <w:tcW w:w="120" w:type="dxa"/>
            <w:vAlign w:val="bottom"/>
            <w:tcBorders>
              <w:top w:val="single" w:sz="8" w:color="auto"/>
            </w:tcBorders>
            <w:shd w:val="clear" w:color="auto" w:fill="E7F2F9"/>
          </w:tcPr>
          <w:p>
            <w:pPr>
              <w:spacing w:after="0"/>
              <w:rPr>
                <w:sz w:val="16"/>
                <w:szCs w:val="16"/>
                <w:color w:val="auto"/>
              </w:rPr>
            </w:pPr>
          </w:p>
        </w:tc>
        <w:tc>
          <w:tcPr>
            <w:tcW w:w="136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shd w:val="clear" w:color="auto" w:fill="E7F2F9"/>
          </w:tcPr>
          <w:p>
            <w:pPr>
              <w:spacing w:after="0"/>
              <w:rPr>
                <w:sz w:val="16"/>
                <w:szCs w:val="16"/>
                <w:color w:val="auto"/>
              </w:rPr>
            </w:pPr>
          </w:p>
        </w:tc>
        <w:tc>
          <w:tcPr>
            <w:tcW w:w="138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88"/>
        </w:trPr>
        <w:tc>
          <w:tcPr>
            <w:tcW w:w="4960" w:type="dxa"/>
            <w:vAlign w:val="bottom"/>
          </w:tcPr>
          <w:p>
            <w:pPr>
              <w:ind w:left="46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(0.14)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24"/>
                <w:szCs w:val="24"/>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(1.57)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(0.93)</w:t>
            </w:r>
          </w:p>
        </w:tc>
      </w:tr>
      <w:tr>
        <w:trPr>
          <w:trHeight w:val="266"/>
        </w:trPr>
        <w:tc>
          <w:tcPr>
            <w:tcW w:w="4960" w:type="dxa"/>
            <w:vAlign w:val="bottom"/>
          </w:tcPr>
          <w:p>
            <w:pPr>
              <w:ind w:left="46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(0.14)</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(0.64)</w:t>
            </w:r>
          </w:p>
        </w:tc>
        <w:tc>
          <w:tcPr>
            <w:tcW w:w="80" w:type="dxa"/>
            <w:vAlign w:val="bottom"/>
          </w:tcPr>
          <w:p>
            <w:pPr>
              <w:spacing w:after="0"/>
              <w:rPr>
                <w:sz w:val="23"/>
                <w:szCs w:val="23"/>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(1.57)</w:t>
            </w:r>
          </w:p>
        </w:tc>
        <w:tc>
          <w:tcPr>
            <w:tcW w:w="44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163"/>
        </w:trPr>
        <w:tc>
          <w:tcPr>
            <w:tcW w:w="4960" w:type="dxa"/>
            <w:vAlign w:val="bottom"/>
          </w:tcPr>
          <w:p>
            <w:pPr>
              <w:ind w:left="80"/>
              <w:spacing w:after="0" w:line="163" w:lineRule="exact"/>
              <w:rPr>
                <w:sz w:val="20"/>
                <w:szCs w:val="20"/>
                <w:color w:val="auto"/>
              </w:rPr>
            </w:pPr>
            <w:r>
              <w:rPr>
                <w:rFonts w:ascii="Arial" w:cs="Arial" w:eastAsia="Arial" w:hAnsi="Arial"/>
                <w:sz w:val="16"/>
                <w:szCs w:val="16"/>
                <w:color w:val="auto"/>
                <w:w w:val="98"/>
              </w:rPr>
              <w:t>Weighted average shares outstanding used in calculating net loss per</w:t>
            </w:r>
          </w:p>
        </w:tc>
        <w:tc>
          <w:tcPr>
            <w:tcW w:w="120" w:type="dxa"/>
            <w:vAlign w:val="bottom"/>
            <w:tcBorders>
              <w:top w:val="single" w:sz="8" w:color="auto"/>
            </w:tcBorders>
            <w:shd w:val="clear" w:color="auto" w:fill="E7F2F9"/>
          </w:tcPr>
          <w:p>
            <w:pPr>
              <w:spacing w:after="0"/>
              <w:rPr>
                <w:sz w:val="14"/>
                <w:szCs w:val="14"/>
                <w:color w:val="auto"/>
              </w:rPr>
            </w:pPr>
          </w:p>
        </w:tc>
        <w:tc>
          <w:tcPr>
            <w:tcW w:w="1360" w:type="dxa"/>
            <w:vAlign w:val="bottom"/>
            <w:tcBorders>
              <w:top w:val="single" w:sz="8" w:color="auto"/>
            </w:tcBorders>
            <w:shd w:val="clear" w:color="auto" w:fill="E7F2F9"/>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shd w:val="clear" w:color="auto" w:fill="E7F2F9"/>
          </w:tcPr>
          <w:p>
            <w:pPr>
              <w:spacing w:after="0"/>
              <w:rPr>
                <w:sz w:val="14"/>
                <w:szCs w:val="14"/>
                <w:color w:val="auto"/>
              </w:rPr>
            </w:pPr>
          </w:p>
        </w:tc>
        <w:tc>
          <w:tcPr>
            <w:tcW w:w="1380" w:type="dxa"/>
            <w:vAlign w:val="bottom"/>
            <w:tcBorders>
              <w:top w:val="single" w:sz="8" w:color="auto"/>
            </w:tcBorders>
            <w:shd w:val="clear" w:color="auto" w:fill="E7F2F9"/>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205"/>
        </w:trPr>
        <w:tc>
          <w:tcPr>
            <w:tcW w:w="4960" w:type="dxa"/>
            <w:vAlign w:val="bottom"/>
          </w:tcPr>
          <w:p>
            <w:pPr>
              <w:ind w:left="8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E7F2F9"/>
          </w:tcPr>
          <w:p>
            <w:pPr>
              <w:spacing w:after="0"/>
              <w:rPr>
                <w:sz w:val="17"/>
                <w:szCs w:val="17"/>
                <w:color w:val="auto"/>
              </w:rPr>
            </w:pPr>
          </w:p>
        </w:tc>
        <w:tc>
          <w:tcPr>
            <w:tcW w:w="136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38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01"/>
        </w:trPr>
        <w:tc>
          <w:tcPr>
            <w:tcW w:w="4960" w:type="dxa"/>
            <w:vAlign w:val="bottom"/>
          </w:tcPr>
          <w:p>
            <w:pPr>
              <w:ind w:left="46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E7F2F9"/>
          </w:tcPr>
          <w:p>
            <w:pPr>
              <w:spacing w:after="0"/>
              <w:rPr>
                <w:sz w:val="24"/>
                <w:szCs w:val="24"/>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300,162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272,385</w:t>
            </w:r>
          </w:p>
        </w:tc>
        <w:tc>
          <w:tcPr>
            <w:tcW w:w="80" w:type="dxa"/>
            <w:vAlign w:val="bottom"/>
          </w:tcPr>
          <w:p>
            <w:pPr>
              <w:spacing w:after="0"/>
              <w:rPr>
                <w:sz w:val="24"/>
                <w:szCs w:val="24"/>
                <w:color w:val="auto"/>
              </w:rPr>
            </w:pPr>
          </w:p>
        </w:tc>
        <w:tc>
          <w:tcPr>
            <w:tcW w:w="120" w:type="dxa"/>
            <w:vAlign w:val="bottom"/>
            <w:tcBorders>
              <w:bottom w:val="single" w:sz="8" w:color="auto"/>
            </w:tcBorders>
            <w:shd w:val="clear" w:color="auto" w:fill="E7F2F9"/>
          </w:tcPr>
          <w:p>
            <w:pPr>
              <w:spacing w:after="0"/>
              <w:rPr>
                <w:sz w:val="24"/>
                <w:szCs w:val="24"/>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298,519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270,982</w:t>
            </w:r>
          </w:p>
        </w:tc>
      </w:tr>
      <w:tr>
        <w:trPr>
          <w:trHeight w:val="240"/>
        </w:trPr>
        <w:tc>
          <w:tcPr>
            <w:tcW w:w="4960" w:type="dxa"/>
            <w:vAlign w:val="bottom"/>
          </w:tcPr>
          <w:p>
            <w:pPr>
              <w:ind w:left="46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shd w:val="clear" w:color="auto" w:fill="E7F2F9"/>
          </w:tcPr>
          <w:p>
            <w:pPr>
              <w:spacing w:after="0"/>
              <w:rPr>
                <w:sz w:val="20"/>
                <w:szCs w:val="20"/>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300,162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272,385</w:t>
            </w:r>
          </w:p>
        </w:tc>
        <w:tc>
          <w:tcPr>
            <w:tcW w:w="80" w:type="dxa"/>
            <w:vAlign w:val="bottom"/>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298,519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270,982</w:t>
            </w: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60" w:type="dxa"/>
            <w:vAlign w:val="bottom"/>
            <w:tcBorders>
              <w:top w:val="single" w:sz="8" w:color="E7F2F9"/>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80" w:type="dxa"/>
            <w:vAlign w:val="bottom"/>
            <w:tcBorders>
              <w:top w:val="single" w:sz="8" w:color="E7F2F9"/>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13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00" w:type="dxa"/>
            <w:vAlign w:val="bottom"/>
          </w:tcPr>
          <w:p>
            <w:pPr>
              <w:jc w:val="right"/>
              <w:spacing w:after="0"/>
              <w:rPr>
                <w:sz w:val="20"/>
                <w:szCs w:val="20"/>
                <w:color w:val="auto"/>
              </w:rPr>
            </w:pPr>
            <w:r>
              <w:rPr>
                <w:rFonts w:ascii="Arial" w:cs="Arial" w:eastAsia="Arial" w:hAnsi="Arial"/>
                <w:sz w:val="17"/>
                <w:szCs w:val="17"/>
                <w:color w:val="DF1995"/>
              </w:rPr>
              <w:t>4</w:t>
            </w:r>
          </w:p>
        </w:tc>
      </w:tr>
      <w:tr>
        <w:trPr>
          <w:trHeight w:val="223"/>
        </w:trPr>
        <w:tc>
          <w:tcPr>
            <w:tcW w:w="7140" w:type="dxa"/>
            <w:vAlign w:val="bottom"/>
            <w:tcBorders>
              <w:bottom w:val="single" w:sz="8" w:color="9A9A9A"/>
            </w:tcBorders>
          </w:tcPr>
          <w:p>
            <w:pPr>
              <w:spacing w:after="0"/>
              <w:rPr>
                <w:sz w:val="19"/>
                <w:szCs w:val="19"/>
                <w:color w:val="auto"/>
              </w:rPr>
            </w:pPr>
          </w:p>
        </w:tc>
        <w:tc>
          <w:tcPr>
            <w:tcW w:w="41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597535</wp:posOffset>
            </wp:positionV>
            <wp:extent cx="713740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6" w:lineRule="exact"/>
        <w:rPr>
          <w:sz w:val="20"/>
          <w:szCs w:val="20"/>
          <w:color w:val="auto"/>
        </w:rPr>
      </w:pPr>
    </w:p>
    <w:p>
      <w:pPr>
        <w:ind w:left="20" w:right="4260"/>
        <w:spacing w:after="0" w:line="258" w:lineRule="auto"/>
        <w:rPr>
          <w:sz w:val="20"/>
          <w:szCs w:val="20"/>
          <w:color w:val="auto"/>
        </w:rPr>
      </w:pPr>
      <w:r>
        <w:rPr>
          <w:rFonts w:ascii="Arial" w:cs="Arial" w:eastAsia="Arial" w:hAnsi="Arial"/>
          <w:sz w:val="19"/>
          <w:szCs w:val="19"/>
          <w:color w:val="FFFFFF"/>
        </w:rPr>
        <w:t>CONDENSED CONSOLIDATED STATEMENTS OF STOCKHOLDERS' EQUITY (Unaudited)</w:t>
      </w:r>
    </w:p>
    <w:p>
      <w:pPr>
        <w:spacing w:after="0" w:line="244"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2"/>
                <w:szCs w:val="12"/>
                <w:b w:val="1"/>
                <w:bCs w:val="1"/>
                <w:color w:val="auto"/>
              </w:rPr>
              <w:t>Three Months Ended June 30, 2025</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200" w:type="dxa"/>
            <w:vAlign w:val="bottom"/>
            <w:gridSpan w:val="3"/>
            <w:vMerge w:val="restart"/>
          </w:tcPr>
          <w:p>
            <w:pPr>
              <w:jc w:val="right"/>
              <w:ind w:right="415"/>
              <w:spacing w:after="0"/>
              <w:rPr>
                <w:sz w:val="20"/>
                <w:szCs w:val="20"/>
                <w:color w:val="auto"/>
              </w:rPr>
            </w:pPr>
            <w:r>
              <w:rPr>
                <w:rFonts w:ascii="Arial" w:cs="Arial" w:eastAsia="Arial" w:hAnsi="Arial"/>
                <w:sz w:val="12"/>
                <w:szCs w:val="12"/>
                <w:b w:val="1"/>
                <w:bCs w:val="1"/>
                <w:color w:val="auto"/>
              </w:rPr>
              <w:t>Common Stock</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01"/>
        </w:trPr>
        <w:tc>
          <w:tcPr>
            <w:tcW w:w="286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280"/>
              <w:spacing w:after="0" w:line="115"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8"/>
                <w:szCs w:val="8"/>
                <w:color w:val="auto"/>
              </w:rPr>
            </w:pPr>
          </w:p>
        </w:tc>
        <w:tc>
          <w:tcPr>
            <w:tcW w:w="1160" w:type="dxa"/>
            <w:vAlign w:val="bottom"/>
            <w:gridSpan w:val="2"/>
            <w:vMerge w:val="restart"/>
          </w:tcPr>
          <w:p>
            <w:pPr>
              <w:jc w:val="center"/>
              <w:ind w:right="280"/>
              <w:spacing w:after="0" w:line="115"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8"/>
                <w:szCs w:val="8"/>
                <w:color w:val="auto"/>
              </w:rPr>
            </w:pPr>
          </w:p>
        </w:tc>
        <w:tc>
          <w:tcPr>
            <w:tcW w:w="1100" w:type="dxa"/>
            <w:vAlign w:val="bottom"/>
            <w:vMerge w:val="restart"/>
          </w:tcPr>
          <w:p>
            <w:pPr>
              <w:jc w:val="center"/>
              <w:ind w:right="74"/>
              <w:spacing w:after="0" w:line="11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860" w:type="dxa"/>
            <w:vAlign w:val="bottom"/>
            <w:vMerge w:val="continue"/>
          </w:tcPr>
          <w:p>
            <w:pPr>
              <w:spacing w:after="0"/>
              <w:rPr>
                <w:sz w:val="15"/>
                <w:szCs w:val="15"/>
                <w:color w:val="auto"/>
              </w:rPr>
            </w:pPr>
          </w:p>
        </w:tc>
        <w:tc>
          <w:tcPr>
            <w:tcW w:w="1240" w:type="dxa"/>
            <w:vAlign w:val="bottom"/>
          </w:tcPr>
          <w:p>
            <w:pPr>
              <w:jc w:val="right"/>
              <w:ind w:right="35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Income</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1"/>
        </w:trPr>
        <w:tc>
          <w:tcPr>
            <w:tcW w:w="2860" w:type="dxa"/>
            <w:vAlign w:val="bottom"/>
            <w:tcBorders>
              <w:bottom w:val="single" w:sz="8" w:color="E7F2F9"/>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60" w:type="dxa"/>
            <w:vAlign w:val="bottom"/>
            <w:shd w:val="clear" w:color="auto" w:fill="E7F2F9"/>
          </w:tcPr>
          <w:p>
            <w:pPr>
              <w:spacing w:after="0"/>
              <w:rPr>
                <w:sz w:val="20"/>
                <w:szCs w:val="20"/>
                <w:color w:val="auto"/>
              </w:rPr>
            </w:pPr>
            <w:r>
              <w:rPr>
                <w:rFonts w:ascii="Arial" w:cs="Arial" w:eastAsia="Arial" w:hAnsi="Arial"/>
                <w:sz w:val="14"/>
                <w:szCs w:val="14"/>
                <w:b w:val="1"/>
                <w:bCs w:val="1"/>
                <w:color w:val="1383C6"/>
              </w:rPr>
              <w:t>Balance at March 31, 2025</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300,041</w:t>
            </w:r>
          </w:p>
        </w:tc>
        <w:tc>
          <w:tcPr>
            <w:tcW w:w="960" w:type="dxa"/>
            <w:vAlign w:val="bottom"/>
            <w:gridSpan w:val="2"/>
            <w:shd w:val="clear" w:color="auto" w:fill="E7F2F9"/>
          </w:tcPr>
          <w:p>
            <w:pPr>
              <w:jc w:val="right"/>
              <w:ind w:right="735"/>
              <w:spacing w:after="0"/>
              <w:rPr>
                <w:sz w:val="20"/>
                <w:szCs w:val="20"/>
                <w:color w:val="auto"/>
              </w:rPr>
            </w:pPr>
            <w:r>
              <w:rPr>
                <w:rFonts w:ascii="Arial" w:cs="Arial" w:eastAsia="Arial" w:hAnsi="Arial"/>
                <w:sz w:val="14"/>
                <w:szCs w:val="14"/>
                <w:color w:val="1383C6"/>
              </w:rPr>
              <w:t>$</w:t>
            </w: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300</w:t>
            </w:r>
          </w:p>
        </w:tc>
        <w:tc>
          <w:tcPr>
            <w:tcW w:w="280" w:type="dxa"/>
            <w:vAlign w:val="bottom"/>
            <w:gridSpan w:val="3"/>
            <w:shd w:val="clear" w:color="auto" w:fill="E7F2F9"/>
          </w:tcPr>
          <w:p>
            <w:pPr>
              <w:jc w:val="right"/>
              <w:ind w:right="31"/>
              <w:spacing w:after="0"/>
              <w:rPr>
                <w:sz w:val="20"/>
                <w:szCs w:val="20"/>
                <w:color w:val="auto"/>
              </w:rPr>
            </w:pPr>
            <w:r>
              <w:rPr>
                <w:rFonts w:ascii="Arial" w:cs="Arial" w:eastAsia="Arial" w:hAnsi="Arial"/>
                <w:sz w:val="14"/>
                <w:szCs w:val="14"/>
                <w:color w:val="1383C6"/>
              </w:rPr>
              <w:t>$</w:t>
            </w:r>
          </w:p>
        </w:tc>
        <w:tc>
          <w:tcPr>
            <w:tcW w:w="10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2,665,958</w:t>
            </w:r>
          </w:p>
        </w:tc>
        <w:tc>
          <w:tcPr>
            <w:tcW w:w="80" w:type="dxa"/>
            <w:vAlign w:val="bottom"/>
            <w:shd w:val="clear" w:color="auto" w:fill="E7F2F9"/>
          </w:tcPr>
          <w:p>
            <w:pPr>
              <w:spacing w:after="0"/>
              <w:rPr>
                <w:sz w:val="16"/>
                <w:szCs w:val="16"/>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381</w:t>
            </w: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(2,575,001)</w:t>
            </w: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91,638</w:t>
            </w:r>
          </w:p>
        </w:tc>
        <w:tc>
          <w:tcPr>
            <w:tcW w:w="0" w:type="dxa"/>
            <w:vAlign w:val="bottom"/>
          </w:tcPr>
          <w:p>
            <w:pPr>
              <w:spacing w:after="0"/>
              <w:rPr>
                <w:sz w:val="1"/>
                <w:szCs w:val="1"/>
                <w:color w:val="auto"/>
              </w:rPr>
            </w:pPr>
          </w:p>
        </w:tc>
      </w:tr>
      <w:tr>
        <w:trPr>
          <w:trHeight w:val="221"/>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Net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14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20" w:type="dxa"/>
            <w:vAlign w:val="bottom"/>
            <w:shd w:val="clear" w:color="auto" w:fill="E7F2F9"/>
          </w:tcPr>
          <w:p>
            <w:pPr>
              <w:spacing w:after="0"/>
              <w:rPr>
                <w:sz w:val="19"/>
                <w:szCs w:val="19"/>
                <w:color w:val="auto"/>
              </w:rPr>
            </w:pPr>
          </w:p>
        </w:tc>
        <w:tc>
          <w:tcPr>
            <w:tcW w:w="122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(41,930)</w:t>
            </w: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(41,930)</w:t>
            </w:r>
          </w:p>
        </w:tc>
        <w:tc>
          <w:tcPr>
            <w:tcW w:w="0" w:type="dxa"/>
            <w:vAlign w:val="bottom"/>
          </w:tcPr>
          <w:p>
            <w:pPr>
              <w:spacing w:after="0"/>
              <w:rPr>
                <w:sz w:val="1"/>
                <w:szCs w:val="1"/>
                <w:color w:val="auto"/>
              </w:rPr>
            </w:pPr>
          </w:p>
        </w:tc>
      </w:tr>
      <w:tr>
        <w:trPr>
          <w:trHeight w:val="221"/>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Other comprehensive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14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20" w:type="dxa"/>
            <w:vAlign w:val="bottom"/>
            <w:shd w:val="clear" w:color="auto" w:fill="E7F2F9"/>
          </w:tcPr>
          <w:p>
            <w:pPr>
              <w:spacing w:after="0"/>
              <w:rPr>
                <w:sz w:val="19"/>
                <w:szCs w:val="19"/>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(114)</w:t>
            </w: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(114)</w:t>
            </w:r>
          </w:p>
        </w:tc>
        <w:tc>
          <w:tcPr>
            <w:tcW w:w="0" w:type="dxa"/>
            <w:vAlign w:val="bottom"/>
          </w:tcPr>
          <w:p>
            <w:pPr>
              <w:spacing w:after="0"/>
              <w:rPr>
                <w:sz w:val="1"/>
                <w:szCs w:val="1"/>
                <w:color w:val="auto"/>
              </w:rPr>
            </w:pPr>
          </w:p>
        </w:tc>
      </w:tr>
      <w:tr>
        <w:trPr>
          <w:trHeight w:val="194"/>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w w:val="99"/>
              </w:rPr>
              <w:t>Issuance of common stock in conjunction with</w:t>
            </w:r>
          </w:p>
        </w:tc>
        <w:tc>
          <w:tcPr>
            <w:tcW w:w="124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880" w:type="dxa"/>
            <w:vAlign w:val="bottom"/>
            <w:shd w:val="clear" w:color="auto" w:fill="E7F2F9"/>
          </w:tcPr>
          <w:p>
            <w:pPr>
              <w:spacing w:after="0"/>
              <w:rPr>
                <w:sz w:val="16"/>
                <w:szCs w:val="16"/>
                <w:color w:val="auto"/>
              </w:rPr>
            </w:pPr>
          </w:p>
        </w:tc>
        <w:tc>
          <w:tcPr>
            <w:tcW w:w="340" w:type="dxa"/>
            <w:vAlign w:val="bottom"/>
            <w:shd w:val="clear" w:color="auto" w:fill="E7F2F9"/>
          </w:tcPr>
          <w:p>
            <w:pPr>
              <w:spacing w:after="0"/>
              <w:rPr>
                <w:sz w:val="16"/>
                <w:szCs w:val="16"/>
                <w:color w:val="auto"/>
              </w:rPr>
            </w:pPr>
          </w:p>
        </w:tc>
        <w:tc>
          <w:tcPr>
            <w:tcW w:w="2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80" w:type="dxa"/>
            <w:vAlign w:val="bottom"/>
            <w:shd w:val="clear" w:color="auto" w:fill="E7F2F9"/>
          </w:tcPr>
          <w:p>
            <w:pPr>
              <w:spacing w:after="0"/>
              <w:rPr>
                <w:sz w:val="16"/>
                <w:szCs w:val="16"/>
                <w:color w:val="auto"/>
              </w:rPr>
            </w:pPr>
          </w:p>
        </w:tc>
        <w:tc>
          <w:tcPr>
            <w:tcW w:w="106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20" w:type="dxa"/>
            <w:vAlign w:val="bottom"/>
            <w:shd w:val="clear" w:color="auto" w:fill="E7F2F9"/>
          </w:tcPr>
          <w:p>
            <w:pPr>
              <w:spacing w:after="0"/>
              <w:rPr>
                <w:sz w:val="16"/>
                <w:szCs w:val="16"/>
                <w:color w:val="auto"/>
              </w:rPr>
            </w:pPr>
          </w:p>
        </w:tc>
        <w:tc>
          <w:tcPr>
            <w:tcW w:w="114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08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100" w:type="dxa"/>
            <w:vAlign w:val="bottom"/>
            <w:shd w:val="clear" w:color="auto" w:fill="E7F2F9"/>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equity plans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309</w:t>
            </w:r>
          </w:p>
        </w:tc>
        <w:tc>
          <w:tcPr>
            <w:tcW w:w="80" w:type="dxa"/>
            <w:vAlign w:val="bottom"/>
            <w:shd w:val="clear" w:color="auto" w:fill="E7F2F9"/>
          </w:tcPr>
          <w:p>
            <w:pPr>
              <w:spacing w:after="0"/>
              <w:rPr>
                <w:sz w:val="17"/>
                <w:szCs w:val="17"/>
                <w:color w:val="auto"/>
              </w:rPr>
            </w:pPr>
          </w:p>
        </w:tc>
        <w:tc>
          <w:tcPr>
            <w:tcW w:w="880" w:type="dxa"/>
            <w:vAlign w:val="bottom"/>
            <w:shd w:val="clear" w:color="auto" w:fill="E7F2F9"/>
          </w:tcPr>
          <w:p>
            <w:pPr>
              <w:spacing w:after="0"/>
              <w:rPr>
                <w:sz w:val="17"/>
                <w:szCs w:val="17"/>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80" w:type="dxa"/>
            <w:vAlign w:val="bottom"/>
            <w:shd w:val="clear" w:color="auto" w:fill="E7F2F9"/>
          </w:tcPr>
          <w:p>
            <w:pPr>
              <w:spacing w:after="0"/>
              <w:rPr>
                <w:sz w:val="17"/>
                <w:szCs w:val="17"/>
                <w:color w:val="auto"/>
              </w:rPr>
            </w:pPr>
          </w:p>
        </w:tc>
        <w:tc>
          <w:tcPr>
            <w:tcW w:w="114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20" w:type="dxa"/>
            <w:vAlign w:val="bottom"/>
            <w:shd w:val="clear" w:color="auto" w:fill="E7F2F9"/>
          </w:tcPr>
          <w:p>
            <w:pPr>
              <w:spacing w:after="0"/>
              <w:rPr>
                <w:sz w:val="17"/>
                <w:szCs w:val="17"/>
                <w:color w:val="auto"/>
              </w:rPr>
            </w:pPr>
          </w:p>
        </w:tc>
        <w:tc>
          <w:tcPr>
            <w:tcW w:w="122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7"/>
                <w:szCs w:val="17"/>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7"/>
                <w:szCs w:val="17"/>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0" w:type="dxa"/>
            <w:vAlign w:val="bottom"/>
          </w:tcPr>
          <w:p>
            <w:pPr>
              <w:spacing w:after="0"/>
              <w:rPr>
                <w:sz w:val="1"/>
                <w:szCs w:val="1"/>
                <w:color w:val="auto"/>
              </w:rPr>
            </w:pPr>
          </w:p>
        </w:tc>
      </w:tr>
      <w:tr>
        <w:trPr>
          <w:trHeight w:val="247"/>
        </w:trPr>
        <w:tc>
          <w:tcPr>
            <w:tcW w:w="2860" w:type="dxa"/>
            <w:vAlign w:val="bottom"/>
            <w:tcBorders>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Share-based compensation expense</w:t>
            </w:r>
          </w:p>
        </w:tc>
        <w:tc>
          <w:tcPr>
            <w:tcW w:w="12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1"/>
                <w:szCs w:val="21"/>
                <w:color w:val="auto"/>
              </w:rPr>
            </w:pPr>
          </w:p>
        </w:tc>
        <w:tc>
          <w:tcPr>
            <w:tcW w:w="880" w:type="dxa"/>
            <w:vAlign w:val="bottom"/>
            <w:tcBorders>
              <w:bottom w:val="single" w:sz="8" w:color="E7F2F9"/>
            </w:tcBorders>
            <w:shd w:val="clear" w:color="auto" w:fill="E7F2F9"/>
          </w:tcPr>
          <w:p>
            <w:pPr>
              <w:spacing w:after="0"/>
              <w:rPr>
                <w:sz w:val="21"/>
                <w:szCs w:val="21"/>
                <w:color w:val="auto"/>
              </w:rPr>
            </w:pPr>
          </w:p>
        </w:tc>
        <w:tc>
          <w:tcPr>
            <w:tcW w:w="3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tcBorders>
              <w:bottom w:val="single" w:sz="8" w:color="E7F2F9"/>
            </w:tcBorders>
            <w:shd w:val="clear" w:color="auto" w:fill="E7F2F9"/>
          </w:tcPr>
          <w:p>
            <w:pPr>
              <w:spacing w:after="0"/>
              <w:rPr>
                <w:sz w:val="21"/>
                <w:szCs w:val="21"/>
                <w:color w:val="auto"/>
              </w:rPr>
            </w:pPr>
          </w:p>
        </w:tc>
        <w:tc>
          <w:tcPr>
            <w:tcW w:w="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spacing w:after="0"/>
              <w:rPr>
                <w:sz w:val="21"/>
                <w:szCs w:val="21"/>
                <w:color w:val="auto"/>
              </w:rPr>
            </w:pPr>
          </w:p>
        </w:tc>
        <w:tc>
          <w:tcPr>
            <w:tcW w:w="106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11,895</w:t>
            </w:r>
          </w:p>
        </w:tc>
        <w:tc>
          <w:tcPr>
            <w:tcW w:w="8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E7F2F9"/>
            </w:tcBorders>
            <w:shd w:val="clear" w:color="auto" w:fill="E7F2F9"/>
          </w:tcPr>
          <w:p>
            <w:pPr>
              <w:spacing w:after="0"/>
              <w:rPr>
                <w:sz w:val="21"/>
                <w:szCs w:val="21"/>
                <w:color w:val="auto"/>
              </w:rPr>
            </w:pPr>
          </w:p>
        </w:tc>
        <w:tc>
          <w:tcPr>
            <w:tcW w:w="1220" w:type="dxa"/>
            <w:vAlign w:val="bottom"/>
            <w:tcBorders>
              <w:bottom w:val="single" w:sz="8" w:color="E7F2F9"/>
            </w:tcBorders>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1"/>
                <w:szCs w:val="21"/>
                <w:color w:val="auto"/>
              </w:rPr>
            </w:pPr>
          </w:p>
        </w:tc>
        <w:tc>
          <w:tcPr>
            <w:tcW w:w="1160" w:type="dxa"/>
            <w:vAlign w:val="bottom"/>
            <w:tcBorders>
              <w:bottom w:val="single" w:sz="8" w:color="E7F2F9"/>
            </w:tcBorders>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1"/>
                <w:szCs w:val="21"/>
                <w:color w:val="auto"/>
              </w:rPr>
            </w:pPr>
          </w:p>
        </w:tc>
        <w:tc>
          <w:tcPr>
            <w:tcW w:w="11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11,895</w:t>
            </w:r>
          </w:p>
        </w:tc>
        <w:tc>
          <w:tcPr>
            <w:tcW w:w="0" w:type="dxa"/>
            <w:vAlign w:val="bottom"/>
          </w:tcPr>
          <w:p>
            <w:pPr>
              <w:spacing w:after="0"/>
              <w:rPr>
                <w:sz w:val="1"/>
                <w:szCs w:val="1"/>
                <w:color w:val="auto"/>
              </w:rPr>
            </w:pPr>
          </w:p>
        </w:tc>
      </w:tr>
      <w:tr>
        <w:trPr>
          <w:trHeight w:val="239"/>
        </w:trPr>
        <w:tc>
          <w:tcPr>
            <w:tcW w:w="2860" w:type="dxa"/>
            <w:vAlign w:val="bottom"/>
            <w:tcBorders>
              <w:top w:val="single" w:sz="8" w:color="E7F2F9"/>
              <w:bottom w:val="single" w:sz="8" w:color="E7F2F9"/>
            </w:tcBorders>
            <w:shd w:val="clear" w:color="auto" w:fill="E7F2F9"/>
          </w:tcPr>
          <w:p>
            <w:pPr>
              <w:spacing w:after="0"/>
              <w:rPr>
                <w:sz w:val="20"/>
                <w:szCs w:val="20"/>
                <w:color w:val="auto"/>
              </w:rPr>
            </w:pPr>
            <w:r>
              <w:rPr>
                <w:rFonts w:ascii="Arial" w:cs="Arial" w:eastAsia="Arial" w:hAnsi="Arial"/>
                <w:sz w:val="14"/>
                <w:szCs w:val="14"/>
                <w:b w:val="1"/>
                <w:bCs w:val="1"/>
                <w:color w:val="1383C6"/>
              </w:rPr>
              <w:t>Balance at June 30, 2025</w:t>
            </w:r>
          </w:p>
        </w:tc>
        <w:tc>
          <w:tcPr>
            <w:tcW w:w="12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300,350</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880" w:type="dxa"/>
            <w:vAlign w:val="bottom"/>
            <w:tcBorders>
              <w:top w:val="single" w:sz="8" w:color="auto"/>
              <w:bottom w:val="single" w:sz="8" w:color="E7F2F9"/>
            </w:tcBorders>
            <w:shd w:val="clear" w:color="auto" w:fill="E7F2F9"/>
          </w:tcPr>
          <w:p>
            <w:pPr>
              <w:jc w:val="right"/>
              <w:ind w:right="735"/>
              <w:spacing w:after="0"/>
              <w:rPr>
                <w:sz w:val="20"/>
                <w:szCs w:val="20"/>
                <w:color w:val="auto"/>
              </w:rPr>
            </w:pPr>
            <w:r>
              <w:rPr>
                <w:rFonts w:ascii="Arial" w:cs="Arial" w:eastAsia="Arial" w:hAnsi="Arial"/>
                <w:sz w:val="14"/>
                <w:szCs w:val="14"/>
                <w:color w:val="1383C6"/>
                <w:w w:val="76"/>
              </w:rPr>
              <w:t>$</w:t>
            </w:r>
          </w:p>
        </w:tc>
        <w:tc>
          <w:tcPr>
            <w:tcW w:w="3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300</w:t>
            </w:r>
          </w:p>
        </w:tc>
        <w:tc>
          <w:tcPr>
            <w:tcW w:w="20" w:type="dxa"/>
            <w:vAlign w:val="bottom"/>
            <w:tcBorders>
              <w:top w:val="single" w:sz="8" w:color="auto"/>
              <w:bottom w:val="single" w:sz="8" w:color="E7F2F9"/>
            </w:tcBorders>
            <w:shd w:val="clear" w:color="auto" w:fill="E7F2F9"/>
          </w:tcPr>
          <w:p>
            <w:pPr>
              <w:spacing w:after="0"/>
              <w:rPr>
                <w:sz w:val="20"/>
                <w:szCs w:val="20"/>
                <w:color w:val="auto"/>
              </w:rPr>
            </w:pP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80" w:type="dxa"/>
            <w:vAlign w:val="bottom"/>
            <w:tcBorders>
              <w:top w:val="single" w:sz="8" w:color="auto"/>
              <w:bottom w:val="single" w:sz="8" w:color="E7F2F9"/>
            </w:tcBorders>
            <w:shd w:val="clear" w:color="auto" w:fill="E7F2F9"/>
          </w:tcPr>
          <w:p>
            <w:pPr>
              <w:jc w:val="right"/>
              <w:ind w:right="31"/>
              <w:spacing w:after="0"/>
              <w:rPr>
                <w:sz w:val="20"/>
                <w:szCs w:val="20"/>
                <w:color w:val="auto"/>
              </w:rPr>
            </w:pPr>
            <w:r>
              <w:rPr>
                <w:rFonts w:ascii="Arial" w:cs="Arial" w:eastAsia="Arial" w:hAnsi="Arial"/>
                <w:sz w:val="14"/>
                <w:szCs w:val="14"/>
                <w:color w:val="1383C6"/>
                <w:w w:val="76"/>
              </w:rPr>
              <w:t>$</w:t>
            </w:r>
          </w:p>
        </w:tc>
        <w:tc>
          <w:tcPr>
            <w:tcW w:w="106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2,677,853</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267</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08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(2,616,931)</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61,489</w:t>
            </w:r>
          </w:p>
        </w:tc>
        <w:tc>
          <w:tcPr>
            <w:tcW w:w="0" w:type="dxa"/>
            <w:vAlign w:val="bottom"/>
          </w:tcPr>
          <w:p>
            <w:pPr>
              <w:spacing w:after="0"/>
              <w:rPr>
                <w:sz w:val="1"/>
                <w:szCs w:val="1"/>
                <w:color w:val="auto"/>
              </w:rPr>
            </w:pPr>
          </w:p>
        </w:tc>
      </w:tr>
      <w:tr>
        <w:trPr>
          <w:trHeight w:val="20"/>
        </w:trPr>
        <w:tc>
          <w:tcPr>
            <w:tcW w:w="2860" w:type="dxa"/>
            <w:vAlign w:val="bottom"/>
            <w:tcBorders>
              <w:top w:val="single" w:sz="8" w:color="E7F2F9"/>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rPr>
              <w:t>Six Months Ended June 30, 2025</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200" w:type="dxa"/>
            <w:vAlign w:val="bottom"/>
            <w:gridSpan w:val="3"/>
            <w:vMerge w:val="restart"/>
          </w:tcPr>
          <w:p>
            <w:pPr>
              <w:jc w:val="right"/>
              <w:ind w:right="415"/>
              <w:spacing w:after="0"/>
              <w:rPr>
                <w:sz w:val="20"/>
                <w:szCs w:val="20"/>
                <w:color w:val="auto"/>
              </w:rPr>
            </w:pPr>
            <w:r>
              <w:rPr>
                <w:rFonts w:ascii="Arial" w:cs="Arial" w:eastAsia="Arial" w:hAnsi="Arial"/>
                <w:sz w:val="12"/>
                <w:szCs w:val="12"/>
                <w:b w:val="1"/>
                <w:bCs w:val="1"/>
                <w:color w:val="auto"/>
              </w:rPr>
              <w:t>Common Stock</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vMerge w:val="restart"/>
          </w:tcPr>
          <w:p>
            <w:pPr>
              <w:jc w:val="center"/>
              <w:ind w:right="280"/>
              <w:spacing w:after="0" w:line="10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7"/>
                <w:szCs w:val="7"/>
                <w:color w:val="auto"/>
              </w:rPr>
            </w:pPr>
          </w:p>
        </w:tc>
        <w:tc>
          <w:tcPr>
            <w:tcW w:w="1220" w:type="dxa"/>
            <w:vAlign w:val="bottom"/>
            <w:gridSpan w:val="2"/>
            <w:vMerge w:val="restart"/>
          </w:tcPr>
          <w:p>
            <w:pPr>
              <w:jc w:val="center"/>
              <w:ind w:right="200"/>
              <w:spacing w:after="0" w:line="102"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7"/>
                <w:szCs w:val="7"/>
                <w:color w:val="auto"/>
              </w:rPr>
            </w:pPr>
          </w:p>
        </w:tc>
        <w:tc>
          <w:tcPr>
            <w:tcW w:w="1160" w:type="dxa"/>
            <w:vAlign w:val="bottom"/>
            <w:gridSpan w:val="2"/>
            <w:vMerge w:val="restart"/>
          </w:tcPr>
          <w:p>
            <w:pPr>
              <w:jc w:val="center"/>
              <w:ind w:right="280"/>
              <w:spacing w:after="0" w:line="102"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7"/>
                <w:szCs w:val="7"/>
                <w:color w:val="auto"/>
              </w:rPr>
            </w:pPr>
          </w:p>
        </w:tc>
        <w:tc>
          <w:tcPr>
            <w:tcW w:w="1100" w:type="dxa"/>
            <w:vAlign w:val="bottom"/>
            <w:vMerge w:val="restart"/>
          </w:tcPr>
          <w:p>
            <w:pPr>
              <w:jc w:val="center"/>
              <w:ind w:right="74"/>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2860" w:type="dxa"/>
            <w:vAlign w:val="bottom"/>
            <w:tcBorders>
              <w:bottom w:val="single" w:sz="8" w:color="E7F2F9"/>
            </w:tcBorders>
            <w:vMerge w:val="continue"/>
          </w:tcPr>
          <w:p>
            <w:pPr>
              <w:spacing w:after="0"/>
              <w:rPr>
                <w:sz w:val="17"/>
                <w:szCs w:val="17"/>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E7F2F9"/>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E7F2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E7F2F9"/>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9"/>
              </w:rPr>
              <w:t>Income</w:t>
            </w:r>
          </w:p>
        </w:tc>
        <w:tc>
          <w:tcPr>
            <w:tcW w:w="80" w:type="dxa"/>
            <w:vAlign w:val="bottom"/>
            <w:tcBorders>
              <w:bottom w:val="single" w:sz="8" w:color="E7F2F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Borders>
              <w:bottom w:val="single" w:sz="8" w:color="E7F2F9"/>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2860" w:type="dxa"/>
            <w:vAlign w:val="bottom"/>
            <w:shd w:val="clear" w:color="auto" w:fill="E7F2F9"/>
          </w:tcPr>
          <w:p>
            <w:pPr>
              <w:spacing w:after="0"/>
              <w:rPr>
                <w:sz w:val="20"/>
                <w:szCs w:val="20"/>
                <w:color w:val="auto"/>
              </w:rPr>
            </w:pPr>
            <w:r>
              <w:rPr>
                <w:rFonts w:ascii="Arial" w:cs="Arial" w:eastAsia="Arial" w:hAnsi="Arial"/>
                <w:sz w:val="14"/>
                <w:szCs w:val="14"/>
                <w:b w:val="1"/>
                <w:bCs w:val="1"/>
                <w:color w:val="1383C6"/>
              </w:rPr>
              <w:t>Balance at December 31, 2024</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294,418</w:t>
            </w:r>
          </w:p>
        </w:tc>
        <w:tc>
          <w:tcPr>
            <w:tcW w:w="960" w:type="dxa"/>
            <w:vAlign w:val="bottom"/>
            <w:gridSpan w:val="2"/>
            <w:shd w:val="clear" w:color="auto" w:fill="E7F2F9"/>
          </w:tcPr>
          <w:p>
            <w:pPr>
              <w:jc w:val="right"/>
              <w:ind w:right="735"/>
              <w:spacing w:after="0"/>
              <w:rPr>
                <w:sz w:val="20"/>
                <w:szCs w:val="20"/>
                <w:color w:val="auto"/>
              </w:rPr>
            </w:pPr>
            <w:r>
              <w:rPr>
                <w:rFonts w:ascii="Arial" w:cs="Arial" w:eastAsia="Arial" w:hAnsi="Arial"/>
                <w:sz w:val="14"/>
                <w:szCs w:val="14"/>
                <w:color w:val="1383C6"/>
              </w:rPr>
              <w:t>$</w:t>
            </w: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294</w:t>
            </w:r>
          </w:p>
        </w:tc>
        <w:tc>
          <w:tcPr>
            <w:tcW w:w="280" w:type="dxa"/>
            <w:vAlign w:val="bottom"/>
            <w:gridSpan w:val="3"/>
            <w:shd w:val="clear" w:color="auto" w:fill="E7F2F9"/>
          </w:tcPr>
          <w:p>
            <w:pPr>
              <w:jc w:val="right"/>
              <w:ind w:right="31"/>
              <w:spacing w:after="0"/>
              <w:rPr>
                <w:sz w:val="20"/>
                <w:szCs w:val="20"/>
                <w:color w:val="auto"/>
              </w:rPr>
            </w:pPr>
            <w:r>
              <w:rPr>
                <w:rFonts w:ascii="Arial" w:cs="Arial" w:eastAsia="Arial" w:hAnsi="Arial"/>
                <w:sz w:val="14"/>
                <w:szCs w:val="14"/>
                <w:color w:val="1383C6"/>
              </w:rPr>
              <w:t>$</w:t>
            </w:r>
          </w:p>
        </w:tc>
        <w:tc>
          <w:tcPr>
            <w:tcW w:w="10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2,654,804</w:t>
            </w:r>
          </w:p>
        </w:tc>
        <w:tc>
          <w:tcPr>
            <w:tcW w:w="80" w:type="dxa"/>
            <w:vAlign w:val="bottom"/>
            <w:shd w:val="clear" w:color="auto" w:fill="E7F2F9"/>
          </w:tcPr>
          <w:p>
            <w:pPr>
              <w:spacing w:after="0"/>
              <w:rPr>
                <w:sz w:val="17"/>
                <w:szCs w:val="17"/>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422</w:t>
            </w:r>
          </w:p>
        </w:tc>
        <w:tc>
          <w:tcPr>
            <w:tcW w:w="80" w:type="dxa"/>
            <w:vAlign w:val="bottom"/>
            <w:shd w:val="clear" w:color="auto" w:fill="E7F2F9"/>
          </w:tcPr>
          <w:p>
            <w:pPr>
              <w:spacing w:after="0"/>
              <w:rPr>
                <w:sz w:val="17"/>
                <w:szCs w:val="17"/>
                <w:color w:val="auto"/>
              </w:rPr>
            </w:pPr>
          </w:p>
        </w:tc>
        <w:tc>
          <w:tcPr>
            <w:tcW w:w="1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(2,148,926)</w:t>
            </w:r>
          </w:p>
        </w:tc>
        <w:tc>
          <w:tcPr>
            <w:tcW w:w="80" w:type="dxa"/>
            <w:vAlign w:val="bottom"/>
            <w:shd w:val="clear" w:color="auto" w:fill="E7F2F9"/>
          </w:tcPr>
          <w:p>
            <w:pPr>
              <w:spacing w:after="0"/>
              <w:rPr>
                <w:sz w:val="17"/>
                <w:szCs w:val="17"/>
                <w:color w:val="auto"/>
              </w:rPr>
            </w:pPr>
          </w:p>
        </w:tc>
        <w:tc>
          <w:tcPr>
            <w:tcW w:w="1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506,594</w:t>
            </w:r>
          </w:p>
        </w:tc>
        <w:tc>
          <w:tcPr>
            <w:tcW w:w="0" w:type="dxa"/>
            <w:vAlign w:val="bottom"/>
          </w:tcPr>
          <w:p>
            <w:pPr>
              <w:spacing w:after="0"/>
              <w:rPr>
                <w:sz w:val="1"/>
                <w:szCs w:val="1"/>
                <w:color w:val="auto"/>
              </w:rPr>
            </w:pPr>
          </w:p>
        </w:tc>
      </w:tr>
      <w:tr>
        <w:trPr>
          <w:trHeight w:val="221"/>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Net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14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20" w:type="dxa"/>
            <w:vAlign w:val="bottom"/>
            <w:shd w:val="clear" w:color="auto" w:fill="E7F2F9"/>
          </w:tcPr>
          <w:p>
            <w:pPr>
              <w:spacing w:after="0"/>
              <w:rPr>
                <w:sz w:val="19"/>
                <w:szCs w:val="19"/>
                <w:color w:val="auto"/>
              </w:rPr>
            </w:pPr>
          </w:p>
        </w:tc>
        <w:tc>
          <w:tcPr>
            <w:tcW w:w="122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(468,005)</w:t>
            </w: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(468,005)</w:t>
            </w:r>
          </w:p>
        </w:tc>
        <w:tc>
          <w:tcPr>
            <w:tcW w:w="0" w:type="dxa"/>
            <w:vAlign w:val="bottom"/>
          </w:tcPr>
          <w:p>
            <w:pPr>
              <w:spacing w:after="0"/>
              <w:rPr>
                <w:sz w:val="1"/>
                <w:szCs w:val="1"/>
                <w:color w:val="auto"/>
              </w:rPr>
            </w:pPr>
          </w:p>
        </w:tc>
      </w:tr>
      <w:tr>
        <w:trPr>
          <w:trHeight w:val="221"/>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Other comprehensive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14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20" w:type="dxa"/>
            <w:vAlign w:val="bottom"/>
            <w:shd w:val="clear" w:color="auto" w:fill="E7F2F9"/>
          </w:tcPr>
          <w:p>
            <w:pPr>
              <w:spacing w:after="0"/>
              <w:rPr>
                <w:sz w:val="19"/>
                <w:szCs w:val="19"/>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(155)</w:t>
            </w: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(155)</w:t>
            </w:r>
          </w:p>
        </w:tc>
        <w:tc>
          <w:tcPr>
            <w:tcW w:w="0" w:type="dxa"/>
            <w:vAlign w:val="bottom"/>
          </w:tcPr>
          <w:p>
            <w:pPr>
              <w:spacing w:after="0"/>
              <w:rPr>
                <w:sz w:val="1"/>
                <w:szCs w:val="1"/>
                <w:color w:val="auto"/>
              </w:rPr>
            </w:pPr>
          </w:p>
        </w:tc>
      </w:tr>
      <w:tr>
        <w:trPr>
          <w:trHeight w:val="207"/>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w w:val="99"/>
              </w:rPr>
              <w:t>Issuance of common stock in conjunction with</w:t>
            </w:r>
          </w:p>
        </w:tc>
        <w:tc>
          <w:tcPr>
            <w:tcW w:w="124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880" w:type="dxa"/>
            <w:vAlign w:val="bottom"/>
            <w:shd w:val="clear" w:color="auto" w:fill="E7F2F9"/>
          </w:tcPr>
          <w:p>
            <w:pPr>
              <w:spacing w:after="0"/>
              <w:rPr>
                <w:sz w:val="17"/>
                <w:szCs w:val="17"/>
                <w:color w:val="auto"/>
              </w:rPr>
            </w:pPr>
          </w:p>
        </w:tc>
        <w:tc>
          <w:tcPr>
            <w:tcW w:w="340" w:type="dxa"/>
            <w:vAlign w:val="bottom"/>
            <w:shd w:val="clear" w:color="auto" w:fill="E7F2F9"/>
          </w:tcPr>
          <w:p>
            <w:pPr>
              <w:spacing w:after="0"/>
              <w:rPr>
                <w:sz w:val="17"/>
                <w:szCs w:val="17"/>
                <w:color w:val="auto"/>
              </w:rPr>
            </w:pPr>
          </w:p>
        </w:tc>
        <w:tc>
          <w:tcPr>
            <w:tcW w:w="2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80" w:type="dxa"/>
            <w:vAlign w:val="bottom"/>
            <w:shd w:val="clear" w:color="auto" w:fill="E7F2F9"/>
          </w:tcPr>
          <w:p>
            <w:pPr>
              <w:spacing w:after="0"/>
              <w:rPr>
                <w:sz w:val="17"/>
                <w:szCs w:val="17"/>
                <w:color w:val="auto"/>
              </w:rPr>
            </w:pPr>
          </w:p>
        </w:tc>
        <w:tc>
          <w:tcPr>
            <w:tcW w:w="106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14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60" w:type="dxa"/>
            <w:vAlign w:val="bottom"/>
            <w:shd w:val="clear" w:color="auto" w:fill="E7F2F9"/>
          </w:tcPr>
          <w:p>
            <w:pPr>
              <w:spacing w:after="0"/>
              <w:rPr>
                <w:sz w:val="17"/>
                <w:szCs w:val="17"/>
                <w:color w:val="auto"/>
              </w:rPr>
            </w:pPr>
          </w:p>
        </w:tc>
        <w:tc>
          <w:tcPr>
            <w:tcW w:w="108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60" w:type="dxa"/>
            <w:vAlign w:val="bottom"/>
            <w:shd w:val="clear" w:color="auto" w:fill="E7F2F9"/>
          </w:tcPr>
          <w:p>
            <w:pPr>
              <w:spacing w:after="0"/>
              <w:rPr>
                <w:sz w:val="17"/>
                <w:szCs w:val="17"/>
                <w:color w:val="auto"/>
              </w:rPr>
            </w:pPr>
          </w:p>
        </w:tc>
        <w:tc>
          <w:tcPr>
            <w:tcW w:w="1100" w:type="dxa"/>
            <w:vAlign w:val="bottom"/>
            <w:shd w:val="clear" w:color="auto" w:fill="E7F2F9"/>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E7F2F9"/>
          </w:tcPr>
          <w:p>
            <w:pPr>
              <w:spacing w:after="0"/>
              <w:rPr>
                <w:sz w:val="20"/>
                <w:szCs w:val="20"/>
                <w:color w:val="auto"/>
              </w:rPr>
            </w:pPr>
            <w:r>
              <w:rPr>
                <w:rFonts w:ascii="Arial" w:cs="Arial" w:eastAsia="Arial" w:hAnsi="Arial"/>
                <w:sz w:val="14"/>
                <w:szCs w:val="14"/>
                <w:color w:val="1383C6"/>
              </w:rPr>
              <w:t>equity plans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5,932</w:t>
            </w:r>
          </w:p>
        </w:tc>
        <w:tc>
          <w:tcPr>
            <w:tcW w:w="80" w:type="dxa"/>
            <w:vAlign w:val="bottom"/>
            <w:shd w:val="clear" w:color="auto" w:fill="E7F2F9"/>
          </w:tcPr>
          <w:p>
            <w:pPr>
              <w:spacing w:after="0"/>
              <w:rPr>
                <w:sz w:val="15"/>
                <w:szCs w:val="15"/>
                <w:color w:val="auto"/>
              </w:rPr>
            </w:pPr>
          </w:p>
        </w:tc>
        <w:tc>
          <w:tcPr>
            <w:tcW w:w="880" w:type="dxa"/>
            <w:vAlign w:val="bottom"/>
            <w:shd w:val="clear" w:color="auto" w:fill="E7F2F9"/>
          </w:tcPr>
          <w:p>
            <w:pPr>
              <w:spacing w:after="0"/>
              <w:rPr>
                <w:sz w:val="15"/>
                <w:szCs w:val="15"/>
                <w:color w:val="auto"/>
              </w:rPr>
            </w:pPr>
          </w:p>
        </w:tc>
        <w:tc>
          <w:tcPr>
            <w:tcW w:w="3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6</w:t>
            </w:r>
          </w:p>
        </w:tc>
        <w:tc>
          <w:tcPr>
            <w:tcW w:w="20" w:type="dxa"/>
            <w:vAlign w:val="bottom"/>
            <w:shd w:val="clear" w:color="auto" w:fill="E7F2F9"/>
          </w:tcPr>
          <w:p>
            <w:pPr>
              <w:spacing w:after="0"/>
              <w:rPr>
                <w:sz w:val="15"/>
                <w:szCs w:val="15"/>
                <w:color w:val="auto"/>
              </w:rPr>
            </w:pPr>
          </w:p>
        </w:tc>
        <w:tc>
          <w:tcPr>
            <w:tcW w:w="80" w:type="dxa"/>
            <w:vAlign w:val="bottom"/>
            <w:shd w:val="clear" w:color="auto" w:fill="E7F2F9"/>
          </w:tcPr>
          <w:p>
            <w:pPr>
              <w:spacing w:after="0"/>
              <w:rPr>
                <w:sz w:val="15"/>
                <w:szCs w:val="15"/>
                <w:color w:val="auto"/>
              </w:rPr>
            </w:pPr>
          </w:p>
        </w:tc>
        <w:tc>
          <w:tcPr>
            <w:tcW w:w="180" w:type="dxa"/>
            <w:vAlign w:val="bottom"/>
            <w:shd w:val="clear" w:color="auto" w:fill="E7F2F9"/>
          </w:tcPr>
          <w:p>
            <w:pPr>
              <w:spacing w:after="0"/>
              <w:rPr>
                <w:sz w:val="15"/>
                <w:szCs w:val="15"/>
                <w:color w:val="auto"/>
              </w:rPr>
            </w:pPr>
          </w:p>
        </w:tc>
        <w:tc>
          <w:tcPr>
            <w:tcW w:w="10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1,953</w:t>
            </w:r>
          </w:p>
        </w:tc>
        <w:tc>
          <w:tcPr>
            <w:tcW w:w="8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22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5"/>
                <w:szCs w:val="15"/>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5"/>
                <w:szCs w:val="15"/>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1,959</w:t>
            </w:r>
          </w:p>
        </w:tc>
        <w:tc>
          <w:tcPr>
            <w:tcW w:w="0" w:type="dxa"/>
            <w:vAlign w:val="bottom"/>
          </w:tcPr>
          <w:p>
            <w:pPr>
              <w:spacing w:after="0"/>
              <w:rPr>
                <w:sz w:val="1"/>
                <w:szCs w:val="1"/>
                <w:color w:val="auto"/>
              </w:rPr>
            </w:pPr>
          </w:p>
        </w:tc>
      </w:tr>
      <w:tr>
        <w:trPr>
          <w:trHeight w:val="247"/>
        </w:trPr>
        <w:tc>
          <w:tcPr>
            <w:tcW w:w="2860" w:type="dxa"/>
            <w:vAlign w:val="bottom"/>
            <w:tcBorders>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Share-based compensation expense</w:t>
            </w:r>
          </w:p>
        </w:tc>
        <w:tc>
          <w:tcPr>
            <w:tcW w:w="12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1"/>
                <w:szCs w:val="21"/>
                <w:color w:val="auto"/>
              </w:rPr>
            </w:pPr>
          </w:p>
        </w:tc>
        <w:tc>
          <w:tcPr>
            <w:tcW w:w="880" w:type="dxa"/>
            <w:vAlign w:val="bottom"/>
            <w:tcBorders>
              <w:bottom w:val="single" w:sz="8" w:color="E7F2F9"/>
            </w:tcBorders>
            <w:shd w:val="clear" w:color="auto" w:fill="E7F2F9"/>
          </w:tcPr>
          <w:p>
            <w:pPr>
              <w:spacing w:after="0"/>
              <w:rPr>
                <w:sz w:val="21"/>
                <w:szCs w:val="21"/>
                <w:color w:val="auto"/>
              </w:rPr>
            </w:pPr>
          </w:p>
        </w:tc>
        <w:tc>
          <w:tcPr>
            <w:tcW w:w="3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0" w:type="dxa"/>
            <w:vAlign w:val="bottom"/>
            <w:tcBorders>
              <w:bottom w:val="single" w:sz="8" w:color="E7F2F9"/>
            </w:tcBorders>
            <w:shd w:val="clear" w:color="auto" w:fill="E7F2F9"/>
          </w:tcPr>
          <w:p>
            <w:pPr>
              <w:spacing w:after="0"/>
              <w:rPr>
                <w:sz w:val="21"/>
                <w:szCs w:val="21"/>
                <w:color w:val="auto"/>
              </w:rPr>
            </w:pPr>
          </w:p>
        </w:tc>
        <w:tc>
          <w:tcPr>
            <w:tcW w:w="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spacing w:after="0"/>
              <w:rPr>
                <w:sz w:val="21"/>
                <w:szCs w:val="21"/>
                <w:color w:val="auto"/>
              </w:rPr>
            </w:pPr>
          </w:p>
        </w:tc>
        <w:tc>
          <w:tcPr>
            <w:tcW w:w="106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21,096</w:t>
            </w:r>
          </w:p>
        </w:tc>
        <w:tc>
          <w:tcPr>
            <w:tcW w:w="8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E7F2F9"/>
            </w:tcBorders>
            <w:shd w:val="clear" w:color="auto" w:fill="E7F2F9"/>
          </w:tcPr>
          <w:p>
            <w:pPr>
              <w:spacing w:after="0"/>
              <w:rPr>
                <w:sz w:val="21"/>
                <w:szCs w:val="21"/>
                <w:color w:val="auto"/>
              </w:rPr>
            </w:pPr>
          </w:p>
        </w:tc>
        <w:tc>
          <w:tcPr>
            <w:tcW w:w="1220" w:type="dxa"/>
            <w:vAlign w:val="bottom"/>
            <w:tcBorders>
              <w:bottom w:val="single" w:sz="8" w:color="E7F2F9"/>
            </w:tcBorders>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1"/>
                <w:szCs w:val="21"/>
                <w:color w:val="auto"/>
              </w:rPr>
            </w:pPr>
          </w:p>
        </w:tc>
        <w:tc>
          <w:tcPr>
            <w:tcW w:w="1160" w:type="dxa"/>
            <w:vAlign w:val="bottom"/>
            <w:tcBorders>
              <w:bottom w:val="single" w:sz="8" w:color="E7F2F9"/>
            </w:tcBorders>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1"/>
                <w:szCs w:val="21"/>
                <w:color w:val="auto"/>
              </w:rPr>
            </w:pPr>
          </w:p>
        </w:tc>
        <w:tc>
          <w:tcPr>
            <w:tcW w:w="11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21,096</w:t>
            </w:r>
          </w:p>
        </w:tc>
        <w:tc>
          <w:tcPr>
            <w:tcW w:w="0" w:type="dxa"/>
            <w:vAlign w:val="bottom"/>
          </w:tcPr>
          <w:p>
            <w:pPr>
              <w:spacing w:after="0"/>
              <w:rPr>
                <w:sz w:val="1"/>
                <w:szCs w:val="1"/>
                <w:color w:val="auto"/>
              </w:rPr>
            </w:pPr>
          </w:p>
        </w:tc>
      </w:tr>
      <w:tr>
        <w:trPr>
          <w:trHeight w:val="239"/>
        </w:trPr>
        <w:tc>
          <w:tcPr>
            <w:tcW w:w="2860" w:type="dxa"/>
            <w:vAlign w:val="bottom"/>
            <w:tcBorders>
              <w:top w:val="single" w:sz="8" w:color="E7F2F9"/>
              <w:bottom w:val="single" w:sz="8" w:color="E7F2F9"/>
            </w:tcBorders>
            <w:shd w:val="clear" w:color="auto" w:fill="E7F2F9"/>
          </w:tcPr>
          <w:p>
            <w:pPr>
              <w:spacing w:after="0"/>
              <w:rPr>
                <w:sz w:val="20"/>
                <w:szCs w:val="20"/>
                <w:color w:val="auto"/>
              </w:rPr>
            </w:pPr>
            <w:r>
              <w:rPr>
                <w:rFonts w:ascii="Arial" w:cs="Arial" w:eastAsia="Arial" w:hAnsi="Arial"/>
                <w:sz w:val="14"/>
                <w:szCs w:val="14"/>
                <w:b w:val="1"/>
                <w:bCs w:val="1"/>
                <w:color w:val="1383C6"/>
              </w:rPr>
              <w:t>Balance at June 30, 2025</w:t>
            </w:r>
          </w:p>
        </w:tc>
        <w:tc>
          <w:tcPr>
            <w:tcW w:w="12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300,350</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880" w:type="dxa"/>
            <w:vAlign w:val="bottom"/>
            <w:tcBorders>
              <w:top w:val="single" w:sz="8" w:color="auto"/>
              <w:bottom w:val="single" w:sz="8" w:color="E7F2F9"/>
            </w:tcBorders>
            <w:shd w:val="clear" w:color="auto" w:fill="E7F2F9"/>
          </w:tcPr>
          <w:p>
            <w:pPr>
              <w:jc w:val="right"/>
              <w:ind w:right="735"/>
              <w:spacing w:after="0"/>
              <w:rPr>
                <w:sz w:val="20"/>
                <w:szCs w:val="20"/>
                <w:color w:val="auto"/>
              </w:rPr>
            </w:pPr>
            <w:r>
              <w:rPr>
                <w:rFonts w:ascii="Arial" w:cs="Arial" w:eastAsia="Arial" w:hAnsi="Arial"/>
                <w:sz w:val="14"/>
                <w:szCs w:val="14"/>
                <w:color w:val="1383C6"/>
                <w:w w:val="76"/>
              </w:rPr>
              <w:t>$</w:t>
            </w:r>
          </w:p>
        </w:tc>
        <w:tc>
          <w:tcPr>
            <w:tcW w:w="3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300</w:t>
            </w:r>
          </w:p>
        </w:tc>
        <w:tc>
          <w:tcPr>
            <w:tcW w:w="20" w:type="dxa"/>
            <w:vAlign w:val="bottom"/>
            <w:tcBorders>
              <w:top w:val="single" w:sz="8" w:color="auto"/>
              <w:bottom w:val="single" w:sz="8" w:color="E7F2F9"/>
            </w:tcBorders>
            <w:shd w:val="clear" w:color="auto" w:fill="E7F2F9"/>
          </w:tcPr>
          <w:p>
            <w:pPr>
              <w:spacing w:after="0"/>
              <w:rPr>
                <w:sz w:val="20"/>
                <w:szCs w:val="20"/>
                <w:color w:val="auto"/>
              </w:rPr>
            </w:pP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80" w:type="dxa"/>
            <w:vAlign w:val="bottom"/>
            <w:tcBorders>
              <w:top w:val="single" w:sz="8" w:color="auto"/>
              <w:bottom w:val="single" w:sz="8" w:color="E7F2F9"/>
            </w:tcBorders>
            <w:shd w:val="clear" w:color="auto" w:fill="E7F2F9"/>
          </w:tcPr>
          <w:p>
            <w:pPr>
              <w:jc w:val="right"/>
              <w:ind w:right="31"/>
              <w:spacing w:after="0"/>
              <w:rPr>
                <w:sz w:val="20"/>
                <w:szCs w:val="20"/>
                <w:color w:val="auto"/>
              </w:rPr>
            </w:pPr>
            <w:r>
              <w:rPr>
                <w:rFonts w:ascii="Arial" w:cs="Arial" w:eastAsia="Arial" w:hAnsi="Arial"/>
                <w:sz w:val="14"/>
                <w:szCs w:val="14"/>
                <w:color w:val="1383C6"/>
                <w:w w:val="76"/>
              </w:rPr>
              <w:t>$</w:t>
            </w:r>
          </w:p>
        </w:tc>
        <w:tc>
          <w:tcPr>
            <w:tcW w:w="106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2,677,853</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267</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08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(2,616,931)</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61,489</w:t>
            </w:r>
          </w:p>
        </w:tc>
        <w:tc>
          <w:tcPr>
            <w:tcW w:w="0" w:type="dxa"/>
            <w:vAlign w:val="bottom"/>
          </w:tcPr>
          <w:p>
            <w:pPr>
              <w:spacing w:after="0"/>
              <w:rPr>
                <w:sz w:val="1"/>
                <w:szCs w:val="1"/>
                <w:color w:val="auto"/>
              </w:rPr>
            </w:pPr>
          </w:p>
        </w:tc>
      </w:tr>
      <w:tr>
        <w:trPr>
          <w:trHeight w:val="20"/>
        </w:trPr>
        <w:tc>
          <w:tcPr>
            <w:tcW w:w="2860" w:type="dxa"/>
            <w:vAlign w:val="bottom"/>
            <w:tcBorders>
              <w:top w:val="single" w:sz="8" w:color="E7F2F9"/>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40"/>
        <w:spacing w:after="0"/>
        <w:rPr>
          <w:sz w:val="20"/>
          <w:szCs w:val="20"/>
          <w:color w:val="auto"/>
        </w:rPr>
      </w:pPr>
      <w:r>
        <w:rPr>
          <w:rFonts w:ascii="Arial" w:cs="Arial" w:eastAsia="Arial" w:hAnsi="Arial"/>
          <w:sz w:val="12"/>
          <w:szCs w:val="12"/>
          <w:b w:val="1"/>
          <w:bCs w:val="1"/>
          <w:color w:val="auto"/>
        </w:rPr>
        <w:t>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31115</wp:posOffset>
            </wp:positionV>
            <wp:extent cx="50145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 thousands)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Balance at March 31, 2024</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w:t>
      </w:r>
    </w:p>
    <w:p>
      <w:pPr>
        <w:spacing w:after="0" w:line="60" w:lineRule="exact"/>
        <w:rPr>
          <w:sz w:val="20"/>
          <w:szCs w:val="20"/>
          <w:color w:val="auto"/>
        </w:rPr>
      </w:pPr>
    </w:p>
    <w:p>
      <w:pPr>
        <w:ind w:left="260"/>
        <w:spacing w:after="0" w:line="285" w:lineRule="auto"/>
        <w:rPr>
          <w:sz w:val="20"/>
          <w:szCs w:val="20"/>
          <w:color w:val="auto"/>
        </w:rPr>
      </w:pPr>
      <w:r>
        <w:rPr>
          <w:rFonts w:ascii="Arial" w:cs="Arial" w:eastAsia="Arial" w:hAnsi="Arial"/>
          <w:sz w:val="14"/>
          <w:szCs w:val="14"/>
          <w:color w:val="auto"/>
        </w:rPr>
        <w:t>Issuance of common stock in conjunction with equity plans</w:t>
      </w:r>
    </w:p>
    <w:p>
      <w:pPr>
        <w:spacing w:after="0" w:line="8" w:lineRule="exact"/>
        <w:rPr>
          <w:sz w:val="20"/>
          <w:szCs w:val="20"/>
          <w:color w:val="auto"/>
        </w:rPr>
      </w:pPr>
    </w:p>
    <w:p>
      <w:pPr>
        <w:ind w:left="260" w:right="560"/>
        <w:spacing w:after="0" w:line="375" w:lineRule="auto"/>
        <w:rPr>
          <w:sz w:val="20"/>
          <w:szCs w:val="20"/>
          <w:color w:val="auto"/>
        </w:rPr>
      </w:pPr>
      <w:r>
        <w:rPr>
          <w:rFonts w:ascii="Arial" w:cs="Arial" w:eastAsia="Arial" w:hAnsi="Arial"/>
          <w:sz w:val="14"/>
          <w:szCs w:val="14"/>
          <w:color w:val="auto"/>
        </w:rPr>
        <w:t xml:space="preserve">Share-based compensation expense </w:t>
      </w:r>
      <w:r>
        <w:rPr>
          <w:rFonts w:ascii="Arial" w:cs="Arial" w:eastAsia="Arial" w:hAnsi="Arial"/>
          <w:sz w:val="14"/>
          <w:szCs w:val="14"/>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gridSpan w:val="3"/>
            <w:vMerge w:val="restart"/>
          </w:tcPr>
          <w:p>
            <w:pPr>
              <w:jc w:val="right"/>
              <w:ind w:right="414"/>
              <w:spacing w:after="0"/>
              <w:rPr>
                <w:sz w:val="20"/>
                <w:szCs w:val="20"/>
                <w:color w:val="auto"/>
              </w:rPr>
            </w:pPr>
            <w:r>
              <w:rPr>
                <w:rFonts w:ascii="Arial" w:cs="Arial" w:eastAsia="Arial" w:hAnsi="Arial"/>
                <w:sz w:val="12"/>
                <w:szCs w:val="12"/>
                <w:b w:val="1"/>
                <w:bCs w:val="1"/>
                <w:color w:val="auto"/>
              </w:rPr>
              <w:t>Common Stock</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01"/>
        </w:trPr>
        <w:tc>
          <w:tcPr>
            <w:tcW w:w="22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300"/>
              <w:spacing w:after="0" w:line="115"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8"/>
                <w:szCs w:val="8"/>
                <w:color w:val="auto"/>
              </w:rPr>
            </w:pPr>
          </w:p>
        </w:tc>
        <w:tc>
          <w:tcPr>
            <w:tcW w:w="1160" w:type="dxa"/>
            <w:vAlign w:val="bottom"/>
            <w:gridSpan w:val="2"/>
            <w:vMerge w:val="restart"/>
          </w:tcPr>
          <w:p>
            <w:pPr>
              <w:jc w:val="center"/>
              <w:ind w:right="280"/>
              <w:spacing w:after="0" w:line="115"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8"/>
                <w:szCs w:val="8"/>
                <w:color w:val="auto"/>
              </w:rPr>
            </w:pPr>
          </w:p>
        </w:tc>
        <w:tc>
          <w:tcPr>
            <w:tcW w:w="1100" w:type="dxa"/>
            <w:vAlign w:val="bottom"/>
            <w:vMerge w:val="restart"/>
          </w:tcPr>
          <w:p>
            <w:pPr>
              <w:jc w:val="center"/>
              <w:ind w:right="74"/>
              <w:spacing w:after="0" w:line="11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320" w:type="dxa"/>
            <w:vAlign w:val="bottom"/>
            <w:gridSpan w:val="2"/>
          </w:tcPr>
          <w:p>
            <w:pPr>
              <w:ind w:left="40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240" w:type="dxa"/>
            <w:vAlign w:val="bottom"/>
          </w:tcPr>
          <w:p>
            <w:pPr>
              <w:jc w:val="right"/>
              <w:spacing w:after="0"/>
              <w:rPr>
                <w:sz w:val="20"/>
                <w:szCs w:val="20"/>
                <w:color w:val="auto"/>
              </w:rPr>
            </w:pPr>
            <w:r>
              <w:rPr>
                <w:rFonts w:ascii="Arial" w:cs="Arial" w:eastAsia="Arial" w:hAnsi="Arial"/>
                <w:sz w:val="14"/>
                <w:szCs w:val="14"/>
                <w:color w:val="auto"/>
              </w:rPr>
              <w:t>272,280</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2,566,304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(1,917,253)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649,017</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(173,319)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(173,319)</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390"/>
        </w:trPr>
        <w:tc>
          <w:tcPr>
            <w:tcW w:w="1240" w:type="dxa"/>
            <w:vAlign w:val="bottom"/>
          </w:tcPr>
          <w:p>
            <w:pPr>
              <w:jc w:val="right"/>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17,219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17,219</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240" w:type="dxa"/>
            <w:vAlign w:val="bottom"/>
          </w:tcPr>
          <w:p>
            <w:pPr>
              <w:jc w:val="right"/>
              <w:spacing w:after="0"/>
              <w:rPr>
                <w:sz w:val="20"/>
                <w:szCs w:val="20"/>
                <w:color w:val="auto"/>
              </w:rPr>
            </w:pPr>
            <w:r>
              <w:rPr>
                <w:rFonts w:ascii="Arial" w:cs="Arial" w:eastAsia="Arial" w:hAnsi="Arial"/>
                <w:sz w:val="14"/>
                <w:szCs w:val="14"/>
                <w:color w:val="auto"/>
              </w:rPr>
              <w:t>272,491</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2,583,523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(2,090,572)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492,700</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50145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3080" w:space="40"/>
            <w:col w:w="7980"/>
          </w:cols>
          <w:pgMar w:left="320" w:top="122" w:right="47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 thousands)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Balance at December 31, 2023</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w:t>
      </w:r>
    </w:p>
    <w:p>
      <w:pPr>
        <w:spacing w:after="0" w:line="60" w:lineRule="exact"/>
        <w:rPr>
          <w:sz w:val="20"/>
          <w:szCs w:val="20"/>
          <w:color w:val="auto"/>
        </w:rPr>
      </w:pPr>
    </w:p>
    <w:p>
      <w:pPr>
        <w:ind w:left="260"/>
        <w:spacing w:after="0" w:line="266" w:lineRule="auto"/>
        <w:rPr>
          <w:sz w:val="20"/>
          <w:szCs w:val="20"/>
          <w:color w:val="auto"/>
        </w:rPr>
      </w:pPr>
      <w:r>
        <w:rPr>
          <w:rFonts w:ascii="Arial" w:cs="Arial" w:eastAsia="Arial" w:hAnsi="Arial"/>
          <w:sz w:val="14"/>
          <w:szCs w:val="14"/>
          <w:color w:val="auto"/>
        </w:rPr>
        <w:t>Issuance of common stock in conjunction with equity plans</w:t>
      </w:r>
    </w:p>
    <w:p>
      <w:pPr>
        <w:spacing w:after="0" w:line="33" w:lineRule="exact"/>
        <w:rPr>
          <w:sz w:val="20"/>
          <w:szCs w:val="20"/>
          <w:color w:val="auto"/>
        </w:rPr>
      </w:pPr>
    </w:p>
    <w:p>
      <w:pPr>
        <w:ind w:left="260" w:right="560"/>
        <w:spacing w:after="0" w:line="375" w:lineRule="auto"/>
        <w:rPr>
          <w:sz w:val="20"/>
          <w:szCs w:val="20"/>
          <w:color w:val="auto"/>
        </w:rPr>
      </w:pPr>
      <w:r>
        <w:rPr>
          <w:rFonts w:ascii="Arial" w:cs="Arial" w:eastAsia="Arial" w:hAnsi="Arial"/>
          <w:sz w:val="14"/>
          <w:szCs w:val="14"/>
          <w:color w:val="auto"/>
        </w:rPr>
        <w:t xml:space="preserve">Share-based compensation expense </w:t>
      </w:r>
      <w:r>
        <w:rPr>
          <w:rFonts w:ascii="Arial" w:cs="Arial" w:eastAsia="Arial" w:hAnsi="Arial"/>
          <w:sz w:val="14"/>
          <w:szCs w:val="14"/>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3"/>
        </w:trPr>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gridSpan w:val="3"/>
            <w:vMerge w:val="restart"/>
          </w:tcPr>
          <w:p>
            <w:pPr>
              <w:jc w:val="right"/>
              <w:ind w:right="414"/>
              <w:spacing w:after="0"/>
              <w:rPr>
                <w:sz w:val="20"/>
                <w:szCs w:val="20"/>
                <w:color w:val="auto"/>
              </w:rPr>
            </w:pPr>
            <w:r>
              <w:rPr>
                <w:rFonts w:ascii="Arial" w:cs="Arial" w:eastAsia="Arial" w:hAnsi="Arial"/>
                <w:sz w:val="12"/>
                <w:szCs w:val="12"/>
                <w:b w:val="1"/>
                <w:bCs w:val="1"/>
                <w:color w:val="auto"/>
              </w:rPr>
              <w:t>Common Stock</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01"/>
        </w:trPr>
        <w:tc>
          <w:tcPr>
            <w:tcW w:w="220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300"/>
              <w:spacing w:after="0" w:line="115"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line="115"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8"/>
                <w:szCs w:val="8"/>
                <w:color w:val="auto"/>
              </w:rPr>
            </w:pPr>
          </w:p>
        </w:tc>
        <w:tc>
          <w:tcPr>
            <w:tcW w:w="1160" w:type="dxa"/>
            <w:vAlign w:val="bottom"/>
            <w:gridSpan w:val="2"/>
            <w:vMerge w:val="restart"/>
          </w:tcPr>
          <w:p>
            <w:pPr>
              <w:jc w:val="center"/>
              <w:ind w:right="280"/>
              <w:spacing w:after="0" w:line="115"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8"/>
                <w:szCs w:val="8"/>
                <w:color w:val="auto"/>
              </w:rPr>
            </w:pPr>
          </w:p>
        </w:tc>
        <w:tc>
          <w:tcPr>
            <w:tcW w:w="1100" w:type="dxa"/>
            <w:vAlign w:val="bottom"/>
            <w:vMerge w:val="restart"/>
          </w:tcPr>
          <w:p>
            <w:pPr>
              <w:jc w:val="center"/>
              <w:ind w:right="74"/>
              <w:spacing w:after="0" w:line="11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320" w:type="dxa"/>
            <w:vAlign w:val="bottom"/>
            <w:gridSpan w:val="2"/>
          </w:tcPr>
          <w:p>
            <w:pPr>
              <w:ind w:left="40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Income (Loss)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240" w:type="dxa"/>
            <w:vAlign w:val="bottom"/>
          </w:tcPr>
          <w:p>
            <w:pPr>
              <w:jc w:val="right"/>
              <w:spacing w:after="0"/>
              <w:rPr>
                <w:sz w:val="20"/>
                <w:szCs w:val="20"/>
                <w:color w:val="auto"/>
              </w:rPr>
            </w:pPr>
            <w:r>
              <w:rPr>
                <w:rFonts w:ascii="Arial" w:cs="Arial" w:eastAsia="Arial" w:hAnsi="Arial"/>
                <w:sz w:val="14"/>
                <w:szCs w:val="14"/>
                <w:color w:val="auto"/>
              </w:rPr>
              <w:t>267,744</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2,539,892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(1,839,075)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701,304</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(251,497)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(251,497)</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390"/>
        </w:trPr>
        <w:tc>
          <w:tcPr>
            <w:tcW w:w="1240" w:type="dxa"/>
            <w:vAlign w:val="bottom"/>
          </w:tcPr>
          <w:p>
            <w:pPr>
              <w:jc w:val="right"/>
              <w:spacing w:after="0"/>
              <w:rPr>
                <w:sz w:val="20"/>
                <w:szCs w:val="20"/>
                <w:color w:val="auto"/>
              </w:rPr>
            </w:pPr>
            <w:r>
              <w:rPr>
                <w:rFonts w:ascii="Arial" w:cs="Arial" w:eastAsia="Arial" w:hAnsi="Arial"/>
                <w:sz w:val="14"/>
                <w:szCs w:val="14"/>
                <w:color w:val="auto"/>
              </w:rPr>
              <w:t>4,747</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6,891</w:t>
            </w:r>
          </w:p>
        </w:tc>
        <w:tc>
          <w:tcPr>
            <w:tcW w:w="0" w:type="dxa"/>
            <w:vAlign w:val="bottom"/>
          </w:tcPr>
          <w:p>
            <w:pPr>
              <w:spacing w:after="0"/>
              <w:rPr>
                <w:sz w:val="1"/>
                <w:szCs w:val="1"/>
                <w:color w:val="auto"/>
              </w:rPr>
            </w:pPr>
          </w:p>
        </w:tc>
      </w:tr>
      <w:tr>
        <w:trPr>
          <w:trHeight w:val="221"/>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36,744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36,744</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240" w:type="dxa"/>
            <w:vAlign w:val="bottom"/>
          </w:tcPr>
          <w:p>
            <w:pPr>
              <w:jc w:val="right"/>
              <w:spacing w:after="0"/>
              <w:rPr>
                <w:sz w:val="20"/>
                <w:szCs w:val="20"/>
                <w:color w:val="auto"/>
              </w:rPr>
            </w:pPr>
            <w:r>
              <w:rPr>
                <w:rFonts w:ascii="Arial" w:cs="Arial" w:eastAsia="Arial" w:hAnsi="Arial"/>
                <w:sz w:val="14"/>
                <w:szCs w:val="14"/>
                <w:color w:val="auto"/>
              </w:rPr>
              <w:t>272,491</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272</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2,583,523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(523)</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(2,090,572)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492,700</w:t>
            </w:r>
          </w:p>
        </w:tc>
        <w:tc>
          <w:tcPr>
            <w:tcW w:w="0" w:type="dxa"/>
            <w:vAlign w:val="bottom"/>
          </w:tcPr>
          <w:p>
            <w:pPr>
              <w:spacing w:after="0"/>
              <w:rPr>
                <w:sz w:val="1"/>
                <w:szCs w:val="1"/>
                <w:color w:val="auto"/>
              </w:rPr>
            </w:pPr>
          </w:p>
        </w:tc>
      </w:tr>
      <w:tr>
        <w:trPr>
          <w:trHeight w:val="21"/>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ectPr>
          <w:pgSz w:w="11900" w:h="16838" w:orient="portrait"/>
          <w:cols w:equalWidth="0" w:num="2">
            <w:col w:w="3080" w:space="40"/>
            <w:col w:w="7980"/>
          </w:cols>
          <w:pgMar w:left="320" w:top="122" w:right="479" w:bottom="1440" w:gutter="0" w:footer="0" w:header="0"/>
          <w:type w:val="continuous"/>
        </w:sectPr>
      </w:pP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217170</wp:posOffset>
            </wp:positionV>
            <wp:extent cx="70218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1830" cy="825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1180"/>
        <w:spacing w:after="0"/>
        <w:tabs>
          <w:tab w:leader="none" w:pos="10980" w:val="left"/>
        </w:tabs>
        <w:rPr>
          <w:sz w:val="20"/>
          <w:szCs w:val="20"/>
          <w:color w:val="auto"/>
        </w:rPr>
      </w:pPr>
      <w:r>
        <w:rPr>
          <w:rFonts w:ascii="Arial" w:cs="Arial" w:eastAsia="Arial" w:hAnsi="Arial"/>
          <w:sz w:val="17"/>
          <w:szCs w:val="17"/>
          <w:color w:val="DF1995"/>
        </w:rPr>
        <w:t>Q2 Fiscal 2025 Form 10-Q</w:t>
      </w:r>
      <w:r>
        <w:rPr>
          <w:sz w:val="20"/>
          <w:szCs w:val="20"/>
          <w:color w:val="auto"/>
        </w:rPr>
        <w:tab/>
      </w:r>
      <w:r>
        <w:rPr>
          <w:rFonts w:ascii="Arial" w:cs="Arial" w:eastAsia="Arial" w:hAnsi="Arial"/>
          <w:sz w:val="17"/>
          <w:szCs w:val="17"/>
          <w:color w:val="DF1995"/>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138430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-121285</wp:posOffset>
            </wp:positionV>
            <wp:extent cx="396240" cy="82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597535</wp:posOffset>
            </wp:positionV>
            <wp:extent cx="520446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044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90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6" w:lineRule="exact"/>
        <w:rPr>
          <w:sz w:val="20"/>
          <w:szCs w:val="20"/>
          <w:color w:val="auto"/>
        </w:rPr>
      </w:pPr>
    </w:p>
    <w:p>
      <w:pPr>
        <w:ind w:left="1900" w:right="3640"/>
        <w:spacing w:after="0" w:line="258" w:lineRule="auto"/>
        <w:rPr>
          <w:sz w:val="20"/>
          <w:szCs w:val="20"/>
          <w:color w:val="auto"/>
        </w:rPr>
      </w:pPr>
      <w:r>
        <w:rPr>
          <w:rFonts w:ascii="Arial" w:cs="Arial" w:eastAsia="Arial" w:hAnsi="Arial"/>
          <w:sz w:val="19"/>
          <w:szCs w:val="19"/>
          <w:color w:val="FFFFFF"/>
        </w:rPr>
        <w:t>CONDENSED CONSOLIDATED STATEMENTS OF CASH FLOWS (Unaudited)</w:t>
      </w:r>
    </w:p>
    <w:p>
      <w:pPr>
        <w:spacing w:after="0" w:line="149" w:lineRule="exact"/>
        <w:rPr>
          <w:sz w:val="20"/>
          <w:szCs w:val="20"/>
          <w:color w:val="auto"/>
        </w:rPr>
      </w:pPr>
    </w:p>
    <w:tbl>
      <w:tblPr>
        <w:tblLayout w:type="fixed"/>
        <w:tblInd w:w="1540" w:type="dxa"/>
        <w:tblCellMar>
          <w:top w:w="0" w:type="dxa"/>
          <w:left w:w="0" w:type="dxa"/>
          <w:bottom w:w="0" w:type="dxa"/>
          <w:right w:w="0" w:type="dxa"/>
        </w:tblCellMar>
      </w:tblPr>
      <w:tr>
        <w:trPr>
          <w:trHeight w:val="198"/>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9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shd w:val="clear" w:color="auto" w:fill="E7F2F9"/>
          </w:tcPr>
          <w:p>
            <w:pPr>
              <w:spacing w:after="0"/>
              <w:rPr>
                <w:sz w:val="18"/>
                <w:szCs w:val="18"/>
                <w:color w:val="auto"/>
              </w:rPr>
            </w:pPr>
          </w:p>
        </w:tc>
        <w:tc>
          <w:tcPr>
            <w:tcW w:w="920" w:type="dxa"/>
            <w:vAlign w:val="bottom"/>
            <w:tcBorders>
              <w:bottom w:val="single" w:sz="8" w:color="auto"/>
            </w:tcBorders>
            <w:shd w:val="clear" w:color="auto" w:fill="E7F2F9"/>
          </w:tcPr>
          <w:p>
            <w:pPr>
              <w:jc w:val="right"/>
              <w:ind w:right="311"/>
              <w:spacing w:after="0"/>
              <w:rPr>
                <w:sz w:val="20"/>
                <w:szCs w:val="20"/>
                <w:color w:val="auto"/>
              </w:rPr>
            </w:pPr>
            <w:r>
              <w:rPr>
                <w:rFonts w:ascii="Arial" w:cs="Arial" w:eastAsia="Arial" w:hAnsi="Arial"/>
                <w:sz w:val="14"/>
                <w:szCs w:val="14"/>
                <w:b w:val="1"/>
                <w:bCs w:val="1"/>
                <w:color w:val="1383C6"/>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2024</w:t>
            </w:r>
          </w:p>
        </w:tc>
      </w:tr>
      <w:tr>
        <w:trPr>
          <w:trHeight w:val="195"/>
        </w:trPr>
        <w:tc>
          <w:tcPr>
            <w:tcW w:w="59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E7F2F9"/>
          </w:tcPr>
          <w:p>
            <w:pPr>
              <w:spacing w:after="0"/>
              <w:rPr>
                <w:sz w:val="16"/>
                <w:szCs w:val="16"/>
                <w:color w:val="auto"/>
              </w:rPr>
            </w:pPr>
          </w:p>
        </w:tc>
        <w:tc>
          <w:tcPr>
            <w:tcW w:w="920" w:type="dxa"/>
            <w:vAlign w:val="bottom"/>
            <w:shd w:val="clear" w:color="auto" w:fill="E7F2F9"/>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(468,005)</w:t>
            </w:r>
          </w:p>
        </w:tc>
        <w:tc>
          <w:tcPr>
            <w:tcW w:w="32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(251,497)</w:t>
            </w:r>
          </w:p>
        </w:tc>
      </w:tr>
      <w:tr>
        <w:trPr>
          <w:trHeight w:val="221"/>
        </w:trPr>
        <w:tc>
          <w:tcPr>
            <w:tcW w:w="598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Depreciation</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7,790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6,739</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367,409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13,706</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Amortization of right-of-use assets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2,162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5,858</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Share-based compensation expense</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21,096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36,744</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Impairment charges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93,200</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Accretion of discount and amortization of premium on marketable securities, net</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(2,982)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(7,572)</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Change in the estimated fair value of contingent consideration</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(18,700)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Inventory provision</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8,542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3,922</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1,059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w:t>
            </w:r>
          </w:p>
        </w:tc>
      </w:tr>
      <w:tr>
        <w:trPr>
          <w:trHeight w:val="221"/>
        </w:trPr>
        <w:tc>
          <w:tcPr>
            <w:tcW w:w="5980" w:type="dxa"/>
            <w:vAlign w:val="bottom"/>
          </w:tcPr>
          <w:p>
            <w:pPr>
              <w:ind w:left="400"/>
              <w:spacing w:after="0"/>
              <w:rPr>
                <w:sz w:val="20"/>
                <w:szCs w:val="20"/>
                <w:color w:val="auto"/>
              </w:rPr>
            </w:pPr>
            <w:r>
              <w:rPr>
                <w:rFonts w:ascii="Arial" w:cs="Arial" w:eastAsia="Arial" w:hAnsi="Arial"/>
                <w:sz w:val="14"/>
                <w:szCs w:val="14"/>
                <w:color w:val="auto"/>
              </w:rPr>
              <w:t>Changes in assets and liabilities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(4,733)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4,182</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Inventory, net</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(3,868)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(16,767)</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6,809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3,559</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3,390</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(2,407)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(23,250)</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808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3,046</w:t>
            </w:r>
          </w:p>
        </w:tc>
      </w:tr>
      <w:tr>
        <w:trPr>
          <w:trHeight w:val="221"/>
        </w:trPr>
        <w:tc>
          <w:tcPr>
            <w:tcW w:w="5980" w:type="dxa"/>
            <w:vAlign w:val="bottom"/>
          </w:tcPr>
          <w:p>
            <w:pPr>
              <w:ind w:left="620"/>
              <w:spacing w:after="0"/>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(1,730)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(4,748)</w:t>
            </w:r>
          </w:p>
        </w:tc>
      </w:tr>
      <w:tr>
        <w:trPr>
          <w:trHeight w:val="242"/>
        </w:trPr>
        <w:tc>
          <w:tcPr>
            <w:tcW w:w="5980" w:type="dxa"/>
            <w:vAlign w:val="bottom"/>
          </w:tcPr>
          <w:p>
            <w:pPr>
              <w:ind w:left="6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E7F2F9"/>
            </w:tcBorders>
            <w:shd w:val="clear" w:color="auto" w:fill="E7F2F9"/>
          </w:tcPr>
          <w:p>
            <w:pPr>
              <w:spacing w:after="0"/>
              <w:rPr>
                <w:sz w:val="21"/>
                <w:szCs w:val="21"/>
                <w:color w:val="auto"/>
              </w:rPr>
            </w:pP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(632)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(1,089)</w:t>
            </w:r>
          </w:p>
        </w:tc>
      </w:tr>
      <w:tr>
        <w:trPr>
          <w:trHeight w:val="214"/>
        </w:trPr>
        <w:tc>
          <w:tcPr>
            <w:tcW w:w="5980" w:type="dxa"/>
            <w:vAlign w:val="bottom"/>
          </w:tcPr>
          <w:p>
            <w:pPr>
              <w:ind w:left="86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Borders>
              <w:top w:val="single" w:sz="8" w:color="auto"/>
              <w:bottom w:val="single" w:sz="8" w:color="E7F2F9"/>
            </w:tcBorders>
            <w:shd w:val="clear" w:color="auto" w:fill="E7F2F9"/>
          </w:tcPr>
          <w:p>
            <w:pPr>
              <w:spacing w:after="0"/>
              <w:rPr>
                <w:sz w:val="18"/>
                <w:szCs w:val="18"/>
                <w:color w:val="auto"/>
              </w:rPr>
            </w:pPr>
          </w:p>
        </w:tc>
        <w:tc>
          <w:tcPr>
            <w:tcW w:w="9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(73,433)</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(129,945)</w:t>
            </w:r>
          </w:p>
        </w:tc>
      </w:tr>
      <w:tr>
        <w:trPr>
          <w:trHeight w:val="188"/>
        </w:trPr>
        <w:tc>
          <w:tcPr>
            <w:tcW w:w="598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shd w:val="clear" w:color="auto" w:fill="E7F2F9"/>
          </w:tcPr>
          <w:p>
            <w:pPr>
              <w:spacing w:after="0"/>
              <w:rPr>
                <w:sz w:val="16"/>
                <w:szCs w:val="16"/>
                <w:color w:val="auto"/>
              </w:rPr>
            </w:pPr>
          </w:p>
        </w:tc>
        <w:tc>
          <w:tcPr>
            <w:tcW w:w="920" w:type="dxa"/>
            <w:vAlign w:val="bottom"/>
            <w:tcBorders>
              <w:top w:val="single" w:sz="8" w:color="auto"/>
            </w:tcBorders>
            <w:shd w:val="clear" w:color="auto" w:fill="E7F2F9"/>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3"/>
        </w:trPr>
        <w:tc>
          <w:tcPr>
            <w:tcW w:w="5980" w:type="dxa"/>
            <w:vAlign w:val="bottom"/>
          </w:tcPr>
          <w:p>
            <w:pPr>
              <w:ind w:left="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E7F2F9"/>
          </w:tcPr>
          <w:p>
            <w:pPr>
              <w:spacing w:after="0"/>
              <w:rPr>
                <w:sz w:val="18"/>
                <w:szCs w:val="18"/>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(5,358)</w:t>
            </w:r>
          </w:p>
        </w:tc>
      </w:tr>
      <w:tr>
        <w:trPr>
          <w:trHeight w:val="221"/>
        </w:trPr>
        <w:tc>
          <w:tcPr>
            <w:tcW w:w="5980" w:type="dxa"/>
            <w:vAlign w:val="bottom"/>
          </w:tcPr>
          <w:p>
            <w:pPr>
              <w:ind w:left="80"/>
              <w:spacing w:after="0"/>
              <w:rPr>
                <w:sz w:val="20"/>
                <w:szCs w:val="20"/>
                <w:color w:val="auto"/>
              </w:rPr>
            </w:pPr>
            <w:r>
              <w:rPr>
                <w:rFonts w:ascii="Arial" w:cs="Arial" w:eastAsia="Arial" w:hAnsi="Arial"/>
                <w:sz w:val="14"/>
                <w:szCs w:val="14"/>
                <w:color w:val="auto"/>
              </w:rPr>
              <w:t>Purchases of intangible assets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5980" w:type="dxa"/>
            <w:vAlign w:val="bottom"/>
          </w:tcPr>
          <w:p>
            <w:pPr>
              <w:ind w:left="80"/>
              <w:spacing w:after="0"/>
              <w:rPr>
                <w:sz w:val="20"/>
                <w:szCs w:val="20"/>
                <w:color w:val="auto"/>
              </w:rPr>
            </w:pPr>
            <w:r>
              <w:rPr>
                <w:rFonts w:ascii="Arial" w:cs="Arial" w:eastAsia="Arial" w:hAnsi="Arial"/>
                <w:sz w:val="14"/>
                <w:szCs w:val="14"/>
                <w:color w:val="auto"/>
              </w:rPr>
              <w:t>Purchases of investments</w:t>
            </w:r>
          </w:p>
        </w:tc>
        <w:tc>
          <w:tcPr>
            <w:tcW w:w="140" w:type="dxa"/>
            <w:vAlign w:val="bottom"/>
            <w:shd w:val="clear" w:color="auto" w:fill="E7F2F9"/>
          </w:tcPr>
          <w:p>
            <w:pPr>
              <w:spacing w:after="0"/>
              <w:rPr>
                <w:sz w:val="19"/>
                <w:szCs w:val="19"/>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(117,992)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(303,564)</w:t>
            </w:r>
          </w:p>
        </w:tc>
      </w:tr>
      <w:tr>
        <w:trPr>
          <w:trHeight w:val="242"/>
        </w:trPr>
        <w:tc>
          <w:tcPr>
            <w:tcW w:w="5980" w:type="dxa"/>
            <w:vAlign w:val="bottom"/>
          </w:tcPr>
          <w:p>
            <w:pPr>
              <w:ind w:left="80"/>
              <w:spacing w:after="0"/>
              <w:rPr>
                <w:sz w:val="20"/>
                <w:szCs w:val="20"/>
                <w:color w:val="auto"/>
              </w:rPr>
            </w:pPr>
            <w:r>
              <w:rPr>
                <w:rFonts w:ascii="Arial" w:cs="Arial" w:eastAsia="Arial" w:hAnsi="Arial"/>
                <w:sz w:val="14"/>
                <w:szCs w:val="14"/>
                <w:color w:val="auto"/>
              </w:rPr>
              <w:t>Maturities of investments</w:t>
            </w:r>
          </w:p>
        </w:tc>
        <w:tc>
          <w:tcPr>
            <w:tcW w:w="140" w:type="dxa"/>
            <w:vAlign w:val="bottom"/>
            <w:tcBorders>
              <w:bottom w:val="single" w:sz="8" w:color="E7F2F9"/>
            </w:tcBorders>
            <w:shd w:val="clear" w:color="auto" w:fill="E7F2F9"/>
          </w:tcPr>
          <w:p>
            <w:pPr>
              <w:spacing w:after="0"/>
              <w:rPr>
                <w:sz w:val="21"/>
                <w:szCs w:val="21"/>
                <w:color w:val="auto"/>
              </w:rPr>
            </w:pP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195,448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351,623</w:t>
            </w:r>
          </w:p>
        </w:tc>
      </w:tr>
      <w:tr>
        <w:trPr>
          <w:trHeight w:val="214"/>
        </w:trPr>
        <w:tc>
          <w:tcPr>
            <w:tcW w:w="5980" w:type="dxa"/>
            <w:vAlign w:val="bottom"/>
          </w:tcPr>
          <w:p>
            <w:pPr>
              <w:ind w:left="860"/>
              <w:spacing w:after="0"/>
              <w:rPr>
                <w:sz w:val="20"/>
                <w:szCs w:val="20"/>
                <w:color w:val="auto"/>
              </w:rPr>
            </w:pPr>
            <w:r>
              <w:rPr>
                <w:rFonts w:ascii="Arial" w:cs="Arial" w:eastAsia="Arial" w:hAnsi="Arial"/>
                <w:sz w:val="14"/>
                <w:szCs w:val="14"/>
                <w:color w:val="auto"/>
              </w:rPr>
              <w:t>Net cash provided by investing activities</w:t>
            </w:r>
          </w:p>
        </w:tc>
        <w:tc>
          <w:tcPr>
            <w:tcW w:w="140" w:type="dxa"/>
            <w:vAlign w:val="bottom"/>
            <w:tcBorders>
              <w:top w:val="single" w:sz="8" w:color="auto"/>
              <w:bottom w:val="single" w:sz="8" w:color="E7F2F9"/>
            </w:tcBorders>
            <w:shd w:val="clear" w:color="auto" w:fill="E7F2F9"/>
          </w:tcPr>
          <w:p>
            <w:pPr>
              <w:spacing w:after="0"/>
              <w:rPr>
                <w:sz w:val="18"/>
                <w:szCs w:val="18"/>
                <w:color w:val="auto"/>
              </w:rPr>
            </w:pPr>
          </w:p>
        </w:tc>
        <w:tc>
          <w:tcPr>
            <w:tcW w:w="9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70,517</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42,701</w:t>
            </w:r>
          </w:p>
        </w:tc>
      </w:tr>
      <w:tr>
        <w:trPr>
          <w:trHeight w:val="188"/>
        </w:trPr>
        <w:tc>
          <w:tcPr>
            <w:tcW w:w="5980" w:type="dxa"/>
            <w:vAlign w:val="bottom"/>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auto"/>
            </w:tcBorders>
            <w:shd w:val="clear" w:color="auto" w:fill="E7F2F9"/>
          </w:tcPr>
          <w:p>
            <w:pPr>
              <w:spacing w:after="0"/>
              <w:rPr>
                <w:sz w:val="16"/>
                <w:szCs w:val="16"/>
                <w:color w:val="auto"/>
              </w:rPr>
            </w:pPr>
          </w:p>
        </w:tc>
        <w:tc>
          <w:tcPr>
            <w:tcW w:w="920" w:type="dxa"/>
            <w:vAlign w:val="bottom"/>
            <w:tcBorders>
              <w:top w:val="single" w:sz="8" w:color="auto"/>
            </w:tcBorders>
            <w:shd w:val="clear" w:color="auto" w:fill="E7F2F9"/>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3"/>
        </w:trPr>
        <w:tc>
          <w:tcPr>
            <w:tcW w:w="5980" w:type="dxa"/>
            <w:vAlign w:val="bottom"/>
          </w:tcPr>
          <w:p>
            <w:pPr>
              <w:ind w:left="80"/>
              <w:spacing w:after="0"/>
              <w:rPr>
                <w:sz w:val="20"/>
                <w:szCs w:val="20"/>
                <w:color w:val="auto"/>
              </w:rPr>
            </w:pPr>
            <w:r>
              <w:rPr>
                <w:rFonts w:ascii="Arial" w:cs="Arial" w:eastAsia="Arial" w:hAnsi="Arial"/>
                <w:sz w:val="14"/>
                <w:szCs w:val="14"/>
                <w:color w:val="auto"/>
              </w:rPr>
              <w:t>Proceeds from issuance of common stock from equity plans</w:t>
            </w:r>
          </w:p>
        </w:tc>
        <w:tc>
          <w:tcPr>
            <w:tcW w:w="140" w:type="dxa"/>
            <w:vAlign w:val="bottom"/>
            <w:shd w:val="clear" w:color="auto" w:fill="E7F2F9"/>
          </w:tcPr>
          <w:p>
            <w:pPr>
              <w:spacing w:after="0"/>
              <w:rPr>
                <w:sz w:val="18"/>
                <w:szCs w:val="18"/>
                <w:color w:val="auto"/>
              </w:rPr>
            </w:pPr>
          </w:p>
        </w:tc>
        <w:tc>
          <w:tcPr>
            <w:tcW w:w="9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6,891</w:t>
            </w:r>
          </w:p>
        </w:tc>
      </w:tr>
      <w:tr>
        <w:trPr>
          <w:trHeight w:val="242"/>
        </w:trPr>
        <w:tc>
          <w:tcPr>
            <w:tcW w:w="5980" w:type="dxa"/>
            <w:vAlign w:val="bottom"/>
          </w:tcPr>
          <w:p>
            <w:pPr>
              <w:ind w:left="80"/>
              <w:spacing w:after="0"/>
              <w:rPr>
                <w:sz w:val="20"/>
                <w:szCs w:val="20"/>
                <w:color w:val="auto"/>
              </w:rPr>
            </w:pPr>
            <w:r>
              <w:rPr>
                <w:rFonts w:ascii="Arial" w:cs="Arial" w:eastAsia="Arial" w:hAnsi="Arial"/>
                <w:sz w:val="14"/>
                <w:szCs w:val="14"/>
                <w:color w:val="auto"/>
              </w:rPr>
              <w:t>Notes payable principal payoff</w:t>
            </w:r>
          </w:p>
        </w:tc>
        <w:tc>
          <w:tcPr>
            <w:tcW w:w="140" w:type="dxa"/>
            <w:vAlign w:val="bottom"/>
            <w:tcBorders>
              <w:bottom w:val="single" w:sz="8" w:color="E7F2F9"/>
            </w:tcBorders>
            <w:shd w:val="clear" w:color="auto" w:fill="E7F2F9"/>
          </w:tcPr>
          <w:p>
            <w:pPr>
              <w:spacing w:after="0"/>
              <w:rPr>
                <w:sz w:val="21"/>
                <w:szCs w:val="21"/>
                <w:color w:val="auto"/>
              </w:rPr>
            </w:pP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14"/>
        </w:trPr>
        <w:tc>
          <w:tcPr>
            <w:tcW w:w="5980" w:type="dxa"/>
            <w:vAlign w:val="bottom"/>
          </w:tcPr>
          <w:p>
            <w:pPr>
              <w:ind w:left="86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top w:val="single" w:sz="8" w:color="auto"/>
              <w:bottom w:val="single" w:sz="8" w:color="E7F2F9"/>
            </w:tcBorders>
            <w:shd w:val="clear" w:color="auto" w:fill="E7F2F9"/>
          </w:tcPr>
          <w:p>
            <w:pPr>
              <w:spacing w:after="0"/>
              <w:rPr>
                <w:sz w:val="18"/>
                <w:szCs w:val="18"/>
                <w:color w:val="auto"/>
              </w:rPr>
            </w:pPr>
          </w:p>
        </w:tc>
        <w:tc>
          <w:tcPr>
            <w:tcW w:w="9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1,959</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6,401</w:t>
            </w:r>
          </w:p>
        </w:tc>
      </w:tr>
      <w:tr>
        <w:trPr>
          <w:trHeight w:val="193"/>
        </w:trPr>
        <w:tc>
          <w:tcPr>
            <w:tcW w:w="5980" w:type="dxa"/>
            <w:vAlign w:val="bottom"/>
          </w:tcPr>
          <w:p>
            <w:pPr>
              <w:ind w:left="80"/>
              <w:spacing w:after="0"/>
              <w:rPr>
                <w:sz w:val="20"/>
                <w:szCs w:val="20"/>
                <w:color w:val="auto"/>
              </w:rPr>
            </w:pPr>
            <w:r>
              <w:rPr>
                <w:rFonts w:ascii="Arial" w:cs="Arial" w:eastAsia="Arial" w:hAnsi="Arial"/>
                <w:sz w:val="14"/>
                <w:szCs w:val="14"/>
                <w:color w:val="auto"/>
              </w:rPr>
              <w:t>Net decrease in cash, cash equivalents, and restricted cash</w:t>
            </w:r>
          </w:p>
        </w:tc>
        <w:tc>
          <w:tcPr>
            <w:tcW w:w="140" w:type="dxa"/>
            <w:vAlign w:val="bottom"/>
            <w:tcBorders>
              <w:top w:val="single" w:sz="8" w:color="auto"/>
            </w:tcBorders>
            <w:shd w:val="clear" w:color="auto" w:fill="E7F2F9"/>
          </w:tcPr>
          <w:p>
            <w:pPr>
              <w:spacing w:after="0"/>
              <w:rPr>
                <w:sz w:val="16"/>
                <w:szCs w:val="16"/>
                <w:color w:val="auto"/>
              </w:rPr>
            </w:pPr>
          </w:p>
        </w:tc>
        <w:tc>
          <w:tcPr>
            <w:tcW w:w="9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(957)</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(80,843)</w:t>
            </w:r>
          </w:p>
        </w:tc>
      </w:tr>
      <w:tr>
        <w:trPr>
          <w:trHeight w:val="242"/>
        </w:trPr>
        <w:tc>
          <w:tcPr>
            <w:tcW w:w="5980" w:type="dxa"/>
            <w:vAlign w:val="bottom"/>
          </w:tcPr>
          <w:p>
            <w:pPr>
              <w:ind w:left="8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40" w:type="dxa"/>
            <w:vAlign w:val="bottom"/>
            <w:tcBorders>
              <w:bottom w:val="single" w:sz="8" w:color="E7F2F9"/>
            </w:tcBorders>
            <w:shd w:val="clear" w:color="auto" w:fill="E7F2F9"/>
          </w:tcPr>
          <w:p>
            <w:pPr>
              <w:spacing w:after="0"/>
              <w:rPr>
                <w:sz w:val="21"/>
                <w:szCs w:val="21"/>
                <w:color w:val="auto"/>
              </w:rPr>
            </w:pP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57,592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182,633</w:t>
            </w:r>
          </w:p>
        </w:tc>
      </w:tr>
      <w:tr>
        <w:trPr>
          <w:trHeight w:val="254"/>
        </w:trPr>
        <w:tc>
          <w:tcPr>
            <w:tcW w:w="5980" w:type="dxa"/>
            <w:vAlign w:val="bottom"/>
          </w:tcPr>
          <w:p>
            <w:pPr>
              <w:ind w:left="80"/>
              <w:spacing w:after="0"/>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9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56,635</w:t>
            </w:r>
          </w:p>
        </w:tc>
        <w:tc>
          <w:tcPr>
            <w:tcW w:w="80" w:type="dxa"/>
            <w:vAlign w:val="bottom"/>
          </w:tcPr>
          <w:p>
            <w:pPr>
              <w:spacing w:after="0"/>
              <w:rPr>
                <w:sz w:val="22"/>
                <w:szCs w:val="22"/>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101,790</w:t>
            </w:r>
          </w:p>
        </w:tc>
      </w:tr>
      <w:tr>
        <w:trPr>
          <w:trHeight w:val="192"/>
        </w:trPr>
        <w:tc>
          <w:tcPr>
            <w:tcW w:w="5980" w:type="dxa"/>
            <w:vAlign w:val="bottom"/>
          </w:tcPr>
          <w:p>
            <w:pPr>
              <w:ind w:left="8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top w:val="single" w:sz="8" w:color="auto"/>
            </w:tcBorders>
            <w:shd w:val="clear" w:color="auto" w:fill="E7F2F9"/>
          </w:tcPr>
          <w:p>
            <w:pPr>
              <w:spacing w:after="0"/>
              <w:rPr>
                <w:sz w:val="16"/>
                <w:szCs w:val="16"/>
                <w:color w:val="auto"/>
              </w:rPr>
            </w:pPr>
          </w:p>
        </w:tc>
        <w:tc>
          <w:tcPr>
            <w:tcW w:w="9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54,803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99,526</w:t>
            </w:r>
          </w:p>
        </w:tc>
      </w:tr>
      <w:tr>
        <w:trPr>
          <w:trHeight w:val="242"/>
        </w:trPr>
        <w:tc>
          <w:tcPr>
            <w:tcW w:w="5980" w:type="dxa"/>
            <w:vAlign w:val="bottom"/>
          </w:tcPr>
          <w:p>
            <w:pPr>
              <w:ind w:left="80"/>
              <w:spacing w:after="0"/>
              <w:rPr>
                <w:sz w:val="20"/>
                <w:szCs w:val="20"/>
                <w:color w:val="auto"/>
              </w:rPr>
            </w:pPr>
            <w:r>
              <w:rPr>
                <w:rFonts w:ascii="Arial" w:cs="Arial" w:eastAsia="Arial" w:hAnsi="Arial"/>
                <w:sz w:val="14"/>
                <w:szCs w:val="14"/>
                <w:color w:val="auto"/>
              </w:rPr>
              <w:t>Restricted cash at end of period</w:t>
            </w:r>
          </w:p>
        </w:tc>
        <w:tc>
          <w:tcPr>
            <w:tcW w:w="140" w:type="dxa"/>
            <w:vAlign w:val="bottom"/>
            <w:tcBorders>
              <w:bottom w:val="single" w:sz="8" w:color="E7F2F9"/>
            </w:tcBorders>
            <w:shd w:val="clear" w:color="auto" w:fill="E7F2F9"/>
          </w:tcPr>
          <w:p>
            <w:pPr>
              <w:spacing w:after="0"/>
              <w:rPr>
                <w:sz w:val="21"/>
                <w:szCs w:val="21"/>
                <w:color w:val="auto"/>
              </w:rPr>
            </w:pP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1,832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2,264</w:t>
            </w:r>
          </w:p>
        </w:tc>
      </w:tr>
      <w:tr>
        <w:trPr>
          <w:trHeight w:val="246"/>
        </w:trPr>
        <w:tc>
          <w:tcPr>
            <w:tcW w:w="5980" w:type="dxa"/>
            <w:vAlign w:val="bottom"/>
          </w:tcPr>
          <w:p>
            <w:pPr>
              <w:ind w:left="80"/>
              <w:spacing w:after="0"/>
              <w:rPr>
                <w:sz w:val="20"/>
                <w:szCs w:val="20"/>
                <w:color w:val="auto"/>
              </w:rPr>
            </w:pPr>
            <w:r>
              <w:rPr>
                <w:rFonts w:ascii="Arial" w:cs="Arial" w:eastAsia="Arial" w:hAnsi="Arial"/>
                <w:sz w:val="14"/>
                <w:szCs w:val="14"/>
                <w:color w:val="auto"/>
              </w:rPr>
              <w:t>Cash, cash equivalents, and restricted cash at end of period</w:t>
            </w:r>
          </w:p>
        </w:tc>
        <w:tc>
          <w:tcPr>
            <w:tcW w:w="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9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56,635</w:t>
            </w:r>
          </w:p>
        </w:tc>
        <w:tc>
          <w:tcPr>
            <w:tcW w:w="80" w:type="dxa"/>
            <w:vAlign w:val="bottom"/>
          </w:tcPr>
          <w:p>
            <w:pPr>
              <w:spacing w:after="0"/>
              <w:rPr>
                <w:sz w:val="21"/>
                <w:szCs w:val="21"/>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101,790</w:t>
            </w:r>
          </w:p>
        </w:tc>
      </w:tr>
      <w:tr>
        <w:trPr>
          <w:trHeight w:val="442"/>
        </w:trPr>
        <w:tc>
          <w:tcPr>
            <w:tcW w:w="598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40" w:type="dxa"/>
            <w:vAlign w:val="bottom"/>
            <w:tcBorders>
              <w:top w:val="single" w:sz="8" w:color="auto"/>
            </w:tcBorders>
            <w:shd w:val="clear" w:color="auto" w:fill="E7F2F9"/>
          </w:tcPr>
          <w:p>
            <w:pPr>
              <w:spacing w:after="0"/>
              <w:rPr>
                <w:sz w:val="24"/>
                <w:szCs w:val="24"/>
                <w:color w:val="auto"/>
              </w:rPr>
            </w:pPr>
          </w:p>
        </w:tc>
        <w:tc>
          <w:tcPr>
            <w:tcW w:w="92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54"/>
        </w:trPr>
        <w:tc>
          <w:tcPr>
            <w:tcW w:w="5980" w:type="dxa"/>
            <w:vAlign w:val="bottom"/>
          </w:tcPr>
          <w:p>
            <w:pPr>
              <w:ind w:left="80"/>
              <w:spacing w:after="0"/>
              <w:rPr>
                <w:sz w:val="20"/>
                <w:szCs w:val="20"/>
                <w:color w:val="auto"/>
              </w:rPr>
            </w:pPr>
            <w:r>
              <w:rPr>
                <w:rFonts w:ascii="Arial" w:cs="Arial" w:eastAsia="Arial" w:hAnsi="Arial"/>
                <w:sz w:val="14"/>
                <w:szCs w:val="14"/>
                <w:color w:val="auto"/>
              </w:rPr>
              <w:t>Right-of-use asset and lease liability recognized due to lease extension</w:t>
            </w:r>
          </w:p>
        </w:tc>
        <w:tc>
          <w:tcPr>
            <w:tcW w:w="1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9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29,575</w:t>
            </w:r>
          </w:p>
        </w:tc>
        <w:tc>
          <w:tcPr>
            <w:tcW w:w="32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209550</wp:posOffset>
            </wp:positionV>
            <wp:extent cx="7021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183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Pr>
          <w:p>
            <w:pPr>
              <w:ind w:left="1180"/>
              <w:spacing w:after="0"/>
              <w:rPr>
                <w:sz w:val="20"/>
                <w:szCs w:val="20"/>
                <w:color w:val="auto"/>
              </w:rPr>
            </w:pPr>
            <w:r>
              <w:rPr>
                <w:rFonts w:ascii="Arial" w:cs="Arial" w:eastAsia="Arial" w:hAnsi="Arial"/>
                <w:sz w:val="17"/>
                <w:szCs w:val="17"/>
                <w:color w:val="DF1995"/>
              </w:rPr>
              <w:t>Q2 Fiscal 2025 Form 10-Q</w:t>
            </w:r>
          </w:p>
        </w:tc>
        <w:tc>
          <w:tcPr>
            <w:tcW w:w="4120" w:type="dxa"/>
            <w:vAlign w:val="bottom"/>
          </w:tcPr>
          <w:p>
            <w:pPr>
              <w:jc w:val="right"/>
              <w:ind w:right="53"/>
              <w:spacing w:after="0"/>
              <w:rPr>
                <w:sz w:val="20"/>
                <w:szCs w:val="20"/>
                <w:color w:val="auto"/>
              </w:rPr>
            </w:pPr>
            <w:r>
              <w:rPr>
                <w:rFonts w:ascii="Arial" w:cs="Arial" w:eastAsia="Arial" w:hAnsi="Arial"/>
                <w:sz w:val="17"/>
                <w:szCs w:val="17"/>
                <w:color w:val="DF1995"/>
              </w:rPr>
              <w:t>6</w:t>
            </w:r>
          </w:p>
        </w:tc>
      </w:tr>
      <w:tr>
        <w:trPr>
          <w:trHeight w:val="223"/>
        </w:trPr>
        <w:tc>
          <w:tcPr>
            <w:tcW w:w="7120" w:type="dxa"/>
            <w:vAlign w:val="bottom"/>
            <w:tcBorders>
              <w:bottom w:val="single" w:sz="8" w:color="9A9A9A"/>
            </w:tcBorders>
          </w:tcPr>
          <w:p>
            <w:pPr>
              <w:spacing w:after="0"/>
              <w:rPr>
                <w:sz w:val="19"/>
                <w:szCs w:val="19"/>
                <w:color w:val="auto"/>
              </w:rPr>
            </w:pPr>
          </w:p>
        </w:tc>
        <w:tc>
          <w:tcPr>
            <w:tcW w:w="41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-296545</wp:posOffset>
            </wp:positionV>
            <wp:extent cx="396240" cy="825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465455</wp:posOffset>
            </wp:positionV>
            <wp:extent cx="7137400" cy="471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6" w:lineRule="exact"/>
        <w:rPr>
          <w:sz w:val="20"/>
          <w:szCs w:val="20"/>
          <w:color w:val="auto"/>
        </w:rPr>
      </w:pPr>
    </w:p>
    <w:p>
      <w:pPr>
        <w:ind w:left="20" w:right="5080"/>
        <w:spacing w:after="0" w:line="258" w:lineRule="auto"/>
        <w:rPr>
          <w:sz w:val="20"/>
          <w:szCs w:val="20"/>
          <w:color w:val="auto"/>
        </w:rPr>
      </w:pPr>
      <w:r>
        <w:rPr>
          <w:rFonts w:ascii="Arial" w:cs="Arial" w:eastAsia="Arial" w:hAnsi="Arial"/>
          <w:sz w:val="19"/>
          <w:szCs w:val="19"/>
          <w:color w:val="FFFFFF"/>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7137400" cy="247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1. ORGANIZATION AND SIGNIFICANT ACCOUNTING POLICIES</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products and technology, which include our HiFi long-read sequencing technology, address solutions across a broad set of applications including human germline sequencing, plant and animal sciences, infectious disease and microbiology, oncology, and other emerging applications.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focus is on creating some of the world's most advanced sequencing systems to provide our customers with the most complete and accurate view of genomes, transcriptomes, and epigenomes.</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5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References in this report to “PacBio,” “we,” “us,” the “Company,” and “our” refer to Pacific Biosciences of California, Inc. and its consolidated subsidiaries.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Basis of Presentation and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2024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2024 ("2024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June 30, 2025. Actual results could differ materially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37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00" w:type="dxa"/>
            <w:vAlign w:val="bottom"/>
          </w:tcPr>
          <w:p>
            <w:pPr>
              <w:jc w:val="right"/>
              <w:spacing w:after="0"/>
              <w:rPr>
                <w:sz w:val="20"/>
                <w:szCs w:val="20"/>
                <w:color w:val="auto"/>
              </w:rPr>
            </w:pPr>
            <w:r>
              <w:rPr>
                <w:rFonts w:ascii="Arial" w:cs="Arial" w:eastAsia="Arial" w:hAnsi="Arial"/>
                <w:sz w:val="17"/>
                <w:szCs w:val="17"/>
                <w:color w:val="DF1995"/>
              </w:rPr>
              <w:t>7</w:t>
            </w:r>
          </w:p>
        </w:tc>
      </w:tr>
      <w:tr>
        <w:trPr>
          <w:trHeight w:val="210"/>
        </w:trPr>
        <w:tc>
          <w:tcPr>
            <w:tcW w:w="7140" w:type="dxa"/>
            <w:vAlign w:val="bottom"/>
            <w:tcBorders>
              <w:bottom w:val="single" w:sz="8" w:color="9A9A9A"/>
            </w:tcBorders>
          </w:tcPr>
          <w:p>
            <w:pPr>
              <w:spacing w:after="0"/>
              <w:rPr>
                <w:sz w:val="18"/>
                <w:szCs w:val="18"/>
                <w:color w:val="auto"/>
              </w:rPr>
            </w:pPr>
          </w:p>
        </w:tc>
        <w:tc>
          <w:tcPr>
            <w:tcW w:w="4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Cash Equivalents, Restricted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Accounting Pronouncements Pending Adoption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December 2023, the FASB issued ASU 2023-09, </w:t>
      </w:r>
      <w:r>
        <w:rPr>
          <w:rFonts w:ascii="Arial" w:cs="Arial" w:eastAsia="Arial" w:hAnsi="Arial"/>
          <w:sz w:val="17"/>
          <w:szCs w:val="17"/>
          <w:i w:val="1"/>
          <w:iCs w:val="1"/>
          <w:color w:val="auto"/>
        </w:rPr>
        <w:t>Income Taxes (Topic 740): Improvements to Income Tax Disclosures</w:t>
      </w:r>
      <w:r>
        <w:rPr>
          <w:rFonts w:ascii="Arial" w:cs="Arial" w:eastAsia="Arial" w:hAnsi="Arial"/>
          <w:sz w:val="17"/>
          <w:szCs w:val="17"/>
          <w:color w:val="auto"/>
        </w:rPr>
        <w:t>. This new standard requires a company to expand its existing income tax disclosures, specifically related to the rate reconciliation and income taxes paid. The standard is effective for annual periods beginning in 2025. The new standard is expected to be applied prospectively, but retrospective application is permitted. We are currently evaluating the impact of ASU 2023-09 on the consolidated financial statements and related disclosures.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November 2024, the FASB issued ASU 2024-04, </w:t>
      </w:r>
      <w:r>
        <w:rPr>
          <w:rFonts w:ascii="Arial" w:cs="Arial" w:eastAsia="Arial" w:hAnsi="Arial"/>
          <w:sz w:val="17"/>
          <w:szCs w:val="17"/>
          <w:i w:val="1"/>
          <w:iCs w:val="1"/>
          <w:color w:val="auto"/>
        </w:rPr>
        <w:t>Debt—Debt With Conversion and Other Options (Subtopic 470-20): Induced Conversions of</w:t>
      </w:r>
      <w:r>
        <w:rPr>
          <w:rFonts w:ascii="Arial" w:cs="Arial" w:eastAsia="Arial" w:hAnsi="Arial"/>
          <w:sz w:val="17"/>
          <w:szCs w:val="17"/>
          <w:color w:val="auto"/>
        </w:rPr>
        <w:t xml:space="preserve"> </w:t>
      </w:r>
      <w:r>
        <w:rPr>
          <w:rFonts w:ascii="Arial" w:cs="Arial" w:eastAsia="Arial" w:hAnsi="Arial"/>
          <w:sz w:val="17"/>
          <w:szCs w:val="17"/>
          <w:i w:val="1"/>
          <w:iCs w:val="1"/>
          <w:color w:val="auto"/>
        </w:rPr>
        <w:t>Convertible Debt Instruments</w:t>
      </w:r>
      <w:r>
        <w:rPr>
          <w:rFonts w:ascii="Arial" w:cs="Arial" w:eastAsia="Arial" w:hAnsi="Arial"/>
          <w:sz w:val="17"/>
          <w:szCs w:val="17"/>
          <w:color w:val="auto"/>
        </w:rPr>
        <w:t>. This new standard clarifies the requirements for determining whether certain settlements of convertible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should be accounted for as an induced conversion or extinguishment of convertible debt. The standard will be effective for us beginning in the first quarter of 2026, with early adoption permitted. The new standard is expected to be applied prospectively, but retrospective application is permitted. We are currently evaluating the impact of ASU 2024-04 on the consolidated financial statements and related disclosures.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Statement—Reporting Comprehensive Income—Expense Disaggregation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220-40): Disaggregation of Income Statement Expenses</w:t>
      </w:r>
      <w:r>
        <w:rPr>
          <w:rFonts w:ascii="Arial" w:cs="Arial" w:eastAsia="Arial" w:hAnsi="Arial"/>
          <w:sz w:val="17"/>
          <w:szCs w:val="17"/>
          <w:color w:val="auto"/>
        </w:rPr>
        <w:t>. This new standard requires a company to provide disaggregated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significant accounting policies as disclosed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00" w:type="dxa"/>
            <w:vAlign w:val="bottom"/>
          </w:tcPr>
          <w:p>
            <w:pPr>
              <w:jc w:val="right"/>
              <w:spacing w:after="0"/>
              <w:rPr>
                <w:sz w:val="20"/>
                <w:szCs w:val="20"/>
                <w:color w:val="auto"/>
              </w:rPr>
            </w:pPr>
            <w:r>
              <w:rPr>
                <w:rFonts w:ascii="Arial" w:cs="Arial" w:eastAsia="Arial" w:hAnsi="Arial"/>
                <w:sz w:val="17"/>
                <w:szCs w:val="17"/>
                <w:color w:val="DF1995"/>
              </w:rPr>
              <w:t>8</w:t>
            </w:r>
          </w:p>
        </w:tc>
      </w:tr>
      <w:tr>
        <w:trPr>
          <w:trHeight w:val="210"/>
        </w:trPr>
        <w:tc>
          <w:tcPr>
            <w:tcW w:w="7140" w:type="dxa"/>
            <w:vAlign w:val="bottom"/>
            <w:tcBorders>
              <w:bottom w:val="single" w:sz="8" w:color="9A9A9A"/>
            </w:tcBorders>
          </w:tcPr>
          <w:p>
            <w:pPr>
              <w:spacing w:after="0"/>
              <w:rPr>
                <w:sz w:val="18"/>
                <w:szCs w:val="18"/>
                <w:color w:val="auto"/>
              </w:rPr>
            </w:pPr>
          </w:p>
        </w:tc>
        <w:tc>
          <w:tcPr>
            <w:tcW w:w="4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564515</wp:posOffset>
            </wp:positionV>
            <wp:extent cx="7137400" cy="2476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2. FINANCIAL INSTRUMENTS</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38"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38" w:lineRule="exact"/>
        <w:rPr>
          <w:sz w:val="20"/>
          <w:szCs w:val="20"/>
          <w:color w:val="auto"/>
        </w:rPr>
      </w:pPr>
    </w:p>
    <w:p>
      <w:pPr>
        <w:ind w:left="620" w:hanging="304"/>
        <w:spacing w:after="0"/>
        <w:tabs>
          <w:tab w:leader="none" w:pos="620"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1: quoted prices in active markets for identical assets or liabilities;</w:t>
      </w:r>
    </w:p>
    <w:p>
      <w:pPr>
        <w:spacing w:after="0" w:line="116" w:lineRule="exact"/>
        <w:rPr>
          <w:rFonts w:ascii="Arial" w:cs="Arial" w:eastAsia="Arial" w:hAnsi="Arial"/>
          <w:sz w:val="17"/>
          <w:szCs w:val="17"/>
          <w:b w:val="1"/>
          <w:bCs w:val="1"/>
          <w:color w:val="DF1995"/>
        </w:rPr>
      </w:pPr>
    </w:p>
    <w:p>
      <w:pPr>
        <w:jc w:val="both"/>
        <w:ind w:left="620" w:hanging="304"/>
        <w:spacing w:after="0" w:line="276" w:lineRule="auto"/>
        <w:tabs>
          <w:tab w:leader="none" w:pos="615"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4"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00" w:type="dxa"/>
            <w:vAlign w:val="bottom"/>
          </w:tcPr>
          <w:p>
            <w:pPr>
              <w:jc w:val="right"/>
              <w:spacing w:after="0"/>
              <w:rPr>
                <w:sz w:val="20"/>
                <w:szCs w:val="20"/>
                <w:color w:val="auto"/>
              </w:rPr>
            </w:pPr>
            <w:r>
              <w:rPr>
                <w:rFonts w:ascii="Arial" w:cs="Arial" w:eastAsia="Arial" w:hAnsi="Arial"/>
                <w:sz w:val="17"/>
                <w:szCs w:val="17"/>
                <w:color w:val="DF1995"/>
              </w:rPr>
              <w:t>9</w:t>
            </w:r>
          </w:p>
        </w:tc>
      </w:tr>
      <w:tr>
        <w:trPr>
          <w:trHeight w:val="210"/>
        </w:trPr>
        <w:tc>
          <w:tcPr>
            <w:tcW w:w="7140" w:type="dxa"/>
            <w:vAlign w:val="bottom"/>
            <w:tcBorders>
              <w:bottom w:val="single" w:sz="8" w:color="9A9A9A"/>
            </w:tcBorders>
          </w:tcPr>
          <w:p>
            <w:pPr>
              <w:spacing w:after="0"/>
              <w:rPr>
                <w:sz w:val="18"/>
                <w:szCs w:val="18"/>
                <w:color w:val="auto"/>
              </w:rPr>
            </w:pPr>
          </w:p>
        </w:tc>
        <w:tc>
          <w:tcPr>
            <w:tcW w:w="4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120" w:type="dxa"/>
            <w:vAlign w:val="bottom"/>
            <w:tcBorders>
              <w:bottom w:val="single" w:sz="8" w:color="auto"/>
            </w:tcBorders>
            <w:shd w:val="clear" w:color="auto" w:fill="E7F2F9"/>
          </w:tcPr>
          <w:p>
            <w:pPr>
              <w:spacing w:after="0"/>
              <w:rPr>
                <w:sz w:val="18"/>
                <w:szCs w:val="18"/>
                <w:color w:val="auto"/>
              </w:rPr>
            </w:pPr>
          </w:p>
        </w:tc>
        <w:tc>
          <w:tcPr>
            <w:tcW w:w="780" w:type="dxa"/>
            <w:vAlign w:val="bottom"/>
            <w:tcBorders>
              <w:bottom w:val="single" w:sz="8" w:color="auto"/>
            </w:tcBorders>
            <w:shd w:val="clear" w:color="auto" w:fill="E7F2F9"/>
          </w:tcPr>
          <w:p>
            <w:pPr>
              <w:spacing w:after="0"/>
              <w:rPr>
                <w:sz w:val="18"/>
                <w:szCs w:val="18"/>
                <w:color w:val="auto"/>
              </w:rPr>
            </w:pPr>
          </w:p>
        </w:tc>
        <w:tc>
          <w:tcPr>
            <w:tcW w:w="100" w:type="dxa"/>
            <w:vAlign w:val="bottom"/>
            <w:tcBorders>
              <w:bottom w:val="single" w:sz="8" w:color="auto"/>
            </w:tcBorders>
            <w:shd w:val="clear" w:color="auto" w:fill="E7F2F9"/>
          </w:tcPr>
          <w:p>
            <w:pPr>
              <w:spacing w:after="0"/>
              <w:rPr>
                <w:sz w:val="18"/>
                <w:szCs w:val="18"/>
                <w:color w:val="auto"/>
              </w:rPr>
            </w:pPr>
          </w:p>
        </w:tc>
        <w:tc>
          <w:tcPr>
            <w:tcW w:w="100" w:type="dxa"/>
            <w:vAlign w:val="bottom"/>
            <w:tcBorders>
              <w:bottom w:val="single" w:sz="8" w:color="auto"/>
            </w:tcBorders>
            <w:shd w:val="clear" w:color="auto" w:fill="E7F2F9"/>
          </w:tcPr>
          <w:p>
            <w:pPr>
              <w:spacing w:after="0"/>
              <w:rPr>
                <w:sz w:val="18"/>
                <w:szCs w:val="18"/>
                <w:color w:val="auto"/>
              </w:rPr>
            </w:pPr>
          </w:p>
        </w:tc>
        <w:tc>
          <w:tcPr>
            <w:tcW w:w="1560" w:type="dxa"/>
            <w:vAlign w:val="bottom"/>
            <w:tcBorders>
              <w:bottom w:val="single" w:sz="8" w:color="auto"/>
            </w:tcBorders>
            <w:gridSpan w:val="4"/>
            <w:shd w:val="clear" w:color="auto" w:fill="E7F2F9"/>
          </w:tcPr>
          <w:p>
            <w:pPr>
              <w:ind w:left="380"/>
              <w:spacing w:after="0"/>
              <w:rPr>
                <w:sz w:val="20"/>
                <w:szCs w:val="20"/>
                <w:color w:val="auto"/>
              </w:rPr>
            </w:pPr>
            <w:r>
              <w:rPr>
                <w:rFonts w:ascii="Arial" w:cs="Arial" w:eastAsia="Arial" w:hAnsi="Arial"/>
                <w:sz w:val="14"/>
                <w:szCs w:val="14"/>
                <w:b w:val="1"/>
                <w:bCs w:val="1"/>
                <w:color w:val="1383C6"/>
              </w:rPr>
              <w:t>June 30, 2025</w:t>
            </w:r>
          </w:p>
        </w:tc>
        <w:tc>
          <w:tcPr>
            <w:tcW w:w="180" w:type="dxa"/>
            <w:vAlign w:val="bottom"/>
            <w:tcBorders>
              <w:bottom w:val="single" w:sz="8" w:color="auto"/>
            </w:tcBorders>
            <w:shd w:val="clear" w:color="auto" w:fill="E7F2F9"/>
          </w:tcPr>
          <w:p>
            <w:pPr>
              <w:spacing w:after="0"/>
              <w:rPr>
                <w:sz w:val="18"/>
                <w:szCs w:val="18"/>
                <w:color w:val="auto"/>
              </w:rPr>
            </w:pPr>
          </w:p>
        </w:tc>
        <w:tc>
          <w:tcPr>
            <w:tcW w:w="40" w:type="dxa"/>
            <w:vAlign w:val="bottom"/>
            <w:tcBorders>
              <w:bottom w:val="single" w:sz="8" w:color="auto"/>
            </w:tcBorders>
            <w:shd w:val="clear" w:color="auto" w:fill="E7F2F9"/>
          </w:tcPr>
          <w:p>
            <w:pPr>
              <w:spacing w:after="0"/>
              <w:rPr>
                <w:sz w:val="18"/>
                <w:szCs w:val="18"/>
                <w:color w:val="auto"/>
              </w:rPr>
            </w:pPr>
          </w:p>
        </w:tc>
        <w:tc>
          <w:tcPr>
            <w:tcW w:w="80" w:type="dxa"/>
            <w:vAlign w:val="bottom"/>
            <w:tcBorders>
              <w:bottom w:val="single" w:sz="8" w:color="auto"/>
            </w:tcBorders>
            <w:shd w:val="clear" w:color="auto" w:fill="E7F2F9"/>
          </w:tcPr>
          <w:p>
            <w:pPr>
              <w:spacing w:after="0"/>
              <w:rPr>
                <w:sz w:val="18"/>
                <w:szCs w:val="18"/>
                <w:color w:val="auto"/>
              </w:rPr>
            </w:pPr>
          </w:p>
        </w:tc>
        <w:tc>
          <w:tcPr>
            <w:tcW w:w="100" w:type="dxa"/>
            <w:vAlign w:val="bottom"/>
            <w:tcBorders>
              <w:bottom w:val="single" w:sz="8" w:color="auto"/>
            </w:tcBorders>
            <w:shd w:val="clear" w:color="auto" w:fill="E7F2F9"/>
          </w:tcPr>
          <w:p>
            <w:pPr>
              <w:spacing w:after="0"/>
              <w:rPr>
                <w:sz w:val="18"/>
                <w:szCs w:val="18"/>
                <w:color w:val="auto"/>
              </w:rPr>
            </w:pPr>
          </w:p>
        </w:tc>
        <w:tc>
          <w:tcPr>
            <w:tcW w:w="800" w:type="dxa"/>
            <w:vAlign w:val="bottom"/>
            <w:tcBorders>
              <w:bottom w:val="single" w:sz="8" w:color="auto"/>
            </w:tcBorders>
            <w:shd w:val="clear" w:color="auto" w:fill="E7F2F9"/>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4"/>
        </w:trPr>
        <w:tc>
          <w:tcPr>
            <w:tcW w:w="32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shd w:val="clear" w:color="auto" w:fill="E7F2F9"/>
          </w:tcPr>
          <w:p>
            <w:pPr>
              <w:spacing w:after="0"/>
              <w:rPr>
                <w:sz w:val="18"/>
                <w:szCs w:val="18"/>
                <w:color w:val="auto"/>
              </w:rPr>
            </w:pPr>
          </w:p>
        </w:tc>
        <w:tc>
          <w:tcPr>
            <w:tcW w:w="780" w:type="dxa"/>
            <w:vAlign w:val="bottom"/>
            <w:shd w:val="clear" w:color="auto" w:fill="E7F2F9"/>
          </w:tcPr>
          <w:p>
            <w:pPr>
              <w:jc w:val="right"/>
              <w:ind w:right="131"/>
              <w:spacing w:after="0"/>
              <w:rPr>
                <w:sz w:val="20"/>
                <w:szCs w:val="20"/>
                <w:color w:val="auto"/>
              </w:rPr>
            </w:pPr>
            <w:r>
              <w:rPr>
                <w:rFonts w:ascii="Arial" w:cs="Arial" w:eastAsia="Arial" w:hAnsi="Arial"/>
                <w:sz w:val="14"/>
                <w:szCs w:val="14"/>
                <w:b w:val="1"/>
                <w:bCs w:val="1"/>
                <w:color w:val="1383C6"/>
              </w:rPr>
              <w:t>Level 1</w:t>
            </w:r>
          </w:p>
        </w:tc>
        <w:tc>
          <w:tcPr>
            <w:tcW w:w="100" w:type="dxa"/>
            <w:vAlign w:val="bottom"/>
            <w:shd w:val="clear" w:color="auto" w:fill="E7F2F9"/>
          </w:tcPr>
          <w:p>
            <w:pPr>
              <w:spacing w:after="0"/>
              <w:rPr>
                <w:sz w:val="18"/>
                <w:szCs w:val="18"/>
                <w:color w:val="auto"/>
              </w:rPr>
            </w:pPr>
          </w:p>
        </w:tc>
        <w:tc>
          <w:tcPr>
            <w:tcW w:w="100" w:type="dxa"/>
            <w:vAlign w:val="bottom"/>
            <w:shd w:val="clear" w:color="auto" w:fill="E7F2F9"/>
          </w:tcPr>
          <w:p>
            <w:pPr>
              <w:spacing w:after="0"/>
              <w:rPr>
                <w:sz w:val="18"/>
                <w:szCs w:val="18"/>
                <w:color w:val="auto"/>
              </w:rPr>
            </w:pPr>
          </w:p>
        </w:tc>
        <w:tc>
          <w:tcPr>
            <w:tcW w:w="800" w:type="dxa"/>
            <w:vAlign w:val="bottom"/>
            <w:shd w:val="clear" w:color="auto" w:fill="E7F2F9"/>
          </w:tcPr>
          <w:p>
            <w:pPr>
              <w:jc w:val="right"/>
              <w:ind w:right="151"/>
              <w:spacing w:after="0"/>
              <w:rPr>
                <w:sz w:val="20"/>
                <w:szCs w:val="20"/>
                <w:color w:val="auto"/>
              </w:rPr>
            </w:pPr>
            <w:r>
              <w:rPr>
                <w:rFonts w:ascii="Arial" w:cs="Arial" w:eastAsia="Arial" w:hAnsi="Arial"/>
                <w:sz w:val="14"/>
                <w:szCs w:val="14"/>
                <w:b w:val="1"/>
                <w:bCs w:val="1"/>
                <w:color w:val="1383C6"/>
              </w:rPr>
              <w:t>Level 2</w:t>
            </w:r>
          </w:p>
        </w:tc>
        <w:tc>
          <w:tcPr>
            <w:tcW w:w="80" w:type="dxa"/>
            <w:vAlign w:val="bottom"/>
            <w:shd w:val="clear" w:color="auto" w:fill="E7F2F9"/>
          </w:tcPr>
          <w:p>
            <w:pPr>
              <w:spacing w:after="0"/>
              <w:rPr>
                <w:sz w:val="18"/>
                <w:szCs w:val="18"/>
                <w:color w:val="auto"/>
              </w:rPr>
            </w:pPr>
          </w:p>
        </w:tc>
        <w:tc>
          <w:tcPr>
            <w:tcW w:w="100" w:type="dxa"/>
            <w:vAlign w:val="bottom"/>
            <w:shd w:val="clear" w:color="auto" w:fill="E7F2F9"/>
          </w:tcPr>
          <w:p>
            <w:pPr>
              <w:spacing w:after="0"/>
              <w:rPr>
                <w:sz w:val="18"/>
                <w:szCs w:val="18"/>
                <w:color w:val="auto"/>
              </w:rPr>
            </w:pPr>
          </w:p>
        </w:tc>
        <w:tc>
          <w:tcPr>
            <w:tcW w:w="580" w:type="dxa"/>
            <w:vAlign w:val="bottom"/>
            <w:shd w:val="clear" w:color="auto" w:fill="E7F2F9"/>
          </w:tcPr>
          <w:p>
            <w:pPr>
              <w:ind w:left="120"/>
              <w:spacing w:after="0"/>
              <w:rPr>
                <w:sz w:val="20"/>
                <w:szCs w:val="20"/>
                <w:color w:val="auto"/>
              </w:rPr>
            </w:pPr>
            <w:r>
              <w:rPr>
                <w:rFonts w:ascii="Arial" w:cs="Arial" w:eastAsia="Arial" w:hAnsi="Arial"/>
                <w:sz w:val="14"/>
                <w:szCs w:val="14"/>
                <w:b w:val="1"/>
                <w:bCs w:val="1"/>
                <w:color w:val="1383C6"/>
                <w:w w:val="92"/>
              </w:rPr>
              <w:t>Level 3</w:t>
            </w:r>
          </w:p>
        </w:tc>
        <w:tc>
          <w:tcPr>
            <w:tcW w:w="180" w:type="dxa"/>
            <w:vAlign w:val="bottom"/>
            <w:shd w:val="clear" w:color="auto" w:fill="E7F2F9"/>
          </w:tcPr>
          <w:p>
            <w:pPr>
              <w:spacing w:after="0"/>
              <w:rPr>
                <w:sz w:val="18"/>
                <w:szCs w:val="18"/>
                <w:color w:val="auto"/>
              </w:rPr>
            </w:pPr>
          </w:p>
        </w:tc>
        <w:tc>
          <w:tcPr>
            <w:tcW w:w="40" w:type="dxa"/>
            <w:vAlign w:val="bottom"/>
            <w:shd w:val="clear" w:color="auto" w:fill="E7F2F9"/>
          </w:tcPr>
          <w:p>
            <w:pPr>
              <w:spacing w:after="0"/>
              <w:rPr>
                <w:sz w:val="18"/>
                <w:szCs w:val="18"/>
                <w:color w:val="auto"/>
              </w:rPr>
            </w:pPr>
          </w:p>
        </w:tc>
        <w:tc>
          <w:tcPr>
            <w:tcW w:w="80" w:type="dxa"/>
            <w:vAlign w:val="bottom"/>
            <w:shd w:val="clear" w:color="auto" w:fill="E7F2F9"/>
          </w:tcPr>
          <w:p>
            <w:pPr>
              <w:spacing w:after="0"/>
              <w:rPr>
                <w:sz w:val="18"/>
                <w:szCs w:val="18"/>
                <w:color w:val="auto"/>
              </w:rPr>
            </w:pPr>
          </w:p>
        </w:tc>
        <w:tc>
          <w:tcPr>
            <w:tcW w:w="100" w:type="dxa"/>
            <w:vAlign w:val="bottom"/>
            <w:shd w:val="clear" w:color="auto" w:fill="E7F2F9"/>
          </w:tcPr>
          <w:p>
            <w:pPr>
              <w:spacing w:after="0"/>
              <w:rPr>
                <w:sz w:val="18"/>
                <w:szCs w:val="18"/>
                <w:color w:val="auto"/>
              </w:rPr>
            </w:pPr>
          </w:p>
        </w:tc>
        <w:tc>
          <w:tcPr>
            <w:tcW w:w="800" w:type="dxa"/>
            <w:vAlign w:val="bottom"/>
            <w:shd w:val="clear" w:color="auto" w:fill="E7F2F9"/>
          </w:tcPr>
          <w:p>
            <w:pPr>
              <w:jc w:val="right"/>
              <w:ind w:right="211"/>
              <w:spacing w:after="0"/>
              <w:rPr>
                <w:sz w:val="20"/>
                <w:szCs w:val="20"/>
                <w:color w:val="auto"/>
              </w:rPr>
            </w:pPr>
            <w:r>
              <w:rPr>
                <w:rFonts w:ascii="Arial" w:cs="Arial" w:eastAsia="Arial" w:hAnsi="Arial"/>
                <w:sz w:val="14"/>
                <w:szCs w:val="14"/>
                <w:b w:val="1"/>
                <w:bCs w:val="1"/>
                <w:color w:val="1383C6"/>
              </w:rPr>
              <w:t>Total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195"/>
        </w:trPr>
        <w:tc>
          <w:tcPr>
            <w:tcW w:w="3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E7F2F9"/>
          </w:tcPr>
          <w:p>
            <w:pPr>
              <w:spacing w:after="0"/>
              <w:rPr>
                <w:sz w:val="16"/>
                <w:szCs w:val="16"/>
                <w:color w:val="auto"/>
              </w:rPr>
            </w:pPr>
          </w:p>
        </w:tc>
        <w:tc>
          <w:tcPr>
            <w:tcW w:w="780" w:type="dxa"/>
            <w:vAlign w:val="bottom"/>
            <w:tcBorders>
              <w:top w:val="single" w:sz="8" w:color="auto"/>
            </w:tcBorders>
            <w:shd w:val="clear" w:color="auto" w:fill="E7F2F9"/>
          </w:tcPr>
          <w:p>
            <w:pPr>
              <w:spacing w:after="0"/>
              <w:rPr>
                <w:sz w:val="16"/>
                <w:szCs w:val="16"/>
                <w:color w:val="auto"/>
              </w:rPr>
            </w:pPr>
          </w:p>
        </w:tc>
        <w:tc>
          <w:tcPr>
            <w:tcW w:w="10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80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580" w:type="dxa"/>
            <w:vAlign w:val="bottom"/>
            <w:tcBorders>
              <w:top w:val="single" w:sz="8" w:color="auto"/>
            </w:tcBorders>
            <w:shd w:val="clear" w:color="auto" w:fill="E7F2F9"/>
          </w:tcPr>
          <w:p>
            <w:pPr>
              <w:spacing w:after="0"/>
              <w:rPr>
                <w:sz w:val="16"/>
                <w:szCs w:val="16"/>
                <w:color w:val="auto"/>
              </w:rPr>
            </w:pPr>
          </w:p>
        </w:tc>
        <w:tc>
          <w:tcPr>
            <w:tcW w:w="180" w:type="dxa"/>
            <w:vAlign w:val="bottom"/>
            <w:tcBorders>
              <w:top w:val="single" w:sz="8" w:color="auto"/>
            </w:tcBorders>
            <w:shd w:val="clear" w:color="auto" w:fill="E7F2F9"/>
          </w:tcPr>
          <w:p>
            <w:pPr>
              <w:spacing w:after="0"/>
              <w:rPr>
                <w:sz w:val="16"/>
                <w:szCs w:val="16"/>
                <w:color w:val="auto"/>
              </w:rPr>
            </w:pPr>
          </w:p>
        </w:tc>
        <w:tc>
          <w:tcPr>
            <w:tcW w:w="4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800" w:type="dxa"/>
            <w:vAlign w:val="bottom"/>
            <w:tcBorders>
              <w:top w:val="single" w:sz="8" w:color="auto"/>
            </w:tcBorders>
            <w:shd w:val="clear" w:color="auto" w:fill="E7F2F9"/>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7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51,324</w:t>
            </w:r>
          </w:p>
        </w:tc>
        <w:tc>
          <w:tcPr>
            <w:tcW w:w="100" w:type="dxa"/>
            <w:vAlign w:val="bottom"/>
            <w:shd w:val="clear" w:color="auto" w:fill="E7F2F9"/>
          </w:tcPr>
          <w:p>
            <w:pPr>
              <w:spacing w:after="0"/>
              <w:rPr>
                <w:sz w:val="18"/>
                <w:szCs w:val="18"/>
                <w:color w:val="auto"/>
              </w:rPr>
            </w:pPr>
          </w:p>
        </w:tc>
        <w:tc>
          <w:tcPr>
            <w:tcW w:w="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3,479</w:t>
            </w:r>
          </w:p>
        </w:tc>
        <w:tc>
          <w:tcPr>
            <w:tcW w:w="180" w:type="dxa"/>
            <w:vAlign w:val="bottom"/>
            <w:gridSpan w:val="2"/>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580" w:type="dxa"/>
            <w:vAlign w:val="bottom"/>
            <w:shd w:val="clear" w:color="auto" w:fill="E7F2F9"/>
          </w:tcPr>
          <w:p>
            <w:pPr>
              <w:spacing w:after="0"/>
              <w:rPr>
                <w:sz w:val="18"/>
                <w:szCs w:val="18"/>
                <w:color w:val="auto"/>
              </w:rPr>
            </w:pPr>
          </w:p>
        </w:tc>
        <w:tc>
          <w:tcPr>
            <w:tcW w:w="180" w:type="dxa"/>
            <w:vAlign w:val="bottom"/>
            <w:shd w:val="clear" w:color="auto" w:fill="E7F2F9"/>
          </w:tcPr>
          <w:p>
            <w:pPr>
              <w:spacing w:after="0"/>
              <w:rPr>
                <w:sz w:val="20"/>
                <w:szCs w:val="20"/>
                <w:color w:val="auto"/>
              </w:rPr>
            </w:pPr>
            <w:r>
              <w:rPr>
                <w:rFonts w:ascii="Arial" w:cs="Arial" w:eastAsia="Arial" w:hAnsi="Arial"/>
                <w:sz w:val="14"/>
                <w:szCs w:val="14"/>
                <w:color w:val="1383C6"/>
              </w:rPr>
              <w:t>—</w:t>
            </w:r>
          </w:p>
        </w:tc>
        <w:tc>
          <w:tcPr>
            <w:tcW w:w="220" w:type="dxa"/>
            <w:vAlign w:val="bottom"/>
            <w:gridSpan w:val="3"/>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54,803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55,370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55,370</w:t>
            </w:r>
          </w:p>
        </w:tc>
      </w:tr>
      <w:tr>
        <w:trPr>
          <w:trHeight w:val="221"/>
        </w:trPr>
        <w:tc>
          <w:tcPr>
            <w:tcW w:w="3280" w:type="dxa"/>
            <w:vAlign w:val="bottom"/>
          </w:tcPr>
          <w:p>
            <w:pPr>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E7F2F9"/>
          </w:tcPr>
          <w:p>
            <w:pPr>
              <w:spacing w:after="0"/>
              <w:rPr>
                <w:sz w:val="19"/>
                <w:szCs w:val="19"/>
                <w:color w:val="auto"/>
              </w:rPr>
            </w:pPr>
          </w:p>
        </w:tc>
        <w:tc>
          <w:tcPr>
            <w:tcW w:w="78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80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5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800" w:type="dxa"/>
            <w:vAlign w:val="bottom"/>
            <w:shd w:val="clear" w:color="auto" w:fill="E7F2F9"/>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1"/>
        </w:trPr>
        <w:tc>
          <w:tcPr>
            <w:tcW w:w="3280" w:type="dxa"/>
            <w:vAlign w:val="bottom"/>
          </w:tcPr>
          <w:p>
            <w:pPr>
              <w:ind w:left="80"/>
              <w:spacing w:after="0"/>
              <w:rPr>
                <w:sz w:val="20"/>
                <w:szCs w:val="20"/>
                <w:color w:val="auto"/>
              </w:rPr>
            </w:pPr>
            <w:r>
              <w:rPr>
                <w:rFonts w:ascii="Arial" w:cs="Arial" w:eastAsia="Arial" w:hAnsi="Arial"/>
                <w:sz w:val="14"/>
                <w:szCs w:val="14"/>
                <w:color w:val="auto"/>
              </w:rPr>
              <w:t>Corporate debt securities</w:t>
            </w:r>
          </w:p>
        </w:tc>
        <w:tc>
          <w:tcPr>
            <w:tcW w:w="120" w:type="dxa"/>
            <w:vAlign w:val="bottom"/>
            <w:shd w:val="clear" w:color="auto" w:fill="E7F2F9"/>
          </w:tcPr>
          <w:p>
            <w:pPr>
              <w:spacing w:after="0"/>
              <w:rPr>
                <w:sz w:val="19"/>
                <w:szCs w:val="19"/>
                <w:color w:val="auto"/>
              </w:rPr>
            </w:pPr>
          </w:p>
        </w:tc>
        <w:tc>
          <w:tcPr>
            <w:tcW w:w="7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31,064</w:t>
            </w:r>
          </w:p>
        </w:tc>
        <w:tc>
          <w:tcPr>
            <w:tcW w:w="8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5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31,064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46,905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46,905</w:t>
            </w:r>
          </w:p>
        </w:tc>
      </w:tr>
      <w:tr>
        <w:trPr>
          <w:trHeight w:val="242"/>
        </w:trPr>
        <w:tc>
          <w:tcPr>
            <w:tcW w:w="3280" w:type="dxa"/>
            <w:vAlign w:val="bottom"/>
          </w:tcPr>
          <w:p>
            <w:pPr>
              <w:ind w:left="80"/>
              <w:spacing w:after="0"/>
              <w:rPr>
                <w:sz w:val="20"/>
                <w:szCs w:val="20"/>
                <w:color w:val="auto"/>
              </w:rPr>
            </w:pPr>
            <w:r>
              <w:rPr>
                <w:rFonts w:ascii="Arial" w:cs="Arial" w:eastAsia="Arial" w:hAnsi="Arial"/>
                <w:sz w:val="14"/>
                <w:szCs w:val="14"/>
                <w:color w:val="auto"/>
              </w:rPr>
              <w:t>U.S. government &amp; agency securities</w:t>
            </w:r>
          </w:p>
        </w:tc>
        <w:tc>
          <w:tcPr>
            <w:tcW w:w="120" w:type="dxa"/>
            <w:vAlign w:val="bottom"/>
            <w:tcBorders>
              <w:bottom w:val="single" w:sz="8" w:color="E7F2F9"/>
            </w:tcBorders>
            <w:shd w:val="clear" w:color="auto" w:fill="E7F2F9"/>
          </w:tcPr>
          <w:p>
            <w:pPr>
              <w:spacing w:after="0"/>
              <w:rPr>
                <w:sz w:val="21"/>
                <w:szCs w:val="21"/>
                <w:color w:val="auto"/>
              </w:rPr>
            </w:pPr>
          </w:p>
        </w:tc>
        <w:tc>
          <w:tcPr>
            <w:tcW w:w="7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228,868</w:t>
            </w:r>
          </w:p>
        </w:tc>
        <w:tc>
          <w:tcPr>
            <w:tcW w:w="8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5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bottom w:val="single" w:sz="8" w:color="E7F2F9"/>
            </w:tcBorders>
            <w:shd w:val="clear" w:color="auto" w:fill="E7F2F9"/>
          </w:tcPr>
          <w:p>
            <w:pPr>
              <w:spacing w:after="0"/>
              <w:rPr>
                <w:sz w:val="21"/>
                <w:szCs w:val="21"/>
                <w:color w:val="auto"/>
              </w:rPr>
            </w:pPr>
          </w:p>
        </w:tc>
        <w:tc>
          <w:tcPr>
            <w:tcW w:w="8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228,868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287,656</w:t>
            </w:r>
          </w:p>
        </w:tc>
      </w:tr>
      <w:tr>
        <w:trPr>
          <w:trHeight w:val="193"/>
        </w:trPr>
        <w:tc>
          <w:tcPr>
            <w:tcW w:w="3280" w:type="dxa"/>
            <w:vAlign w:val="bottom"/>
          </w:tcPr>
          <w:p>
            <w:pPr>
              <w:ind w:left="240"/>
              <w:spacing w:after="0"/>
              <w:rPr>
                <w:sz w:val="20"/>
                <w:szCs w:val="20"/>
                <w:color w:val="auto"/>
              </w:rPr>
            </w:pPr>
            <w:r>
              <w:rPr>
                <w:rFonts w:ascii="Arial" w:cs="Arial" w:eastAsia="Arial" w:hAnsi="Arial"/>
                <w:sz w:val="14"/>
                <w:szCs w:val="14"/>
                <w:color w:val="auto"/>
              </w:rPr>
              <w:t>Total investments</w:t>
            </w:r>
          </w:p>
        </w:tc>
        <w:tc>
          <w:tcPr>
            <w:tcW w:w="120" w:type="dxa"/>
            <w:vAlign w:val="bottom"/>
            <w:tcBorders>
              <w:top w:val="single" w:sz="8" w:color="auto"/>
            </w:tcBorders>
            <w:shd w:val="clear" w:color="auto" w:fill="E7F2F9"/>
          </w:tcPr>
          <w:p>
            <w:pPr>
              <w:spacing w:after="0"/>
              <w:rPr>
                <w:sz w:val="16"/>
                <w:szCs w:val="16"/>
                <w:color w:val="auto"/>
              </w:rPr>
            </w:pPr>
          </w:p>
        </w:tc>
        <w:tc>
          <w:tcPr>
            <w:tcW w:w="78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80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259,932</w:t>
            </w:r>
          </w:p>
        </w:tc>
        <w:tc>
          <w:tcPr>
            <w:tcW w:w="8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580" w:type="dxa"/>
            <w:vAlign w:val="bottom"/>
            <w:tcBorders>
              <w:top w:val="single" w:sz="8" w:color="auto"/>
            </w:tcBorders>
            <w:shd w:val="clear" w:color="auto" w:fill="E7F2F9"/>
          </w:tcPr>
          <w:p>
            <w:pPr>
              <w:spacing w:after="0"/>
              <w:rPr>
                <w:sz w:val="16"/>
                <w:szCs w:val="16"/>
                <w:color w:val="auto"/>
              </w:rPr>
            </w:pPr>
          </w:p>
        </w:tc>
        <w:tc>
          <w:tcPr>
            <w:tcW w:w="180" w:type="dxa"/>
            <w:vAlign w:val="bottom"/>
            <w:tcBorders>
              <w:top w:val="single" w:sz="8" w:color="auto"/>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100" w:type="dxa"/>
            <w:vAlign w:val="bottom"/>
            <w:tcBorders>
              <w:top w:val="single" w:sz="8" w:color="auto"/>
            </w:tcBorders>
            <w:shd w:val="clear" w:color="auto" w:fill="E7F2F9"/>
          </w:tcPr>
          <w:p>
            <w:pPr>
              <w:spacing w:after="0"/>
              <w:rPr>
                <w:sz w:val="16"/>
                <w:szCs w:val="16"/>
                <w:color w:val="auto"/>
              </w:rPr>
            </w:pPr>
          </w:p>
        </w:tc>
        <w:tc>
          <w:tcPr>
            <w:tcW w:w="80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259,932</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334,561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334,561</w:t>
            </w:r>
          </w:p>
        </w:tc>
      </w:tr>
      <w:tr>
        <w:trPr>
          <w:trHeight w:val="481"/>
        </w:trPr>
        <w:tc>
          <w:tcPr>
            <w:tcW w:w="3280" w:type="dxa"/>
            <w:vAlign w:val="bottom"/>
          </w:tcPr>
          <w:p>
            <w:pPr>
              <w:spacing w:after="0"/>
              <w:rPr>
                <w:sz w:val="20"/>
                <w:szCs w:val="20"/>
                <w:color w:val="auto"/>
              </w:rPr>
            </w:pPr>
            <w:r>
              <w:rPr>
                <w:rFonts w:ascii="Arial" w:cs="Arial" w:eastAsia="Arial" w:hAnsi="Arial"/>
                <w:sz w:val="14"/>
                <w:szCs w:val="14"/>
                <w:color w:val="auto"/>
              </w:rPr>
              <w:t>Short-term restricted cash</w:t>
            </w:r>
          </w:p>
        </w:tc>
        <w:tc>
          <w:tcPr>
            <w:tcW w:w="120" w:type="dxa"/>
            <w:vAlign w:val="bottom"/>
            <w:shd w:val="clear" w:color="auto" w:fill="E7F2F9"/>
          </w:tcPr>
          <w:p>
            <w:pPr>
              <w:spacing w:after="0"/>
              <w:rPr>
                <w:sz w:val="24"/>
                <w:szCs w:val="24"/>
                <w:color w:val="auto"/>
              </w:rPr>
            </w:pPr>
          </w:p>
        </w:tc>
        <w:tc>
          <w:tcPr>
            <w:tcW w:w="7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300</w:t>
            </w:r>
          </w:p>
        </w:tc>
        <w:tc>
          <w:tcPr>
            <w:tcW w:w="100" w:type="dxa"/>
            <w:vAlign w:val="bottom"/>
            <w:shd w:val="clear" w:color="auto" w:fill="E7F2F9"/>
          </w:tcPr>
          <w:p>
            <w:pPr>
              <w:spacing w:after="0"/>
              <w:rPr>
                <w:sz w:val="24"/>
                <w:szCs w:val="24"/>
                <w:color w:val="auto"/>
              </w:rPr>
            </w:pPr>
          </w:p>
        </w:tc>
        <w:tc>
          <w:tcPr>
            <w:tcW w:w="100" w:type="dxa"/>
            <w:vAlign w:val="bottom"/>
            <w:shd w:val="clear" w:color="auto" w:fill="E7F2F9"/>
          </w:tcPr>
          <w:p>
            <w:pPr>
              <w:spacing w:after="0"/>
              <w:rPr>
                <w:sz w:val="24"/>
                <w:szCs w:val="24"/>
                <w:color w:val="auto"/>
              </w:rPr>
            </w:pP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24"/>
                <w:szCs w:val="24"/>
                <w:color w:val="auto"/>
              </w:rPr>
            </w:pPr>
          </w:p>
        </w:tc>
        <w:tc>
          <w:tcPr>
            <w:tcW w:w="100" w:type="dxa"/>
            <w:vAlign w:val="bottom"/>
            <w:shd w:val="clear" w:color="auto" w:fill="E7F2F9"/>
          </w:tcPr>
          <w:p>
            <w:pPr>
              <w:spacing w:after="0"/>
              <w:rPr>
                <w:sz w:val="24"/>
                <w:szCs w:val="24"/>
                <w:color w:val="auto"/>
              </w:rPr>
            </w:pPr>
          </w:p>
        </w:tc>
        <w:tc>
          <w:tcPr>
            <w:tcW w:w="580" w:type="dxa"/>
            <w:vAlign w:val="bottom"/>
            <w:shd w:val="clear" w:color="auto" w:fill="E7F2F9"/>
          </w:tcPr>
          <w:p>
            <w:pPr>
              <w:spacing w:after="0"/>
              <w:rPr>
                <w:sz w:val="24"/>
                <w:szCs w:val="24"/>
                <w:color w:val="auto"/>
              </w:rPr>
            </w:pPr>
          </w:p>
        </w:tc>
        <w:tc>
          <w:tcPr>
            <w:tcW w:w="180" w:type="dxa"/>
            <w:vAlign w:val="bottom"/>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shd w:val="clear" w:color="auto" w:fill="E7F2F9"/>
          </w:tcPr>
          <w:p>
            <w:pPr>
              <w:spacing w:after="0"/>
              <w:rPr>
                <w:sz w:val="24"/>
                <w:szCs w:val="24"/>
                <w:color w:val="auto"/>
              </w:rPr>
            </w:pPr>
          </w:p>
        </w:tc>
        <w:tc>
          <w:tcPr>
            <w:tcW w:w="80" w:type="dxa"/>
            <w:vAlign w:val="bottom"/>
            <w:shd w:val="clear" w:color="auto" w:fill="E7F2F9"/>
          </w:tcPr>
          <w:p>
            <w:pPr>
              <w:spacing w:after="0"/>
              <w:rPr>
                <w:sz w:val="24"/>
                <w:szCs w:val="24"/>
                <w:color w:val="auto"/>
              </w:rPr>
            </w:pPr>
          </w:p>
        </w:tc>
        <w:tc>
          <w:tcPr>
            <w:tcW w:w="100" w:type="dxa"/>
            <w:vAlign w:val="bottom"/>
            <w:shd w:val="clear" w:color="auto" w:fill="E7F2F9"/>
          </w:tcPr>
          <w:p>
            <w:pPr>
              <w:spacing w:after="0"/>
              <w:rPr>
                <w:sz w:val="24"/>
                <w:szCs w:val="24"/>
                <w:color w:val="auto"/>
              </w:rPr>
            </w:pPr>
          </w:p>
        </w:tc>
        <w:tc>
          <w:tcPr>
            <w:tcW w:w="8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42"/>
        </w:trPr>
        <w:tc>
          <w:tcPr>
            <w:tcW w:w="32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20" w:type="dxa"/>
            <w:vAlign w:val="bottom"/>
            <w:tcBorders>
              <w:bottom w:val="single" w:sz="8" w:color="E7F2F9"/>
            </w:tcBorders>
            <w:shd w:val="clear" w:color="auto" w:fill="E7F2F9"/>
          </w:tcPr>
          <w:p>
            <w:pPr>
              <w:spacing w:after="0"/>
              <w:rPr>
                <w:sz w:val="21"/>
                <w:szCs w:val="21"/>
                <w:color w:val="auto"/>
              </w:rPr>
            </w:pPr>
          </w:p>
        </w:tc>
        <w:tc>
          <w:tcPr>
            <w:tcW w:w="7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1,532</w:t>
            </w:r>
          </w:p>
        </w:tc>
        <w:tc>
          <w:tcPr>
            <w:tcW w:w="10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5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bottom w:val="single" w:sz="8" w:color="E7F2F9"/>
            </w:tcBorders>
            <w:shd w:val="clear" w:color="auto" w:fill="E7F2F9"/>
          </w:tcPr>
          <w:p>
            <w:pPr>
              <w:spacing w:after="0"/>
              <w:rPr>
                <w:sz w:val="21"/>
                <w:szCs w:val="21"/>
                <w:color w:val="auto"/>
              </w:rPr>
            </w:pPr>
          </w:p>
        </w:tc>
        <w:tc>
          <w:tcPr>
            <w:tcW w:w="8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1,532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1,532</w:t>
            </w:r>
          </w:p>
        </w:tc>
      </w:tr>
      <w:tr>
        <w:trPr>
          <w:trHeight w:val="246"/>
        </w:trPr>
        <w:tc>
          <w:tcPr>
            <w:tcW w:w="3280" w:type="dxa"/>
            <w:vAlign w:val="bottom"/>
          </w:tcPr>
          <w:p>
            <w:pPr>
              <w:ind w:left="240"/>
              <w:spacing w:after="0"/>
              <w:rPr>
                <w:sz w:val="20"/>
                <w:szCs w:val="20"/>
                <w:color w:val="auto"/>
              </w:rPr>
            </w:pPr>
            <w:r>
              <w:rPr>
                <w:rFonts w:ascii="Arial" w:cs="Arial" w:eastAsia="Arial" w:hAnsi="Arial"/>
                <w:sz w:val="14"/>
                <w:szCs w:val="14"/>
                <w:color w:val="auto"/>
              </w:rPr>
              <w:t>Total assets measured at fair value</w:t>
            </w: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78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53,156</w:t>
            </w:r>
          </w:p>
        </w:tc>
        <w:tc>
          <w:tcPr>
            <w:tcW w:w="100" w:type="dxa"/>
            <w:vAlign w:val="bottom"/>
            <w:tcBorders>
              <w:top w:val="single" w:sz="8" w:color="E7F2F9"/>
              <w:bottom w:val="single" w:sz="8" w:color="E7F2F9"/>
            </w:tcBorders>
            <w:shd w:val="clear" w:color="auto" w:fill="E7F2F9"/>
          </w:tcPr>
          <w:p>
            <w:pPr>
              <w:spacing w:after="0"/>
              <w:rPr>
                <w:sz w:val="21"/>
                <w:szCs w:val="21"/>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263,411</w:t>
            </w:r>
          </w:p>
        </w:tc>
        <w:tc>
          <w:tcPr>
            <w:tcW w:w="80" w:type="dxa"/>
            <w:vAlign w:val="bottom"/>
            <w:tcBorders>
              <w:top w:val="single" w:sz="8" w:color="E7F2F9"/>
              <w:bottom w:val="single" w:sz="8" w:color="E7F2F9"/>
            </w:tcBorders>
            <w:shd w:val="clear" w:color="auto" w:fill="E7F2F9"/>
          </w:tcPr>
          <w:p>
            <w:pPr>
              <w:spacing w:after="0"/>
              <w:rPr>
                <w:sz w:val="21"/>
                <w:szCs w:val="21"/>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580" w:type="dxa"/>
            <w:vAlign w:val="bottom"/>
            <w:tcBorders>
              <w:top w:val="single" w:sz="8" w:color="auto"/>
              <w:bottom w:val="single" w:sz="8" w:color="E7F2F9"/>
            </w:tcBorders>
            <w:shd w:val="clear" w:color="auto" w:fill="E7F2F9"/>
          </w:tcPr>
          <w:p>
            <w:pPr>
              <w:spacing w:after="0"/>
              <w:rPr>
                <w:sz w:val="21"/>
                <w:szCs w:val="21"/>
                <w:color w:val="auto"/>
              </w:rPr>
            </w:pPr>
          </w:p>
        </w:tc>
        <w:tc>
          <w:tcPr>
            <w:tcW w:w="180" w:type="dxa"/>
            <w:vAlign w:val="bottom"/>
            <w:tcBorders>
              <w:top w:val="single" w:sz="8" w:color="auto"/>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top w:val="single" w:sz="8" w:color="auto"/>
              <w:bottom w:val="single" w:sz="8" w:color="E7F2F9"/>
            </w:tcBorders>
            <w:shd w:val="clear" w:color="auto" w:fill="E7F2F9"/>
          </w:tcPr>
          <w:p>
            <w:pPr>
              <w:spacing w:after="0"/>
              <w:rPr>
                <w:sz w:val="21"/>
                <w:szCs w:val="21"/>
                <w:color w:val="auto"/>
              </w:rPr>
            </w:pPr>
          </w:p>
        </w:tc>
        <w:tc>
          <w:tcPr>
            <w:tcW w:w="80" w:type="dxa"/>
            <w:vAlign w:val="bottom"/>
            <w:tcBorders>
              <w:top w:val="single" w:sz="8" w:color="E7F2F9"/>
              <w:bottom w:val="single" w:sz="8" w:color="E7F2F9"/>
            </w:tcBorders>
            <w:shd w:val="clear" w:color="auto" w:fill="E7F2F9"/>
          </w:tcPr>
          <w:p>
            <w:pPr>
              <w:spacing w:after="0"/>
              <w:rPr>
                <w:sz w:val="21"/>
                <w:szCs w:val="21"/>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316,567</w:t>
            </w:r>
          </w:p>
        </w:tc>
        <w:tc>
          <w:tcPr>
            <w:tcW w:w="2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57,592</w:t>
            </w:r>
          </w:p>
        </w:tc>
        <w:tc>
          <w:tcPr>
            <w:tcW w:w="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334,561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392,153</w:t>
            </w:r>
          </w:p>
        </w:tc>
      </w:tr>
      <w:tr>
        <w:trPr>
          <w:trHeight w:val="442"/>
        </w:trPr>
        <w:tc>
          <w:tcPr>
            <w:tcW w:w="32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tcBorders>
            <w:shd w:val="clear" w:color="auto" w:fill="E7F2F9"/>
          </w:tcPr>
          <w:p>
            <w:pPr>
              <w:spacing w:after="0"/>
              <w:rPr>
                <w:sz w:val="24"/>
                <w:szCs w:val="24"/>
                <w:color w:val="auto"/>
              </w:rPr>
            </w:pPr>
          </w:p>
        </w:tc>
        <w:tc>
          <w:tcPr>
            <w:tcW w:w="780" w:type="dxa"/>
            <w:vAlign w:val="bottom"/>
            <w:tcBorders>
              <w:top w:val="single" w:sz="8" w:color="auto"/>
            </w:tcBorders>
            <w:shd w:val="clear" w:color="auto" w:fill="E7F2F9"/>
          </w:tcPr>
          <w:p>
            <w:pPr>
              <w:spacing w:after="0"/>
              <w:rPr>
                <w:sz w:val="24"/>
                <w:szCs w:val="24"/>
                <w:color w:val="auto"/>
              </w:rPr>
            </w:pPr>
          </w:p>
        </w:tc>
        <w:tc>
          <w:tcPr>
            <w:tcW w:w="100" w:type="dxa"/>
            <w:vAlign w:val="bottom"/>
            <w:tcBorders>
              <w:top w:val="single" w:sz="8" w:color="E7F2F9"/>
            </w:tcBorders>
            <w:shd w:val="clear" w:color="auto" w:fill="E7F2F9"/>
          </w:tcPr>
          <w:p>
            <w:pPr>
              <w:spacing w:after="0"/>
              <w:rPr>
                <w:sz w:val="24"/>
                <w:szCs w:val="24"/>
                <w:color w:val="auto"/>
              </w:rPr>
            </w:pPr>
          </w:p>
        </w:tc>
        <w:tc>
          <w:tcPr>
            <w:tcW w:w="100" w:type="dxa"/>
            <w:vAlign w:val="bottom"/>
            <w:tcBorders>
              <w:top w:val="single" w:sz="8" w:color="auto"/>
            </w:tcBorders>
            <w:shd w:val="clear" w:color="auto" w:fill="E7F2F9"/>
          </w:tcPr>
          <w:p>
            <w:pPr>
              <w:spacing w:after="0"/>
              <w:rPr>
                <w:sz w:val="24"/>
                <w:szCs w:val="24"/>
                <w:color w:val="auto"/>
              </w:rPr>
            </w:pPr>
          </w:p>
        </w:tc>
        <w:tc>
          <w:tcPr>
            <w:tcW w:w="800" w:type="dxa"/>
            <w:vAlign w:val="bottom"/>
            <w:tcBorders>
              <w:top w:val="single" w:sz="8" w:color="auto"/>
            </w:tcBorders>
            <w:shd w:val="clear" w:color="auto" w:fill="E7F2F9"/>
          </w:tcPr>
          <w:p>
            <w:pPr>
              <w:spacing w:after="0"/>
              <w:rPr>
                <w:sz w:val="24"/>
                <w:szCs w:val="24"/>
                <w:color w:val="auto"/>
              </w:rPr>
            </w:pPr>
          </w:p>
        </w:tc>
        <w:tc>
          <w:tcPr>
            <w:tcW w:w="80" w:type="dxa"/>
            <w:vAlign w:val="bottom"/>
            <w:tcBorders>
              <w:top w:val="single" w:sz="8" w:color="E7F2F9"/>
            </w:tcBorders>
            <w:shd w:val="clear" w:color="auto" w:fill="E7F2F9"/>
          </w:tcPr>
          <w:p>
            <w:pPr>
              <w:spacing w:after="0"/>
              <w:rPr>
                <w:sz w:val="24"/>
                <w:szCs w:val="24"/>
                <w:color w:val="auto"/>
              </w:rPr>
            </w:pPr>
          </w:p>
        </w:tc>
        <w:tc>
          <w:tcPr>
            <w:tcW w:w="100" w:type="dxa"/>
            <w:vAlign w:val="bottom"/>
            <w:tcBorders>
              <w:top w:val="single" w:sz="8" w:color="auto"/>
            </w:tcBorders>
            <w:shd w:val="clear" w:color="auto" w:fill="E7F2F9"/>
          </w:tcPr>
          <w:p>
            <w:pPr>
              <w:spacing w:after="0"/>
              <w:rPr>
                <w:sz w:val="24"/>
                <w:szCs w:val="24"/>
                <w:color w:val="auto"/>
              </w:rPr>
            </w:pPr>
          </w:p>
        </w:tc>
        <w:tc>
          <w:tcPr>
            <w:tcW w:w="580" w:type="dxa"/>
            <w:vAlign w:val="bottom"/>
            <w:tcBorders>
              <w:top w:val="single" w:sz="8" w:color="auto"/>
            </w:tcBorders>
            <w:shd w:val="clear" w:color="auto" w:fill="E7F2F9"/>
          </w:tcPr>
          <w:p>
            <w:pPr>
              <w:spacing w:after="0"/>
              <w:rPr>
                <w:sz w:val="24"/>
                <w:szCs w:val="24"/>
                <w:color w:val="auto"/>
              </w:rPr>
            </w:pPr>
          </w:p>
        </w:tc>
        <w:tc>
          <w:tcPr>
            <w:tcW w:w="180" w:type="dxa"/>
            <w:vAlign w:val="bottom"/>
            <w:tcBorders>
              <w:top w:val="single" w:sz="8" w:color="auto"/>
            </w:tcBorders>
            <w:shd w:val="clear" w:color="auto" w:fill="E7F2F9"/>
          </w:tcPr>
          <w:p>
            <w:pPr>
              <w:spacing w:after="0"/>
              <w:rPr>
                <w:sz w:val="24"/>
                <w:szCs w:val="24"/>
                <w:color w:val="auto"/>
              </w:rPr>
            </w:pPr>
          </w:p>
        </w:tc>
        <w:tc>
          <w:tcPr>
            <w:tcW w:w="40" w:type="dxa"/>
            <w:vAlign w:val="bottom"/>
            <w:tcBorders>
              <w:top w:val="single" w:sz="8" w:color="auto"/>
            </w:tcBorders>
            <w:shd w:val="clear" w:color="auto" w:fill="E7F2F9"/>
          </w:tcPr>
          <w:p>
            <w:pPr>
              <w:spacing w:after="0"/>
              <w:rPr>
                <w:sz w:val="24"/>
                <w:szCs w:val="24"/>
                <w:color w:val="auto"/>
              </w:rPr>
            </w:pPr>
          </w:p>
        </w:tc>
        <w:tc>
          <w:tcPr>
            <w:tcW w:w="80" w:type="dxa"/>
            <w:vAlign w:val="bottom"/>
            <w:tcBorders>
              <w:top w:val="single" w:sz="8" w:color="E7F2F9"/>
            </w:tcBorders>
            <w:shd w:val="clear" w:color="auto" w:fill="E7F2F9"/>
          </w:tcPr>
          <w:p>
            <w:pPr>
              <w:spacing w:after="0"/>
              <w:rPr>
                <w:sz w:val="24"/>
                <w:szCs w:val="24"/>
                <w:color w:val="auto"/>
              </w:rPr>
            </w:pPr>
          </w:p>
        </w:tc>
        <w:tc>
          <w:tcPr>
            <w:tcW w:w="100" w:type="dxa"/>
            <w:vAlign w:val="bottom"/>
            <w:tcBorders>
              <w:top w:val="single" w:sz="8" w:color="auto"/>
            </w:tcBorders>
            <w:shd w:val="clear" w:color="auto" w:fill="E7F2F9"/>
          </w:tcPr>
          <w:p>
            <w:pPr>
              <w:spacing w:after="0"/>
              <w:rPr>
                <w:sz w:val="24"/>
                <w:szCs w:val="24"/>
                <w:color w:val="auto"/>
              </w:rPr>
            </w:pPr>
          </w:p>
        </w:tc>
        <w:tc>
          <w:tcPr>
            <w:tcW w:w="800" w:type="dxa"/>
            <w:vAlign w:val="bottom"/>
            <w:tcBorders>
              <w:top w:val="single" w:sz="8" w:color="auto"/>
            </w:tcBorders>
            <w:shd w:val="clear" w:color="auto" w:fill="E7F2F9"/>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34"/>
        </w:trPr>
        <w:tc>
          <w:tcPr>
            <w:tcW w:w="328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1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7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bottom w:val="single" w:sz="8" w:color="E7F2F9"/>
            </w:tcBorders>
            <w:shd w:val="clear" w:color="auto" w:fill="E7F2F9"/>
          </w:tcPr>
          <w:p>
            <w:pPr>
              <w:spacing w:after="0"/>
              <w:rPr>
                <w:sz w:val="20"/>
                <w:szCs w:val="20"/>
                <w:color w:val="auto"/>
              </w:rPr>
            </w:pPr>
          </w:p>
        </w:tc>
        <w:tc>
          <w:tcPr>
            <w:tcW w:w="1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0"/>
                <w:szCs w:val="20"/>
                <w:color w:val="auto"/>
              </w:rPr>
            </w:pPr>
          </w:p>
        </w:tc>
        <w:tc>
          <w:tcPr>
            <w:tcW w:w="1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58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bottom w:val="single" w:sz="8" w:color="E7F2F9"/>
            </w:tcBorders>
            <w:shd w:val="clear" w:color="auto" w:fill="E7F2F9"/>
          </w:tcPr>
          <w:p>
            <w:pPr>
              <w:spacing w:after="0"/>
              <w:rPr>
                <w:sz w:val="20"/>
                <w:szCs w:val="20"/>
                <w:color w:val="auto"/>
              </w:rPr>
            </w:pPr>
          </w:p>
        </w:tc>
        <w:tc>
          <w:tcPr>
            <w:tcW w:w="80" w:type="dxa"/>
            <w:vAlign w:val="bottom"/>
            <w:tcBorders>
              <w:bottom w:val="single" w:sz="8" w:color="E7F2F9"/>
            </w:tcBorders>
            <w:shd w:val="clear" w:color="auto" w:fill="E7F2F9"/>
          </w:tcPr>
          <w:p>
            <w:pPr>
              <w:spacing w:after="0"/>
              <w:rPr>
                <w:sz w:val="20"/>
                <w:szCs w:val="20"/>
                <w:color w:val="auto"/>
              </w:rPr>
            </w:pPr>
          </w:p>
        </w:tc>
        <w:tc>
          <w:tcPr>
            <w:tcW w:w="1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18,700</w:t>
            </w:r>
          </w:p>
        </w:tc>
        <w:tc>
          <w:tcPr>
            <w:tcW w:w="80" w:type="dxa"/>
            <w:vAlign w:val="bottom"/>
          </w:tcPr>
          <w:p>
            <w:pPr>
              <w:spacing w:after="0"/>
              <w:rPr>
                <w:sz w:val="20"/>
                <w:szCs w:val="20"/>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18,700</w:t>
            </w:r>
          </w:p>
        </w:tc>
      </w:tr>
      <w:tr>
        <w:trPr>
          <w:trHeight w:val="234"/>
        </w:trPr>
        <w:tc>
          <w:tcPr>
            <w:tcW w:w="3280" w:type="dxa"/>
            <w:vAlign w:val="bottom"/>
          </w:tcPr>
          <w:p>
            <w:pPr>
              <w:ind w:left="240"/>
              <w:spacing w:after="0"/>
              <w:rPr>
                <w:sz w:val="20"/>
                <w:szCs w:val="20"/>
                <w:color w:val="auto"/>
              </w:rPr>
            </w:pPr>
            <w:r>
              <w:rPr>
                <w:rFonts w:ascii="Arial" w:cs="Arial" w:eastAsia="Arial" w:hAnsi="Arial"/>
                <w:sz w:val="14"/>
                <w:szCs w:val="14"/>
                <w:color w:val="auto"/>
              </w:rPr>
              <w:t>Total liabilities measured at fair value</w:t>
            </w: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78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top w:val="single" w:sz="8" w:color="E7F2F9"/>
              <w:bottom w:val="single" w:sz="8" w:color="E7F2F9"/>
            </w:tcBorders>
            <w:shd w:val="clear" w:color="auto" w:fill="E7F2F9"/>
          </w:tcPr>
          <w:p>
            <w:pPr>
              <w:spacing w:after="0"/>
              <w:rPr>
                <w:sz w:val="20"/>
                <w:szCs w:val="20"/>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580" w:type="dxa"/>
            <w:vAlign w:val="bottom"/>
            <w:tcBorders>
              <w:top w:val="single" w:sz="8" w:color="auto"/>
              <w:bottom w:val="single" w:sz="8" w:color="E7F2F9"/>
            </w:tcBorders>
            <w:shd w:val="clear" w:color="auto" w:fill="E7F2F9"/>
          </w:tcPr>
          <w:p>
            <w:pPr>
              <w:spacing w:after="0"/>
              <w:rPr>
                <w:sz w:val="20"/>
                <w:szCs w:val="20"/>
                <w:color w:val="auto"/>
              </w:rPr>
            </w:pPr>
          </w:p>
        </w:tc>
        <w:tc>
          <w:tcPr>
            <w:tcW w:w="180" w:type="dxa"/>
            <w:vAlign w:val="bottom"/>
            <w:tcBorders>
              <w:top w:val="single" w:sz="8" w:color="auto"/>
              <w:bottom w:val="single" w:sz="8" w:color="E7F2F9"/>
            </w:tcBorders>
            <w:shd w:val="clear" w:color="auto" w:fill="E7F2F9"/>
          </w:tcPr>
          <w:p>
            <w:pPr>
              <w:spacing w:after="0"/>
              <w:rPr>
                <w:sz w:val="20"/>
                <w:szCs w:val="20"/>
                <w:color w:val="auto"/>
              </w:rPr>
            </w:pPr>
            <w:r>
              <w:rPr>
                <w:rFonts w:ascii="Arial" w:cs="Arial" w:eastAsia="Arial" w:hAnsi="Arial"/>
                <w:sz w:val="14"/>
                <w:szCs w:val="14"/>
                <w:color w:val="1383C6"/>
              </w:rPr>
              <w:t>—</w:t>
            </w:r>
          </w:p>
        </w:tc>
        <w:tc>
          <w:tcPr>
            <w:tcW w:w="40" w:type="dxa"/>
            <w:vAlign w:val="bottom"/>
            <w:tcBorders>
              <w:top w:val="single" w:sz="8" w:color="auto"/>
              <w:bottom w:val="single" w:sz="8" w:color="E7F2F9"/>
            </w:tcBorders>
            <w:shd w:val="clear" w:color="auto" w:fill="E7F2F9"/>
          </w:tcPr>
          <w:p>
            <w:pPr>
              <w:spacing w:after="0"/>
              <w:rPr>
                <w:sz w:val="20"/>
                <w:szCs w:val="20"/>
                <w:color w:val="auto"/>
              </w:rPr>
            </w:pP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18,700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18,700</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During the six months ended June 30, 2025, there were no transfers between Level 1, Level 2, or Level 3 assets or liabilities reported at fair value on a recurring basis, and our valuation techniques did not change compared to the prior year.</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DF1995"/>
        </w:rPr>
        <w:t>Contingent Consideration</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August 2023 Apton Biosystems, Inc.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spacing w:after="0" w:line="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contingent consideration is accounted for as a liability at fair value, with changes during each reporting period recognized in our condensed consolidated statements of operations and comprehensive loss. The fair value of the contingent consideration liability was calculated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classify contingent consideration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estimate the fair value of the contingent consideration liability based on the simulated revenue of the Company through the five-year anniversary of the closing date of the acquisition. The key input used in the determination of the fair value included projected revenues of the high-throughput short-read products and services leveraging Apton's technology. Primarily due to management's decision to cease development of the high-throughput short-read system, and the resulting changes in the expected future revenues, among other factors, and as the milestone event must occur prior to the five-year anniversary of the closing date of the acquisition, the estimated fair value of the contingent consideration liability was $0. An increase in the fair value of the liability may result from an acceleration in the timing of or increase in projected revenues and from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713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decrease in discount rates, including the risk-free rate and estimated subordinated credit spread for a CCC credit rating.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fair value of the contingent consideration liability during the six months ended June 30, 2025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shd w:val="clear" w:color="auto" w:fill="E7F2F9"/>
          </w:tcPr>
          <w:p>
            <w:pPr>
              <w:spacing w:after="0"/>
              <w:rPr>
                <w:sz w:val="20"/>
                <w:szCs w:val="20"/>
                <w:color w:val="auto"/>
              </w:rPr>
            </w:pPr>
          </w:p>
        </w:tc>
        <w:tc>
          <w:tcPr>
            <w:tcW w:w="1200" w:type="dxa"/>
            <w:vAlign w:val="bottom"/>
            <w:tcBorders>
              <w:bottom w:val="single" w:sz="8" w:color="auto"/>
            </w:tcBorders>
            <w:shd w:val="clear" w:color="auto" w:fill="E7F2F9"/>
          </w:tcPr>
          <w:p>
            <w:pPr>
              <w:jc w:val="right"/>
              <w:ind w:right="402"/>
              <w:spacing w:after="0"/>
              <w:rPr>
                <w:sz w:val="20"/>
                <w:szCs w:val="20"/>
                <w:color w:val="auto"/>
              </w:rPr>
            </w:pPr>
            <w:r>
              <w:rPr>
                <w:rFonts w:ascii="Arial" w:cs="Arial" w:eastAsia="Arial" w:hAnsi="Arial"/>
                <w:sz w:val="16"/>
                <w:szCs w:val="16"/>
                <w:b w:val="1"/>
                <w:bCs w:val="1"/>
                <w:color w:val="1383C6"/>
              </w:rPr>
              <w:t>Level 3</w:t>
            </w:r>
          </w:p>
        </w:tc>
      </w:tr>
      <w:tr>
        <w:trPr>
          <w:trHeight w:val="212"/>
        </w:trPr>
        <w:tc>
          <w:tcPr>
            <w:tcW w:w="9720" w:type="dxa"/>
            <w:vAlign w:val="bottom"/>
          </w:tcPr>
          <w:p>
            <w:pPr>
              <w:spacing w:after="0"/>
              <w:rPr>
                <w:sz w:val="20"/>
                <w:szCs w:val="20"/>
                <w:color w:val="auto"/>
              </w:rPr>
            </w:pPr>
            <w:r>
              <w:rPr>
                <w:rFonts w:ascii="Arial" w:cs="Arial" w:eastAsia="Arial" w:hAnsi="Arial"/>
                <w:sz w:val="16"/>
                <w:szCs w:val="16"/>
                <w:color w:val="auto"/>
              </w:rPr>
              <w:t>Beginning balance as of December 31, 2024</w:t>
            </w:r>
          </w:p>
        </w:tc>
        <w:tc>
          <w:tcPr>
            <w:tcW w:w="30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rPr>
              <w:t>$</w:t>
            </w:r>
          </w:p>
        </w:tc>
        <w:tc>
          <w:tcPr>
            <w:tcW w:w="12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18,700</w:t>
            </w:r>
          </w:p>
        </w:tc>
      </w:tr>
      <w:tr>
        <w:trPr>
          <w:trHeight w:val="242"/>
        </w:trPr>
        <w:tc>
          <w:tcPr>
            <w:tcW w:w="9720" w:type="dxa"/>
            <w:vAlign w:val="bottom"/>
          </w:tcPr>
          <w:p>
            <w:pPr>
              <w:spacing w:after="0"/>
              <w:rPr>
                <w:sz w:val="20"/>
                <w:szCs w:val="20"/>
                <w:color w:val="auto"/>
              </w:rPr>
            </w:pPr>
            <w:r>
              <w:rPr>
                <w:rFonts w:ascii="Arial" w:cs="Arial" w:eastAsia="Arial" w:hAnsi="Arial"/>
                <w:sz w:val="16"/>
                <w:szCs w:val="16"/>
                <w:color w:val="auto"/>
              </w:rPr>
              <w:t>Change in estimated fair value</w:t>
            </w:r>
          </w:p>
        </w:tc>
        <w:tc>
          <w:tcPr>
            <w:tcW w:w="300" w:type="dxa"/>
            <w:vAlign w:val="bottom"/>
            <w:tcBorders>
              <w:bottom w:val="single" w:sz="8" w:color="auto"/>
            </w:tcBorders>
            <w:shd w:val="clear" w:color="auto" w:fill="E7F2F9"/>
          </w:tcPr>
          <w:p>
            <w:pPr>
              <w:spacing w:after="0"/>
              <w:rPr>
                <w:sz w:val="21"/>
                <w:szCs w:val="21"/>
                <w:color w:val="auto"/>
              </w:rPr>
            </w:pPr>
          </w:p>
        </w:tc>
        <w:tc>
          <w:tcPr>
            <w:tcW w:w="12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(18,700)</w:t>
            </w:r>
          </w:p>
        </w:tc>
      </w:tr>
      <w:tr>
        <w:trPr>
          <w:trHeight w:val="252"/>
        </w:trPr>
        <w:tc>
          <w:tcPr>
            <w:tcW w:w="9720" w:type="dxa"/>
            <w:vAlign w:val="bottom"/>
          </w:tcPr>
          <w:p>
            <w:pPr>
              <w:spacing w:after="0"/>
              <w:rPr>
                <w:sz w:val="20"/>
                <w:szCs w:val="20"/>
                <w:color w:val="auto"/>
              </w:rPr>
            </w:pPr>
            <w:r>
              <w:rPr>
                <w:rFonts w:ascii="Arial" w:cs="Arial" w:eastAsia="Arial" w:hAnsi="Arial"/>
                <w:sz w:val="16"/>
                <w:szCs w:val="16"/>
                <w:color w:val="auto"/>
              </w:rPr>
              <w:t>Ending balance as of June 30, 2025</w:t>
            </w:r>
          </w:p>
        </w:tc>
        <w:tc>
          <w:tcPr>
            <w:tcW w:w="300" w:type="dxa"/>
            <w:vAlign w:val="bottom"/>
            <w:tcBorders>
              <w:bottom w:val="single" w:sz="8" w:color="auto"/>
            </w:tcBorders>
            <w:shd w:val="clear" w:color="auto" w:fill="E7F2F9"/>
          </w:tcPr>
          <w:p>
            <w:pPr>
              <w:jc w:val="right"/>
              <w:ind w:right="102"/>
              <w:spacing w:after="0"/>
              <w:rPr>
                <w:sz w:val="20"/>
                <w:szCs w:val="20"/>
                <w:color w:val="auto"/>
              </w:rPr>
            </w:pPr>
            <w:r>
              <w:rPr>
                <w:rFonts w:ascii="Arial" w:cs="Arial" w:eastAsia="Arial" w:hAnsi="Arial"/>
                <w:sz w:val="16"/>
                <w:szCs w:val="16"/>
                <w:color w:val="1383C6"/>
              </w:rPr>
              <w:t>$</w:t>
            </w:r>
          </w:p>
        </w:tc>
        <w:tc>
          <w:tcPr>
            <w:tcW w:w="12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r>
      <w:tr>
        <w:trPr>
          <w:trHeight w:val="20"/>
        </w:trPr>
        <w:tc>
          <w:tcPr>
            <w:tcW w:w="9720" w:type="dxa"/>
            <w:vAlign w:val="bottom"/>
          </w:tcPr>
          <w:p>
            <w:pPr>
              <w:spacing w:after="0" w:line="20" w:lineRule="exact"/>
              <w:rPr>
                <w:sz w:val="1"/>
                <w:szCs w:val="1"/>
                <w:color w:val="auto"/>
              </w:rPr>
            </w:pPr>
          </w:p>
        </w:tc>
        <w:tc>
          <w:tcPr>
            <w:tcW w:w="300" w:type="dxa"/>
            <w:vAlign w:val="bottom"/>
            <w:tcBorders>
              <w:top w:val="single" w:sz="8" w:color="E7F2F9"/>
              <w:bottom w:val="single" w:sz="8" w:color="auto"/>
            </w:tcBorders>
          </w:tcPr>
          <w:p>
            <w:pPr>
              <w:spacing w:after="0" w:line="20" w:lineRule="exact"/>
              <w:rPr>
                <w:sz w:val="1"/>
                <w:szCs w:val="1"/>
                <w:color w:val="auto"/>
              </w:rPr>
            </w:pPr>
          </w:p>
        </w:tc>
        <w:tc>
          <w:tcPr>
            <w:tcW w:w="1200" w:type="dxa"/>
            <w:vAlign w:val="bottom"/>
            <w:tcBorders>
              <w:top w:val="single" w:sz="8" w:color="E7F2F9"/>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Changes to the fair value are recorded as change in fair value of contingent consideration in the condensed consolidated statements of operations and comprehensive loss.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Cash Equivalents, Restricted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restricted cash, and investments: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60" w:type="dxa"/>
            <w:vAlign w:val="bottom"/>
            <w:tcBorders>
              <w:bottom w:val="single" w:sz="8" w:color="auto"/>
            </w:tcBorders>
            <w:shd w:val="clear" w:color="auto" w:fill="E7F2F9"/>
          </w:tcPr>
          <w:p>
            <w:pPr>
              <w:spacing w:after="0"/>
              <w:rPr>
                <w:sz w:val="20"/>
                <w:szCs w:val="20"/>
                <w:color w:val="auto"/>
              </w:rPr>
            </w:pPr>
          </w:p>
        </w:tc>
        <w:tc>
          <w:tcPr>
            <w:tcW w:w="100" w:type="dxa"/>
            <w:vAlign w:val="bottom"/>
            <w:tcBorders>
              <w:bottom w:val="single" w:sz="8" w:color="auto"/>
            </w:tcBorders>
            <w:shd w:val="clear" w:color="auto" w:fill="E7F2F9"/>
          </w:tcPr>
          <w:p>
            <w:pPr>
              <w:spacing w:after="0"/>
              <w:rPr>
                <w:sz w:val="20"/>
                <w:szCs w:val="20"/>
                <w:color w:val="auto"/>
              </w:rPr>
            </w:pPr>
          </w:p>
        </w:tc>
        <w:tc>
          <w:tcPr>
            <w:tcW w:w="100" w:type="dxa"/>
            <w:vAlign w:val="bottom"/>
            <w:tcBorders>
              <w:bottom w:val="single" w:sz="8" w:color="auto"/>
            </w:tcBorders>
            <w:shd w:val="clear" w:color="auto" w:fill="E7F2F9"/>
          </w:tcPr>
          <w:p>
            <w:pPr>
              <w:spacing w:after="0"/>
              <w:rPr>
                <w:sz w:val="20"/>
                <w:szCs w:val="20"/>
                <w:color w:val="auto"/>
              </w:rPr>
            </w:pPr>
          </w:p>
        </w:tc>
        <w:tc>
          <w:tcPr>
            <w:tcW w:w="2940" w:type="dxa"/>
            <w:vAlign w:val="bottom"/>
            <w:tcBorders>
              <w:bottom w:val="single" w:sz="8" w:color="auto"/>
            </w:tcBorders>
            <w:gridSpan w:val="5"/>
            <w:shd w:val="clear" w:color="auto" w:fill="E7F2F9"/>
          </w:tcPr>
          <w:p>
            <w:pPr>
              <w:jc w:val="right"/>
              <w:ind w:right="722"/>
              <w:spacing w:after="0"/>
              <w:rPr>
                <w:sz w:val="20"/>
                <w:szCs w:val="20"/>
                <w:color w:val="auto"/>
              </w:rPr>
            </w:pPr>
            <w:r>
              <w:rPr>
                <w:rFonts w:ascii="Arial" w:cs="Arial" w:eastAsia="Arial" w:hAnsi="Arial"/>
                <w:sz w:val="16"/>
                <w:szCs w:val="16"/>
                <w:b w:val="1"/>
                <w:bCs w:val="1"/>
                <w:color w:val="1383C6"/>
              </w:rPr>
              <w:t>As of June 30, 2025</w:t>
            </w:r>
          </w:p>
        </w:tc>
        <w:tc>
          <w:tcPr>
            <w:tcW w:w="100" w:type="dxa"/>
            <w:vAlign w:val="bottom"/>
            <w:tcBorders>
              <w:bottom w:val="single" w:sz="8" w:color="auto"/>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60" w:type="dxa"/>
            <w:vAlign w:val="bottom"/>
            <w:tcBorders>
              <w:bottom w:val="single" w:sz="8" w:color="auto"/>
            </w:tcBorders>
            <w:shd w:val="clear" w:color="auto" w:fill="E7F2F9"/>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E7F2F9"/>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360" w:type="dxa"/>
            <w:vAlign w:val="bottom"/>
            <w:vMerge w:val="restart"/>
            <w:shd w:val="clear" w:color="auto" w:fill="E7F2F9"/>
          </w:tcPr>
          <w:p>
            <w:pPr>
              <w:jc w:val="center"/>
              <w:ind w:right="42"/>
              <w:spacing w:after="0"/>
              <w:rPr>
                <w:sz w:val="20"/>
                <w:szCs w:val="20"/>
                <w:color w:val="auto"/>
              </w:rPr>
            </w:pPr>
            <w:r>
              <w:rPr>
                <w:rFonts w:ascii="Arial" w:cs="Arial" w:eastAsia="Arial" w:hAnsi="Arial"/>
                <w:sz w:val="16"/>
                <w:szCs w:val="16"/>
                <w:color w:val="1383C6"/>
                <w:w w:val="99"/>
              </w:rPr>
              <w:t>Amortized</w:t>
            </w:r>
          </w:p>
        </w:tc>
        <w:tc>
          <w:tcPr>
            <w:tcW w:w="100" w:type="dxa"/>
            <w:vAlign w:val="bottom"/>
            <w:shd w:val="clear" w:color="auto" w:fill="E7F2F9"/>
          </w:tcPr>
          <w:p>
            <w:pPr>
              <w:spacing w:after="0"/>
              <w:rPr>
                <w:sz w:val="17"/>
                <w:szCs w:val="17"/>
                <w:color w:val="auto"/>
              </w:rPr>
            </w:pPr>
          </w:p>
        </w:tc>
        <w:tc>
          <w:tcPr>
            <w:tcW w:w="100" w:type="dxa"/>
            <w:vAlign w:val="bottom"/>
            <w:shd w:val="clear" w:color="auto" w:fill="E7F2F9"/>
          </w:tcPr>
          <w:p>
            <w:pPr>
              <w:spacing w:after="0"/>
              <w:rPr>
                <w:sz w:val="17"/>
                <w:szCs w:val="17"/>
                <w:color w:val="auto"/>
              </w:rPr>
            </w:pPr>
          </w:p>
        </w:tc>
        <w:tc>
          <w:tcPr>
            <w:tcW w:w="1340" w:type="dxa"/>
            <w:vAlign w:val="bottom"/>
            <w:shd w:val="clear" w:color="auto" w:fill="E7F2F9"/>
          </w:tcPr>
          <w:p>
            <w:pPr>
              <w:jc w:val="center"/>
              <w:ind w:right="2"/>
              <w:spacing w:after="0"/>
              <w:rPr>
                <w:sz w:val="20"/>
                <w:szCs w:val="20"/>
                <w:color w:val="auto"/>
              </w:rPr>
            </w:pPr>
            <w:r>
              <w:rPr>
                <w:rFonts w:ascii="Arial" w:cs="Arial" w:eastAsia="Arial" w:hAnsi="Arial"/>
                <w:sz w:val="16"/>
                <w:szCs w:val="16"/>
                <w:color w:val="1383C6"/>
                <w:w w:val="98"/>
              </w:rPr>
              <w:t>Gross</w:t>
            </w:r>
          </w:p>
        </w:tc>
        <w:tc>
          <w:tcPr>
            <w:tcW w:w="40" w:type="dxa"/>
            <w:vAlign w:val="bottom"/>
            <w:shd w:val="clear" w:color="auto" w:fill="E7F2F9"/>
          </w:tcPr>
          <w:p>
            <w:pPr>
              <w:spacing w:after="0"/>
              <w:rPr>
                <w:sz w:val="17"/>
                <w:szCs w:val="17"/>
                <w:color w:val="auto"/>
              </w:rPr>
            </w:pPr>
          </w:p>
        </w:tc>
        <w:tc>
          <w:tcPr>
            <w:tcW w:w="80" w:type="dxa"/>
            <w:vAlign w:val="bottom"/>
            <w:shd w:val="clear" w:color="auto" w:fill="E7F2F9"/>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360" w:type="dxa"/>
            <w:vAlign w:val="bottom"/>
            <w:shd w:val="clear" w:color="auto" w:fill="E7F2F9"/>
          </w:tcPr>
          <w:p>
            <w:pPr>
              <w:jc w:val="center"/>
              <w:ind w:right="22"/>
              <w:spacing w:after="0"/>
              <w:rPr>
                <w:sz w:val="20"/>
                <w:szCs w:val="20"/>
                <w:color w:val="auto"/>
              </w:rPr>
            </w:pPr>
            <w:r>
              <w:rPr>
                <w:rFonts w:ascii="Arial" w:cs="Arial" w:eastAsia="Arial" w:hAnsi="Arial"/>
                <w:sz w:val="16"/>
                <w:szCs w:val="16"/>
                <w:color w:val="1383C6"/>
                <w:w w:val="98"/>
              </w:rPr>
              <w:t>Gross</w:t>
            </w:r>
          </w:p>
        </w:tc>
        <w:tc>
          <w:tcPr>
            <w:tcW w:w="100" w:type="dxa"/>
            <w:vAlign w:val="bottom"/>
            <w:shd w:val="clear" w:color="auto" w:fill="E7F2F9"/>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1360" w:type="dxa"/>
            <w:vAlign w:val="bottom"/>
            <w:vMerge w:val="restart"/>
            <w:shd w:val="clear" w:color="auto" w:fill="E7F2F9"/>
          </w:tcPr>
          <w:p>
            <w:pPr>
              <w:jc w:val="center"/>
              <w:ind w:right="42"/>
              <w:spacing w:after="0"/>
              <w:rPr>
                <w:sz w:val="20"/>
                <w:szCs w:val="20"/>
                <w:color w:val="auto"/>
              </w:rPr>
            </w:pPr>
            <w:r>
              <w:rPr>
                <w:rFonts w:ascii="Arial" w:cs="Arial" w:eastAsia="Arial" w:hAnsi="Arial"/>
                <w:sz w:val="16"/>
                <w:szCs w:val="16"/>
                <w:color w:val="1383C6"/>
              </w:rPr>
              <w:t>Fair</w:t>
            </w:r>
          </w:p>
        </w:tc>
        <w:tc>
          <w:tcPr>
            <w:tcW w:w="0" w:type="dxa"/>
            <w:vAlign w:val="bottom"/>
          </w:tcPr>
          <w:p>
            <w:pPr>
              <w:spacing w:after="0"/>
              <w:rPr>
                <w:sz w:val="1"/>
                <w:szCs w:val="1"/>
                <w:color w:val="auto"/>
              </w:rPr>
            </w:pPr>
          </w:p>
        </w:tc>
      </w:tr>
      <w:tr>
        <w:trPr>
          <w:trHeight w:val="182"/>
        </w:trPr>
        <w:tc>
          <w:tcPr>
            <w:tcW w:w="504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60" w:type="dxa"/>
            <w:vAlign w:val="bottom"/>
            <w:vMerge w:val="continue"/>
            <w:shd w:val="clear" w:color="auto" w:fill="E7F2F9"/>
          </w:tcPr>
          <w:p>
            <w:pPr>
              <w:spacing w:after="0"/>
              <w:rPr>
                <w:sz w:val="15"/>
                <w:szCs w:val="15"/>
                <w:color w:val="auto"/>
              </w:rPr>
            </w:pPr>
          </w:p>
        </w:tc>
        <w:tc>
          <w:tcPr>
            <w:tcW w:w="100" w:type="dxa"/>
            <w:vAlign w:val="bottom"/>
            <w:shd w:val="clear" w:color="auto" w:fill="E7F2F9"/>
          </w:tcPr>
          <w:p>
            <w:pPr>
              <w:spacing w:after="0"/>
              <w:rPr>
                <w:sz w:val="15"/>
                <w:szCs w:val="15"/>
                <w:color w:val="auto"/>
              </w:rPr>
            </w:pPr>
          </w:p>
        </w:tc>
        <w:tc>
          <w:tcPr>
            <w:tcW w:w="100" w:type="dxa"/>
            <w:vAlign w:val="bottom"/>
            <w:shd w:val="clear" w:color="auto" w:fill="E7F2F9"/>
          </w:tcPr>
          <w:p>
            <w:pPr>
              <w:spacing w:after="0"/>
              <w:rPr>
                <w:sz w:val="15"/>
                <w:szCs w:val="15"/>
                <w:color w:val="auto"/>
              </w:rPr>
            </w:pPr>
          </w:p>
        </w:tc>
        <w:tc>
          <w:tcPr>
            <w:tcW w:w="1340" w:type="dxa"/>
            <w:vAlign w:val="bottom"/>
            <w:shd w:val="clear" w:color="auto" w:fill="E7F2F9"/>
          </w:tcPr>
          <w:p>
            <w:pPr>
              <w:jc w:val="center"/>
              <w:spacing w:after="0" w:line="182" w:lineRule="exact"/>
              <w:rPr>
                <w:sz w:val="20"/>
                <w:szCs w:val="20"/>
                <w:color w:val="auto"/>
              </w:rPr>
            </w:pPr>
            <w:r>
              <w:rPr>
                <w:rFonts w:ascii="Arial" w:cs="Arial" w:eastAsia="Arial" w:hAnsi="Arial"/>
                <w:sz w:val="16"/>
                <w:szCs w:val="16"/>
                <w:color w:val="1383C6"/>
                <w:w w:val="97"/>
              </w:rPr>
              <w:t>unrealized</w:t>
            </w:r>
          </w:p>
        </w:tc>
        <w:tc>
          <w:tcPr>
            <w:tcW w:w="40" w:type="dxa"/>
            <w:vAlign w:val="bottom"/>
            <w:shd w:val="clear" w:color="auto" w:fill="E7F2F9"/>
          </w:tcPr>
          <w:p>
            <w:pPr>
              <w:spacing w:after="0"/>
              <w:rPr>
                <w:sz w:val="15"/>
                <w:szCs w:val="15"/>
                <w:color w:val="auto"/>
              </w:rPr>
            </w:pPr>
          </w:p>
        </w:tc>
        <w:tc>
          <w:tcPr>
            <w:tcW w:w="8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60" w:type="dxa"/>
            <w:vAlign w:val="bottom"/>
            <w:shd w:val="clear" w:color="auto" w:fill="E7F2F9"/>
          </w:tcPr>
          <w:p>
            <w:pPr>
              <w:jc w:val="center"/>
              <w:ind w:right="42"/>
              <w:spacing w:after="0" w:line="182" w:lineRule="exact"/>
              <w:rPr>
                <w:sz w:val="20"/>
                <w:szCs w:val="20"/>
                <w:color w:val="auto"/>
              </w:rPr>
            </w:pPr>
            <w:r>
              <w:rPr>
                <w:rFonts w:ascii="Arial" w:cs="Arial" w:eastAsia="Arial" w:hAnsi="Arial"/>
                <w:sz w:val="16"/>
                <w:szCs w:val="16"/>
                <w:color w:val="1383C6"/>
                <w:w w:val="97"/>
              </w:rPr>
              <w:t>unrealized</w:t>
            </w:r>
          </w:p>
        </w:tc>
        <w:tc>
          <w:tcPr>
            <w:tcW w:w="10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60" w:type="dxa"/>
            <w:vAlign w:val="bottom"/>
            <w:vMerge w:val="continue"/>
            <w:shd w:val="clear" w:color="auto" w:fill="E7F2F9"/>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4"/>
                <w:szCs w:val="14"/>
                <w:i w:val="1"/>
                <w:iCs w:val="1"/>
                <w:color w:val="1383C6"/>
              </w:rPr>
              <w:t>(In thousands)</w:t>
            </w:r>
          </w:p>
        </w:tc>
        <w:tc>
          <w:tcPr>
            <w:tcW w:w="120" w:type="dxa"/>
            <w:vAlign w:val="bottom"/>
            <w:tcBorders>
              <w:bottom w:val="single" w:sz="8" w:color="auto"/>
            </w:tcBorders>
            <w:shd w:val="clear" w:color="auto" w:fill="E7F2F9"/>
          </w:tcPr>
          <w:p>
            <w:pPr>
              <w:spacing w:after="0"/>
              <w:rPr>
                <w:sz w:val="18"/>
                <w:szCs w:val="18"/>
                <w:color w:val="auto"/>
              </w:rPr>
            </w:pPr>
          </w:p>
        </w:tc>
        <w:tc>
          <w:tcPr>
            <w:tcW w:w="1360" w:type="dxa"/>
            <w:vAlign w:val="bottom"/>
            <w:tcBorders>
              <w:bottom w:val="single" w:sz="8" w:color="auto"/>
            </w:tcBorders>
            <w:shd w:val="clear" w:color="auto" w:fill="E7F2F9"/>
          </w:tcPr>
          <w:p>
            <w:pPr>
              <w:jc w:val="center"/>
              <w:ind w:right="42"/>
              <w:spacing w:after="0"/>
              <w:rPr>
                <w:sz w:val="20"/>
                <w:szCs w:val="20"/>
                <w:color w:val="auto"/>
              </w:rPr>
            </w:pPr>
            <w:r>
              <w:rPr>
                <w:rFonts w:ascii="Arial" w:cs="Arial" w:eastAsia="Arial" w:hAnsi="Arial"/>
                <w:sz w:val="16"/>
                <w:szCs w:val="16"/>
                <w:color w:val="1383C6"/>
                <w:w w:val="97"/>
              </w:rPr>
              <w:t>Cost</w:t>
            </w:r>
          </w:p>
        </w:tc>
        <w:tc>
          <w:tcPr>
            <w:tcW w:w="100" w:type="dxa"/>
            <w:vAlign w:val="bottom"/>
            <w:tcBorders>
              <w:bottom w:val="single" w:sz="8" w:color="E7F2F9"/>
            </w:tcBorders>
            <w:shd w:val="clear" w:color="auto" w:fill="E7F2F9"/>
          </w:tcPr>
          <w:p>
            <w:pPr>
              <w:spacing w:after="0"/>
              <w:rPr>
                <w:sz w:val="18"/>
                <w:szCs w:val="18"/>
                <w:color w:val="auto"/>
              </w:rPr>
            </w:pPr>
          </w:p>
        </w:tc>
        <w:tc>
          <w:tcPr>
            <w:tcW w:w="100" w:type="dxa"/>
            <w:vAlign w:val="bottom"/>
            <w:tcBorders>
              <w:bottom w:val="single" w:sz="8" w:color="auto"/>
            </w:tcBorders>
            <w:shd w:val="clear" w:color="auto" w:fill="E7F2F9"/>
          </w:tcPr>
          <w:p>
            <w:pPr>
              <w:spacing w:after="0"/>
              <w:rPr>
                <w:sz w:val="18"/>
                <w:szCs w:val="18"/>
                <w:color w:val="auto"/>
              </w:rPr>
            </w:pPr>
          </w:p>
        </w:tc>
        <w:tc>
          <w:tcPr>
            <w:tcW w:w="1340" w:type="dxa"/>
            <w:vAlign w:val="bottom"/>
            <w:tcBorders>
              <w:bottom w:val="single" w:sz="8" w:color="auto"/>
            </w:tcBorders>
            <w:shd w:val="clear" w:color="auto" w:fill="E7F2F9"/>
          </w:tcPr>
          <w:p>
            <w:pPr>
              <w:jc w:val="center"/>
              <w:ind w:right="2"/>
              <w:spacing w:after="0"/>
              <w:rPr>
                <w:sz w:val="20"/>
                <w:szCs w:val="20"/>
                <w:color w:val="auto"/>
              </w:rPr>
            </w:pPr>
            <w:r>
              <w:rPr>
                <w:rFonts w:ascii="Arial" w:cs="Arial" w:eastAsia="Arial" w:hAnsi="Arial"/>
                <w:sz w:val="16"/>
                <w:szCs w:val="16"/>
                <w:color w:val="1383C6"/>
                <w:w w:val="99"/>
              </w:rPr>
              <w:t>gains</w:t>
            </w:r>
          </w:p>
        </w:tc>
        <w:tc>
          <w:tcPr>
            <w:tcW w:w="40" w:type="dxa"/>
            <w:vAlign w:val="bottom"/>
            <w:tcBorders>
              <w:bottom w:val="single" w:sz="8" w:color="auto"/>
            </w:tcBorders>
            <w:shd w:val="clear" w:color="auto" w:fill="E7F2F9"/>
          </w:tcPr>
          <w:p>
            <w:pPr>
              <w:spacing w:after="0"/>
              <w:rPr>
                <w:sz w:val="18"/>
                <w:szCs w:val="18"/>
                <w:color w:val="auto"/>
              </w:rPr>
            </w:pPr>
          </w:p>
        </w:tc>
        <w:tc>
          <w:tcPr>
            <w:tcW w:w="80" w:type="dxa"/>
            <w:vAlign w:val="bottom"/>
            <w:tcBorders>
              <w:bottom w:val="single" w:sz="8" w:color="E7F2F9"/>
            </w:tcBorders>
            <w:shd w:val="clear" w:color="auto" w:fill="E7F2F9"/>
          </w:tcPr>
          <w:p>
            <w:pPr>
              <w:spacing w:after="0"/>
              <w:rPr>
                <w:sz w:val="18"/>
                <w:szCs w:val="18"/>
                <w:color w:val="auto"/>
              </w:rPr>
            </w:pPr>
          </w:p>
        </w:tc>
        <w:tc>
          <w:tcPr>
            <w:tcW w:w="120" w:type="dxa"/>
            <w:vAlign w:val="bottom"/>
            <w:tcBorders>
              <w:bottom w:val="single" w:sz="8" w:color="auto"/>
            </w:tcBorders>
            <w:shd w:val="clear" w:color="auto" w:fill="E7F2F9"/>
          </w:tcPr>
          <w:p>
            <w:pPr>
              <w:spacing w:after="0"/>
              <w:rPr>
                <w:sz w:val="18"/>
                <w:szCs w:val="18"/>
                <w:color w:val="auto"/>
              </w:rPr>
            </w:pPr>
          </w:p>
        </w:tc>
        <w:tc>
          <w:tcPr>
            <w:tcW w:w="1360" w:type="dxa"/>
            <w:vAlign w:val="bottom"/>
            <w:tcBorders>
              <w:bottom w:val="single" w:sz="8" w:color="auto"/>
            </w:tcBorders>
            <w:shd w:val="clear" w:color="auto" w:fill="E7F2F9"/>
          </w:tcPr>
          <w:p>
            <w:pPr>
              <w:jc w:val="center"/>
              <w:ind w:right="42"/>
              <w:spacing w:after="0"/>
              <w:rPr>
                <w:sz w:val="20"/>
                <w:szCs w:val="20"/>
                <w:color w:val="auto"/>
              </w:rPr>
            </w:pPr>
            <w:r>
              <w:rPr>
                <w:rFonts w:ascii="Arial" w:cs="Arial" w:eastAsia="Arial" w:hAnsi="Arial"/>
                <w:sz w:val="16"/>
                <w:szCs w:val="16"/>
                <w:color w:val="1383C6"/>
                <w:w w:val="96"/>
              </w:rPr>
              <w:t>losses</w:t>
            </w:r>
          </w:p>
        </w:tc>
        <w:tc>
          <w:tcPr>
            <w:tcW w:w="100" w:type="dxa"/>
            <w:vAlign w:val="bottom"/>
            <w:tcBorders>
              <w:bottom w:val="single" w:sz="8" w:color="E7F2F9"/>
            </w:tcBorders>
            <w:shd w:val="clear" w:color="auto" w:fill="E7F2F9"/>
          </w:tcPr>
          <w:p>
            <w:pPr>
              <w:spacing w:after="0"/>
              <w:rPr>
                <w:sz w:val="18"/>
                <w:szCs w:val="18"/>
                <w:color w:val="auto"/>
              </w:rPr>
            </w:pPr>
          </w:p>
        </w:tc>
        <w:tc>
          <w:tcPr>
            <w:tcW w:w="120" w:type="dxa"/>
            <w:vAlign w:val="bottom"/>
            <w:tcBorders>
              <w:bottom w:val="single" w:sz="8" w:color="auto"/>
            </w:tcBorders>
            <w:shd w:val="clear" w:color="auto" w:fill="E7F2F9"/>
          </w:tcPr>
          <w:p>
            <w:pPr>
              <w:spacing w:after="0"/>
              <w:rPr>
                <w:sz w:val="18"/>
                <w:szCs w:val="18"/>
                <w:color w:val="auto"/>
              </w:rPr>
            </w:pPr>
          </w:p>
        </w:tc>
        <w:tc>
          <w:tcPr>
            <w:tcW w:w="1360" w:type="dxa"/>
            <w:vAlign w:val="bottom"/>
            <w:tcBorders>
              <w:bottom w:val="single" w:sz="8" w:color="auto"/>
            </w:tcBorders>
            <w:shd w:val="clear" w:color="auto" w:fill="E7F2F9"/>
          </w:tcPr>
          <w:p>
            <w:pPr>
              <w:jc w:val="center"/>
              <w:ind w:right="42"/>
              <w:spacing w:after="0"/>
              <w:rPr>
                <w:sz w:val="20"/>
                <w:szCs w:val="20"/>
                <w:color w:val="auto"/>
              </w:rPr>
            </w:pPr>
            <w:r>
              <w:rPr>
                <w:rFonts w:ascii="Arial" w:cs="Arial" w:eastAsia="Arial" w:hAnsi="Arial"/>
                <w:sz w:val="16"/>
                <w:szCs w:val="16"/>
                <w:color w:val="1383C6"/>
                <w:w w:val="97"/>
              </w:rPr>
              <w:t>Value</w:t>
            </w:r>
          </w:p>
        </w:tc>
        <w:tc>
          <w:tcPr>
            <w:tcW w:w="0" w:type="dxa"/>
            <w:vAlign w:val="bottom"/>
          </w:tcPr>
          <w:p>
            <w:pPr>
              <w:spacing w:after="0"/>
              <w:rPr>
                <w:sz w:val="1"/>
                <w:szCs w:val="1"/>
                <w:color w:val="auto"/>
              </w:rPr>
            </w:pPr>
          </w:p>
        </w:tc>
      </w:tr>
      <w:tr>
        <w:trPr>
          <w:trHeight w:val="219"/>
        </w:trPr>
        <w:tc>
          <w:tcPr>
            <w:tcW w:w="50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Cash and cash equivalents</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54,803</w:t>
            </w:r>
          </w:p>
        </w:tc>
        <w:tc>
          <w:tcPr>
            <w:tcW w:w="200" w:type="dxa"/>
            <w:vAlign w:val="bottom"/>
            <w:gridSpan w:val="2"/>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240" w:type="dxa"/>
            <w:vAlign w:val="bottom"/>
            <w:gridSpan w:val="3"/>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220" w:type="dxa"/>
            <w:vAlign w:val="bottom"/>
            <w:gridSpan w:val="2"/>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54,803</w:t>
            </w:r>
          </w:p>
        </w:tc>
        <w:tc>
          <w:tcPr>
            <w:tcW w:w="0" w:type="dxa"/>
            <w:vAlign w:val="bottom"/>
          </w:tcPr>
          <w:p>
            <w:pPr>
              <w:spacing w:after="0"/>
              <w:rPr>
                <w:sz w:val="1"/>
                <w:szCs w:val="1"/>
                <w:color w:val="auto"/>
              </w:rPr>
            </w:pPr>
          </w:p>
        </w:tc>
      </w:tr>
      <w:tr>
        <w:trPr>
          <w:trHeight w:val="234"/>
        </w:trPr>
        <w:tc>
          <w:tcPr>
            <w:tcW w:w="50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Investments: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340" w:type="dxa"/>
            <w:vAlign w:val="bottom"/>
            <w:shd w:val="clear" w:color="auto" w:fill="E7F2F9"/>
          </w:tcPr>
          <w:p>
            <w:pPr>
              <w:spacing w:after="0"/>
              <w:rPr>
                <w:sz w:val="20"/>
                <w:szCs w:val="20"/>
                <w:color w:val="auto"/>
              </w:rPr>
            </w:pPr>
          </w:p>
        </w:tc>
        <w:tc>
          <w:tcPr>
            <w:tcW w:w="40" w:type="dxa"/>
            <w:vAlign w:val="bottom"/>
            <w:shd w:val="clear" w:color="auto" w:fill="E7F2F9"/>
          </w:tcPr>
          <w:p>
            <w:pPr>
              <w:spacing w:after="0"/>
              <w:rPr>
                <w:sz w:val="20"/>
                <w:szCs w:val="20"/>
                <w:color w:val="auto"/>
              </w:rPr>
            </w:pP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Corporate debt securities</w:t>
            </w: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30,939</w:t>
            </w:r>
          </w:p>
        </w:tc>
        <w:tc>
          <w:tcPr>
            <w:tcW w:w="10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130</w:t>
            </w:r>
          </w:p>
        </w:tc>
        <w:tc>
          <w:tcPr>
            <w:tcW w:w="40" w:type="dxa"/>
            <w:vAlign w:val="bottom"/>
            <w:shd w:val="clear" w:color="auto" w:fill="E7F2F9"/>
          </w:tcPr>
          <w:p>
            <w:pPr>
              <w:spacing w:after="0"/>
              <w:rPr>
                <w:sz w:val="20"/>
                <w:szCs w:val="20"/>
                <w:color w:val="auto"/>
              </w:rPr>
            </w:pP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w:t>
            </w:r>
          </w:p>
        </w:tc>
        <w:tc>
          <w:tcPr>
            <w:tcW w:w="10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31,064</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U.S. government &amp; agency securities</w:t>
            </w: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228,726</w:t>
            </w:r>
          </w:p>
        </w:tc>
        <w:tc>
          <w:tcPr>
            <w:tcW w:w="100" w:type="dxa"/>
            <w:vAlign w:val="bottom"/>
            <w:tcBorders>
              <w:bottom w:val="single" w:sz="8" w:color="E7F2F9"/>
            </w:tcBorders>
            <w:shd w:val="clear" w:color="auto" w:fill="E7F2F9"/>
          </w:tcPr>
          <w:p>
            <w:pPr>
              <w:spacing w:after="0"/>
              <w:rPr>
                <w:sz w:val="21"/>
                <w:szCs w:val="21"/>
                <w:color w:val="auto"/>
              </w:rPr>
            </w:pPr>
          </w:p>
        </w:tc>
        <w:tc>
          <w:tcPr>
            <w:tcW w:w="100" w:type="dxa"/>
            <w:vAlign w:val="bottom"/>
            <w:tcBorders>
              <w:bottom w:val="single" w:sz="8" w:color="auto"/>
            </w:tcBorders>
            <w:shd w:val="clear" w:color="auto" w:fill="E7F2F9"/>
          </w:tcPr>
          <w:p>
            <w:pPr>
              <w:spacing w:after="0"/>
              <w:rPr>
                <w:sz w:val="21"/>
                <w:szCs w:val="21"/>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191</w:t>
            </w:r>
          </w:p>
        </w:tc>
        <w:tc>
          <w:tcPr>
            <w:tcW w:w="40" w:type="dxa"/>
            <w:vAlign w:val="bottom"/>
            <w:tcBorders>
              <w:bottom w:val="single" w:sz="8" w:color="auto"/>
            </w:tcBorders>
            <w:shd w:val="clear" w:color="auto" w:fill="E7F2F9"/>
          </w:tcPr>
          <w:p>
            <w:pPr>
              <w:spacing w:after="0"/>
              <w:rPr>
                <w:sz w:val="21"/>
                <w:szCs w:val="21"/>
                <w:color w:val="auto"/>
              </w:rPr>
            </w:pPr>
          </w:p>
        </w:tc>
        <w:tc>
          <w:tcPr>
            <w:tcW w:w="8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(49)</w:t>
            </w:r>
          </w:p>
        </w:tc>
        <w:tc>
          <w:tcPr>
            <w:tcW w:w="10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auto"/>
            </w:tcBorders>
            <w:shd w:val="clear" w:color="auto" w:fill="E7F2F9"/>
          </w:tcPr>
          <w:p>
            <w:pPr>
              <w:spacing w:after="0"/>
              <w:rPr>
                <w:sz w:val="21"/>
                <w:szCs w:val="21"/>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228,868</w:t>
            </w:r>
          </w:p>
        </w:tc>
        <w:tc>
          <w:tcPr>
            <w:tcW w:w="0" w:type="dxa"/>
            <w:vAlign w:val="bottom"/>
          </w:tcPr>
          <w:p>
            <w:pPr>
              <w:spacing w:after="0"/>
              <w:rPr>
                <w:sz w:val="1"/>
                <w:szCs w:val="1"/>
                <w:color w:val="auto"/>
              </w:rPr>
            </w:pPr>
          </w:p>
        </w:tc>
      </w:tr>
      <w:tr>
        <w:trPr>
          <w:trHeight w:val="227"/>
        </w:trPr>
        <w:tc>
          <w:tcPr>
            <w:tcW w:w="5040" w:type="dxa"/>
            <w:vAlign w:val="bottom"/>
            <w:tcBorders>
              <w:bottom w:val="single" w:sz="8" w:color="E7F2F9"/>
            </w:tcBorders>
            <w:shd w:val="clear" w:color="auto" w:fill="E7F2F9"/>
          </w:tcPr>
          <w:p>
            <w:pPr>
              <w:ind w:left="260"/>
              <w:spacing w:after="0"/>
              <w:rPr>
                <w:sz w:val="20"/>
                <w:szCs w:val="20"/>
                <w:color w:val="auto"/>
              </w:rPr>
            </w:pPr>
            <w:r>
              <w:rPr>
                <w:rFonts w:ascii="Arial" w:cs="Arial" w:eastAsia="Arial" w:hAnsi="Arial"/>
                <w:sz w:val="16"/>
                <w:szCs w:val="16"/>
                <w:color w:val="1383C6"/>
              </w:rPr>
              <w:t>Total investments</w:t>
            </w:r>
          </w:p>
        </w:tc>
        <w:tc>
          <w:tcPr>
            <w:tcW w:w="120" w:type="dxa"/>
            <w:vAlign w:val="bottom"/>
            <w:tcBorders>
              <w:bottom w:val="single" w:sz="8" w:color="auto"/>
            </w:tcBorders>
            <w:shd w:val="clear" w:color="auto" w:fill="E7F2F9"/>
          </w:tcPr>
          <w:p>
            <w:pPr>
              <w:spacing w:after="0"/>
              <w:rPr>
                <w:sz w:val="19"/>
                <w:szCs w:val="19"/>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259,665</w:t>
            </w:r>
          </w:p>
        </w:tc>
        <w:tc>
          <w:tcPr>
            <w:tcW w:w="100" w:type="dxa"/>
            <w:vAlign w:val="bottom"/>
            <w:tcBorders>
              <w:bottom w:val="single" w:sz="8" w:color="E7F2F9"/>
            </w:tcBorders>
            <w:shd w:val="clear" w:color="auto" w:fill="E7F2F9"/>
          </w:tcPr>
          <w:p>
            <w:pPr>
              <w:spacing w:after="0"/>
              <w:rPr>
                <w:sz w:val="19"/>
                <w:szCs w:val="19"/>
                <w:color w:val="auto"/>
              </w:rPr>
            </w:pPr>
          </w:p>
        </w:tc>
        <w:tc>
          <w:tcPr>
            <w:tcW w:w="100" w:type="dxa"/>
            <w:vAlign w:val="bottom"/>
            <w:tcBorders>
              <w:bottom w:val="single" w:sz="8" w:color="auto"/>
            </w:tcBorders>
            <w:shd w:val="clear" w:color="auto" w:fill="E7F2F9"/>
          </w:tcPr>
          <w:p>
            <w:pPr>
              <w:spacing w:after="0"/>
              <w:rPr>
                <w:sz w:val="19"/>
                <w:szCs w:val="19"/>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321</w:t>
            </w:r>
          </w:p>
        </w:tc>
        <w:tc>
          <w:tcPr>
            <w:tcW w:w="40" w:type="dxa"/>
            <w:vAlign w:val="bottom"/>
            <w:tcBorders>
              <w:bottom w:val="single" w:sz="8" w:color="auto"/>
            </w:tcBorders>
            <w:shd w:val="clear" w:color="auto" w:fill="E7F2F9"/>
          </w:tcPr>
          <w:p>
            <w:pPr>
              <w:spacing w:after="0"/>
              <w:rPr>
                <w:sz w:val="19"/>
                <w:szCs w:val="19"/>
                <w:color w:val="auto"/>
              </w:rPr>
            </w:pPr>
          </w:p>
        </w:tc>
        <w:tc>
          <w:tcPr>
            <w:tcW w:w="80" w:type="dxa"/>
            <w:vAlign w:val="bottom"/>
            <w:tcBorders>
              <w:bottom w:val="single" w:sz="8" w:color="E7F2F9"/>
            </w:tcBorders>
            <w:shd w:val="clear" w:color="auto" w:fill="E7F2F9"/>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(54)</w:t>
            </w:r>
          </w:p>
        </w:tc>
        <w:tc>
          <w:tcPr>
            <w:tcW w:w="100" w:type="dxa"/>
            <w:vAlign w:val="bottom"/>
            <w:tcBorders>
              <w:bottom w:val="single" w:sz="8" w:color="E7F2F9"/>
            </w:tcBorders>
            <w:shd w:val="clear" w:color="auto" w:fill="E7F2F9"/>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259,932</w:t>
            </w:r>
          </w:p>
        </w:tc>
        <w:tc>
          <w:tcPr>
            <w:tcW w:w="0" w:type="dxa"/>
            <w:vAlign w:val="bottom"/>
          </w:tcPr>
          <w:p>
            <w:pPr>
              <w:spacing w:after="0"/>
              <w:rPr>
                <w:sz w:val="1"/>
                <w:szCs w:val="1"/>
                <w:color w:val="auto"/>
              </w:rPr>
            </w:pPr>
          </w:p>
        </w:tc>
      </w:tr>
      <w:tr>
        <w:trPr>
          <w:trHeight w:val="266"/>
        </w:trPr>
        <w:tc>
          <w:tcPr>
            <w:tcW w:w="5040" w:type="dxa"/>
            <w:vAlign w:val="bottom"/>
            <w:shd w:val="clear" w:color="auto" w:fill="E7F2F9"/>
          </w:tcPr>
          <w:p>
            <w:pPr>
              <w:ind w:left="480"/>
              <w:spacing w:after="0"/>
              <w:rPr>
                <w:sz w:val="20"/>
                <w:szCs w:val="20"/>
                <w:color w:val="auto"/>
              </w:rPr>
            </w:pPr>
            <w:r>
              <w:rPr>
                <w:rFonts w:ascii="Arial" w:cs="Arial" w:eastAsia="Arial" w:hAnsi="Arial"/>
                <w:sz w:val="16"/>
                <w:szCs w:val="16"/>
                <w:color w:val="1383C6"/>
              </w:rPr>
              <w:t>Total cash, cash equivalents and investments</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314,468</w:t>
            </w:r>
          </w:p>
        </w:tc>
        <w:tc>
          <w:tcPr>
            <w:tcW w:w="100" w:type="dxa"/>
            <w:vAlign w:val="bottom"/>
            <w:shd w:val="clear" w:color="auto" w:fill="E7F2F9"/>
          </w:tcPr>
          <w:p>
            <w:pPr>
              <w:spacing w:after="0"/>
              <w:rPr>
                <w:sz w:val="23"/>
                <w:szCs w:val="23"/>
                <w:color w:val="auto"/>
              </w:rPr>
            </w:pPr>
          </w:p>
        </w:tc>
        <w:tc>
          <w:tcPr>
            <w:tcW w:w="10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321</w:t>
            </w:r>
          </w:p>
        </w:tc>
        <w:tc>
          <w:tcPr>
            <w:tcW w:w="40" w:type="dxa"/>
            <w:vAlign w:val="bottom"/>
            <w:shd w:val="clear" w:color="auto" w:fill="E7F2F9"/>
          </w:tcPr>
          <w:p>
            <w:pPr>
              <w:spacing w:after="0"/>
              <w:rPr>
                <w:sz w:val="23"/>
                <w:szCs w:val="23"/>
                <w:color w:val="auto"/>
              </w:rPr>
            </w:pPr>
          </w:p>
        </w:tc>
        <w:tc>
          <w:tcPr>
            <w:tcW w:w="80" w:type="dxa"/>
            <w:vAlign w:val="bottom"/>
            <w:shd w:val="clear" w:color="auto" w:fill="E7F2F9"/>
          </w:tcPr>
          <w:p>
            <w:pPr>
              <w:spacing w:after="0"/>
              <w:rPr>
                <w:sz w:val="23"/>
                <w:szCs w:val="23"/>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(54)</w:t>
            </w:r>
          </w:p>
        </w:tc>
        <w:tc>
          <w:tcPr>
            <w:tcW w:w="220" w:type="dxa"/>
            <w:vAlign w:val="bottom"/>
            <w:gridSpan w:val="2"/>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314,735</w:t>
            </w:r>
          </w:p>
        </w:tc>
        <w:tc>
          <w:tcPr>
            <w:tcW w:w="0" w:type="dxa"/>
            <w:vAlign w:val="bottom"/>
          </w:tcPr>
          <w:p>
            <w:pPr>
              <w:spacing w:after="0"/>
              <w:rPr>
                <w:sz w:val="1"/>
                <w:szCs w:val="1"/>
                <w:color w:val="auto"/>
              </w:rPr>
            </w:pPr>
          </w:p>
        </w:tc>
      </w:tr>
      <w:tr>
        <w:trPr>
          <w:trHeight w:val="500"/>
        </w:trPr>
        <w:tc>
          <w:tcPr>
            <w:tcW w:w="5040" w:type="dxa"/>
            <w:vAlign w:val="bottom"/>
            <w:tcBorders>
              <w:top w:val="single" w:sz="8" w:color="E7F2F9"/>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Short-term restricted cash</w:t>
            </w: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w:t>
            </w:r>
          </w:p>
        </w:tc>
        <w:tc>
          <w:tcPr>
            <w:tcW w:w="100" w:type="dxa"/>
            <w:vAlign w:val="bottom"/>
            <w:tcBorders>
              <w:top w:val="single" w:sz="8" w:color="E7F2F9"/>
              <w:bottom w:val="single" w:sz="8" w:color="E7F2F9"/>
            </w:tcBorders>
            <w:shd w:val="clear" w:color="auto" w:fill="E7F2F9"/>
          </w:tcPr>
          <w:p>
            <w:pPr>
              <w:spacing w:after="0"/>
              <w:rPr>
                <w:sz w:val="24"/>
                <w:szCs w:val="24"/>
                <w:color w:val="auto"/>
              </w:rPr>
            </w:pPr>
          </w:p>
        </w:tc>
        <w:tc>
          <w:tcPr>
            <w:tcW w:w="10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4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40" w:type="dxa"/>
            <w:vAlign w:val="bottom"/>
            <w:tcBorders>
              <w:top w:val="single" w:sz="8" w:color="auto"/>
              <w:bottom w:val="single" w:sz="8" w:color="auto"/>
            </w:tcBorders>
            <w:shd w:val="clear" w:color="auto" w:fill="E7F2F9"/>
          </w:tcPr>
          <w:p>
            <w:pPr>
              <w:spacing w:after="0"/>
              <w:rPr>
                <w:sz w:val="24"/>
                <w:szCs w:val="24"/>
                <w:color w:val="auto"/>
              </w:rPr>
            </w:pPr>
          </w:p>
        </w:tc>
        <w:tc>
          <w:tcPr>
            <w:tcW w:w="80" w:type="dxa"/>
            <w:vAlign w:val="bottom"/>
            <w:tcBorders>
              <w:top w:val="single" w:sz="8" w:color="E7F2F9"/>
              <w:bottom w:val="single" w:sz="8" w:color="E7F2F9"/>
            </w:tcBorders>
            <w:shd w:val="clear" w:color="auto" w:fill="E7F2F9"/>
          </w:tcPr>
          <w:p>
            <w:pPr>
              <w:spacing w:after="0"/>
              <w:rPr>
                <w:sz w:val="24"/>
                <w:szCs w:val="24"/>
                <w:color w:val="auto"/>
              </w:rPr>
            </w:pP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Borders>
              <w:top w:val="single" w:sz="8" w:color="E7F2F9"/>
              <w:bottom w:val="single" w:sz="8" w:color="E7F2F9"/>
            </w:tcBorders>
            <w:shd w:val="clear" w:color="auto" w:fill="E7F2F9"/>
          </w:tcPr>
          <w:p>
            <w:pPr>
              <w:spacing w:after="0"/>
              <w:rPr>
                <w:sz w:val="24"/>
                <w:szCs w:val="24"/>
                <w:color w:val="auto"/>
              </w:rPr>
            </w:pP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w:t>
            </w:r>
          </w:p>
        </w:tc>
        <w:tc>
          <w:tcPr>
            <w:tcW w:w="0" w:type="dxa"/>
            <w:vAlign w:val="bottom"/>
          </w:tcPr>
          <w:p>
            <w:pPr>
              <w:spacing w:after="0"/>
              <w:rPr>
                <w:sz w:val="1"/>
                <w:szCs w:val="1"/>
                <w:color w:val="auto"/>
              </w:rPr>
            </w:pPr>
          </w:p>
        </w:tc>
      </w:tr>
      <w:tr>
        <w:trPr>
          <w:trHeight w:val="259"/>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Long-term restricted cash</w:t>
            </w: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1,532</w:t>
            </w:r>
          </w:p>
        </w:tc>
        <w:tc>
          <w:tcPr>
            <w:tcW w:w="100" w:type="dxa"/>
            <w:vAlign w:val="bottom"/>
            <w:tcBorders>
              <w:bottom w:val="single" w:sz="8" w:color="E7F2F9"/>
            </w:tcBorders>
            <w:shd w:val="clear" w:color="auto" w:fill="E7F2F9"/>
          </w:tcPr>
          <w:p>
            <w:pPr>
              <w:spacing w:after="0"/>
              <w:rPr>
                <w:sz w:val="22"/>
                <w:szCs w:val="22"/>
                <w:color w:val="auto"/>
              </w:rPr>
            </w:pPr>
          </w:p>
        </w:tc>
        <w:tc>
          <w:tcPr>
            <w:tcW w:w="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40" w:type="dxa"/>
            <w:vAlign w:val="bottom"/>
            <w:tcBorders>
              <w:bottom w:val="single" w:sz="8" w:color="auto"/>
            </w:tcBorders>
            <w:shd w:val="clear" w:color="auto" w:fill="E7F2F9"/>
          </w:tcPr>
          <w:p>
            <w:pPr>
              <w:spacing w:after="0"/>
              <w:rPr>
                <w:sz w:val="22"/>
                <w:szCs w:val="22"/>
                <w:color w:val="auto"/>
              </w:rPr>
            </w:pPr>
          </w:p>
        </w:tc>
        <w:tc>
          <w:tcPr>
            <w:tcW w:w="80" w:type="dxa"/>
            <w:vAlign w:val="bottom"/>
            <w:tcBorders>
              <w:bottom w:val="single" w:sz="8" w:color="E7F2F9"/>
            </w:tcBorders>
            <w:shd w:val="clear" w:color="auto" w:fill="E7F2F9"/>
          </w:tcPr>
          <w:p>
            <w:pPr>
              <w:spacing w:after="0"/>
              <w:rPr>
                <w:sz w:val="22"/>
                <w:szCs w:val="22"/>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Borders>
              <w:bottom w:val="single" w:sz="8" w:color="E7F2F9"/>
            </w:tcBorders>
            <w:shd w:val="clear" w:color="auto" w:fill="E7F2F9"/>
          </w:tcPr>
          <w:p>
            <w:pPr>
              <w:spacing w:after="0"/>
              <w:rPr>
                <w:sz w:val="22"/>
                <w:szCs w:val="22"/>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1,532</w:t>
            </w:r>
          </w:p>
        </w:tc>
        <w:tc>
          <w:tcPr>
            <w:tcW w:w="0" w:type="dxa"/>
            <w:vAlign w:val="bottom"/>
          </w:tcPr>
          <w:p>
            <w:pPr>
              <w:spacing w:after="0"/>
              <w:rPr>
                <w:sz w:val="1"/>
                <w:szCs w:val="1"/>
                <w:color w:val="auto"/>
              </w:rPr>
            </w:pPr>
          </w:p>
        </w:tc>
      </w:tr>
      <w:tr>
        <w:trPr>
          <w:trHeight w:val="20"/>
        </w:trPr>
        <w:tc>
          <w:tcPr>
            <w:tcW w:w="5040" w:type="dxa"/>
            <w:vAlign w:val="bottom"/>
            <w:tcBorders>
              <w:top w:val="single" w:sz="8" w:color="E7F2F9"/>
            </w:tcBorders>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60" w:type="dxa"/>
            <w:vAlign w:val="bottom"/>
            <w:tcBorders>
              <w:top w:val="single" w:sz="8" w:color="E7F2F9"/>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E7F2F9"/>
              <w:bottom w:val="single" w:sz="8" w:color="auto"/>
            </w:tcBorders>
          </w:tcPr>
          <w:p>
            <w:pPr>
              <w:spacing w:after="0" w:line="20" w:lineRule="exact"/>
              <w:rPr>
                <w:sz w:val="1"/>
                <w:szCs w:val="1"/>
                <w:color w:val="auto"/>
              </w:rPr>
            </w:pPr>
          </w:p>
        </w:tc>
        <w:tc>
          <w:tcPr>
            <w:tcW w:w="1380" w:type="dxa"/>
            <w:vAlign w:val="bottom"/>
            <w:tcBorders>
              <w:top w:val="single" w:sz="8" w:color="E7F2F9"/>
              <w:bottom w:val="single" w:sz="8" w:color="auto"/>
            </w:tcBorders>
            <w:gridSpan w:val="2"/>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480" w:type="dxa"/>
            <w:vAlign w:val="bottom"/>
            <w:tcBorders>
              <w:top w:val="single" w:sz="8" w:color="E7F2F9"/>
              <w:bottom w:val="single" w:sz="8" w:color="auto"/>
            </w:tcBorders>
            <w:gridSpan w:val="2"/>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60" w:type="dxa"/>
            <w:vAlign w:val="bottom"/>
            <w:tcBorders>
              <w:top w:val="single" w:sz="8" w:color="E7F2F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6"/>
                <w:szCs w:val="16"/>
                <w:b w:val="1"/>
                <w:bCs w:val="1"/>
                <w:color w:val="auto"/>
              </w:rPr>
              <w:t>As of 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center"/>
              <w:ind w:right="42"/>
              <w:spacing w:after="0"/>
              <w:rPr>
                <w:sz w:val="20"/>
                <w:szCs w:val="20"/>
                <w:color w:val="auto"/>
              </w:rPr>
            </w:pPr>
            <w:r>
              <w:rPr>
                <w:rFonts w:ascii="Arial" w:cs="Arial" w:eastAsia="Arial" w:hAnsi="Arial"/>
                <w:sz w:val="16"/>
                <w:szCs w:val="16"/>
                <w:color w:val="auto"/>
                <w:w w:val="99"/>
              </w:rPr>
              <w:t>Amortized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ind w:right="2"/>
              <w:spacing w:after="0"/>
              <w:rPr>
                <w:sz w:val="20"/>
                <w:szCs w:val="20"/>
                <w:color w:val="auto"/>
              </w:rPr>
            </w:pPr>
            <w:r>
              <w:rPr>
                <w:rFonts w:ascii="Arial" w:cs="Arial" w:eastAsia="Arial" w:hAnsi="Arial"/>
                <w:sz w:val="16"/>
                <w:szCs w:val="16"/>
                <w:color w:val="auto"/>
                <w:w w:val="98"/>
              </w:rPr>
              <w:t>Gross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22"/>
              <w:spacing w:after="0"/>
              <w:rPr>
                <w:sz w:val="20"/>
                <w:szCs w:val="20"/>
                <w:color w:val="auto"/>
              </w:rPr>
            </w:pPr>
            <w:r>
              <w:rPr>
                <w:rFonts w:ascii="Arial" w:cs="Arial" w:eastAsia="Arial" w:hAnsi="Arial"/>
                <w:sz w:val="16"/>
                <w:szCs w:val="16"/>
                <w:color w:val="auto"/>
                <w:w w:val="98"/>
              </w:rPr>
              <w:t>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center"/>
              <w:ind w:right="42"/>
              <w:spacing w:after="0"/>
              <w:rPr>
                <w:sz w:val="20"/>
                <w:szCs w:val="20"/>
                <w:color w:val="auto"/>
              </w:rPr>
            </w:pPr>
            <w:r>
              <w:rPr>
                <w:rFonts w:ascii="Arial" w:cs="Arial" w:eastAsia="Arial" w:hAnsi="Arial"/>
                <w:sz w:val="16"/>
                <w:szCs w:val="16"/>
                <w:color w:val="auto"/>
              </w:rPr>
              <w:t>Fair</w:t>
            </w: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82" w:lineRule="exact"/>
              <w:rPr>
                <w:sz w:val="20"/>
                <w:szCs w:val="20"/>
                <w:color w:val="auto"/>
              </w:rPr>
            </w:pPr>
            <w:r>
              <w:rPr>
                <w:rFonts w:ascii="Arial" w:cs="Arial" w:eastAsia="Arial" w:hAnsi="Arial"/>
                <w:sz w:val="16"/>
                <w:szCs w:val="16"/>
                <w:color w:val="auto"/>
                <w:w w:val="97"/>
              </w:rPr>
              <w:t>unrealized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42"/>
              <w:spacing w:after="0" w:line="182" w:lineRule="exact"/>
              <w:rPr>
                <w:sz w:val="20"/>
                <w:szCs w:val="20"/>
                <w:color w:val="auto"/>
              </w:rPr>
            </w:pPr>
            <w:r>
              <w:rPr>
                <w:rFonts w:ascii="Arial" w:cs="Arial" w:eastAsia="Arial" w:hAnsi="Arial"/>
                <w:sz w:val="16"/>
                <w:szCs w:val="16"/>
                <w:color w:val="auto"/>
                <w:w w:val="97"/>
              </w:rPr>
              <w:t>unrealized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w w:val="97"/>
              </w:rPr>
              <w:t>Cost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
              <w:spacing w:after="0"/>
              <w:rPr>
                <w:sz w:val="20"/>
                <w:szCs w:val="20"/>
                <w:color w:val="auto"/>
              </w:rPr>
            </w:pPr>
            <w:r>
              <w:rPr>
                <w:rFonts w:ascii="Arial" w:cs="Arial" w:eastAsia="Arial" w:hAnsi="Arial"/>
                <w:sz w:val="16"/>
                <w:szCs w:val="16"/>
                <w:color w:val="auto"/>
                <w:w w:val="99"/>
              </w:rPr>
              <w:t>gains</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w w:val="96"/>
              </w:rPr>
              <w:t>losses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w w:val="97"/>
              </w:rPr>
              <w:t>Value</w:t>
            </w: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55,370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55,370</w:t>
            </w: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46,905</w:t>
            </w:r>
          </w:p>
        </w:tc>
        <w:tc>
          <w:tcPr>
            <w:tcW w:w="0" w:type="dxa"/>
            <w:vAlign w:val="bottom"/>
          </w:tcPr>
          <w:p>
            <w:pPr>
              <w:spacing w:after="0"/>
              <w:rPr>
                <w:sz w:val="1"/>
                <w:szCs w:val="1"/>
                <w:color w:val="auto"/>
              </w:rPr>
            </w:pPr>
          </w:p>
        </w:tc>
      </w:tr>
      <w:tr>
        <w:trPr>
          <w:trHeight w:val="242"/>
        </w:trPr>
        <w:tc>
          <w:tcPr>
            <w:tcW w:w="5040" w:type="dxa"/>
            <w:vAlign w:val="bottom"/>
          </w:tcPr>
          <w:p>
            <w:pPr>
              <w:ind w:left="20"/>
              <w:spacing w:after="0"/>
              <w:rPr>
                <w:sz w:val="20"/>
                <w:szCs w:val="20"/>
                <w:color w:val="auto"/>
              </w:rPr>
            </w:pPr>
            <w:r>
              <w:rPr>
                <w:rFonts w:ascii="Arial" w:cs="Arial" w:eastAsia="Arial" w:hAnsi="Arial"/>
                <w:sz w:val="16"/>
                <w:szCs w:val="16"/>
                <w:color w:val="auto"/>
              </w:rPr>
              <w:t>U.S. government &amp; agency securities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287,393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287,656</w:t>
            </w:r>
          </w:p>
        </w:tc>
        <w:tc>
          <w:tcPr>
            <w:tcW w:w="0" w:type="dxa"/>
            <w:vAlign w:val="bottom"/>
          </w:tcPr>
          <w:p>
            <w:pPr>
              <w:spacing w:after="0"/>
              <w:rPr>
                <w:sz w:val="1"/>
                <w:szCs w:val="1"/>
                <w:color w:val="auto"/>
              </w:rPr>
            </w:pPr>
          </w:p>
        </w:tc>
      </w:tr>
      <w:tr>
        <w:trPr>
          <w:trHeight w:val="227"/>
        </w:trPr>
        <w:tc>
          <w:tcPr>
            <w:tcW w:w="5040" w:type="dxa"/>
            <w:vAlign w:val="bottom"/>
          </w:tcPr>
          <w:p>
            <w:pPr>
              <w:ind w:left="260"/>
              <w:spacing w:after="0"/>
              <w:rPr>
                <w:sz w:val="20"/>
                <w:szCs w:val="20"/>
                <w:color w:val="auto"/>
              </w:rPr>
            </w:pPr>
            <w:r>
              <w:rPr>
                <w:rFonts w:ascii="Arial" w:cs="Arial" w:eastAsia="Arial" w:hAnsi="Arial"/>
                <w:sz w:val="16"/>
                <w:szCs w:val="16"/>
                <w:color w:val="auto"/>
              </w:rPr>
              <w:t>Total investments</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334,139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334,561</w:t>
            </w:r>
          </w:p>
        </w:tc>
        <w:tc>
          <w:tcPr>
            <w:tcW w:w="0" w:type="dxa"/>
            <w:vAlign w:val="bottom"/>
          </w:tcPr>
          <w:p>
            <w:pPr>
              <w:spacing w:after="0"/>
              <w:rPr>
                <w:sz w:val="1"/>
                <w:szCs w:val="1"/>
                <w:color w:val="auto"/>
              </w:rPr>
            </w:pPr>
          </w:p>
        </w:tc>
      </w:tr>
      <w:tr>
        <w:trPr>
          <w:trHeight w:val="234"/>
        </w:trPr>
        <w:tc>
          <w:tcPr>
            <w:tcW w:w="5040" w:type="dxa"/>
            <w:vAlign w:val="bottom"/>
          </w:tcPr>
          <w:p>
            <w:pPr>
              <w:ind w:left="480"/>
              <w:spacing w:after="0"/>
              <w:rPr>
                <w:sz w:val="20"/>
                <w:szCs w:val="20"/>
                <w:color w:val="auto"/>
              </w:rPr>
            </w:pPr>
            <w:r>
              <w:rPr>
                <w:rFonts w:ascii="Arial" w:cs="Arial" w:eastAsia="Arial" w:hAnsi="Arial"/>
                <w:sz w:val="16"/>
                <w:szCs w:val="16"/>
                <w:color w:val="auto"/>
              </w:rPr>
              <w:t>Total cash, cash equivalents and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389,509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389,931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40" w:type="dxa"/>
            <w:vAlign w:val="bottom"/>
          </w:tcPr>
          <w:p>
            <w:pPr>
              <w:ind w:left="20"/>
              <w:spacing w:after="0"/>
              <w:rPr>
                <w:sz w:val="20"/>
                <w:szCs w:val="20"/>
                <w:color w:val="auto"/>
              </w:rPr>
            </w:pPr>
            <w:r>
              <w:rPr>
                <w:rFonts w:ascii="Arial" w:cs="Arial" w:eastAsia="Arial" w:hAnsi="Arial"/>
                <w:sz w:val="16"/>
                <w:szCs w:val="16"/>
                <w:color w:val="auto"/>
              </w:rPr>
              <w:t>Long-term restricted cash</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1,532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37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40" w:type="dxa"/>
            <w:vAlign w:val="bottom"/>
          </w:tcPr>
          <w:p>
            <w:pPr>
              <w:jc w:val="right"/>
              <w:spacing w:after="0"/>
              <w:rPr>
                <w:sz w:val="20"/>
                <w:szCs w:val="20"/>
                <w:color w:val="auto"/>
              </w:rPr>
            </w:pPr>
            <w:r>
              <w:rPr>
                <w:rFonts w:ascii="Arial" w:cs="Arial" w:eastAsia="Arial" w:hAnsi="Arial"/>
                <w:sz w:val="17"/>
                <w:szCs w:val="17"/>
                <w:color w:val="DF1995"/>
              </w:rPr>
              <w:t>11</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June 30, 2025:</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shd w:val="clear" w:color="auto" w:fill="E7F2F9"/>
          </w:tcPr>
          <w:p>
            <w:pPr>
              <w:spacing w:after="0"/>
              <w:rPr>
                <w:sz w:val="20"/>
                <w:szCs w:val="20"/>
                <w:color w:val="auto"/>
              </w:rPr>
            </w:pPr>
          </w:p>
        </w:tc>
        <w:tc>
          <w:tcPr>
            <w:tcW w:w="1260" w:type="dxa"/>
            <w:vAlign w:val="bottom"/>
            <w:tcBorders>
              <w:bottom w:val="single" w:sz="8" w:color="auto"/>
            </w:tcBorders>
            <w:shd w:val="clear" w:color="auto" w:fill="E7F2F9"/>
          </w:tcPr>
          <w:p>
            <w:pPr>
              <w:jc w:val="right"/>
              <w:ind w:right="302"/>
              <w:spacing w:after="0"/>
              <w:rPr>
                <w:sz w:val="20"/>
                <w:szCs w:val="20"/>
                <w:color w:val="auto"/>
              </w:rPr>
            </w:pPr>
            <w:r>
              <w:rPr>
                <w:rFonts w:ascii="Arial" w:cs="Arial" w:eastAsia="Arial" w:hAnsi="Arial"/>
                <w:sz w:val="16"/>
                <w:szCs w:val="16"/>
                <w:b w:val="1"/>
                <w:bCs w:val="1"/>
                <w:color w:val="1383C6"/>
              </w:rPr>
              <w:t>Fair Value</w:t>
            </w:r>
          </w:p>
        </w:tc>
      </w:tr>
      <w:tr>
        <w:trPr>
          <w:trHeight w:val="212"/>
        </w:trPr>
        <w:tc>
          <w:tcPr>
            <w:tcW w:w="9720" w:type="dxa"/>
            <w:vAlign w:val="bottom"/>
          </w:tcPr>
          <w:p>
            <w:pPr>
              <w:spacing w:after="0"/>
              <w:rPr>
                <w:sz w:val="20"/>
                <w:szCs w:val="20"/>
                <w:color w:val="auto"/>
              </w:rPr>
            </w:pPr>
            <w:r>
              <w:rPr>
                <w:rFonts w:ascii="Arial" w:cs="Arial" w:eastAsia="Arial" w:hAnsi="Arial"/>
                <w:sz w:val="16"/>
                <w:szCs w:val="16"/>
                <w:color w:val="auto"/>
              </w:rPr>
              <w:t>Due in one year or less</w:t>
            </w:r>
          </w:p>
        </w:tc>
        <w:tc>
          <w:tcPr>
            <w:tcW w:w="240" w:type="dxa"/>
            <w:vAlign w:val="bottom"/>
            <w:shd w:val="clear" w:color="auto" w:fill="E7F2F9"/>
          </w:tcPr>
          <w:p>
            <w:pPr>
              <w:jc w:val="right"/>
              <w:ind w:right="42"/>
              <w:spacing w:after="0"/>
              <w:rPr>
                <w:sz w:val="20"/>
                <w:szCs w:val="20"/>
                <w:color w:val="auto"/>
              </w:rPr>
            </w:pPr>
            <w:r>
              <w:rPr>
                <w:rFonts w:ascii="Arial" w:cs="Arial" w:eastAsia="Arial" w:hAnsi="Arial"/>
                <w:sz w:val="16"/>
                <w:szCs w:val="16"/>
                <w:color w:val="1383C6"/>
              </w:rPr>
              <w:t>$</w:t>
            </w:r>
          </w:p>
        </w:tc>
        <w:tc>
          <w:tcPr>
            <w:tcW w:w="12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214,595</w:t>
            </w:r>
          </w:p>
        </w:tc>
      </w:tr>
      <w:tr>
        <w:trPr>
          <w:trHeight w:val="242"/>
        </w:trPr>
        <w:tc>
          <w:tcPr>
            <w:tcW w:w="9720" w:type="dxa"/>
            <w:vAlign w:val="bottom"/>
          </w:tcPr>
          <w:p>
            <w:pPr>
              <w:spacing w:after="0"/>
              <w:rPr>
                <w:sz w:val="20"/>
                <w:szCs w:val="20"/>
                <w:color w:val="auto"/>
              </w:rPr>
            </w:pPr>
            <w:r>
              <w:rPr>
                <w:rFonts w:ascii="Arial" w:cs="Arial" w:eastAsia="Arial" w:hAnsi="Arial"/>
                <w:sz w:val="16"/>
                <w:szCs w:val="16"/>
                <w:color w:val="auto"/>
              </w:rPr>
              <w:t>Due after one year through five years</w:t>
            </w:r>
          </w:p>
        </w:tc>
        <w:tc>
          <w:tcPr>
            <w:tcW w:w="240" w:type="dxa"/>
            <w:vAlign w:val="bottom"/>
            <w:tcBorders>
              <w:bottom w:val="single" w:sz="8" w:color="auto"/>
            </w:tcBorders>
            <w:shd w:val="clear" w:color="auto" w:fill="E7F2F9"/>
          </w:tcPr>
          <w:p>
            <w:pPr>
              <w:spacing w:after="0"/>
              <w:rPr>
                <w:sz w:val="21"/>
                <w:szCs w:val="21"/>
                <w:color w:val="auto"/>
              </w:rPr>
            </w:pPr>
          </w:p>
        </w:tc>
        <w:tc>
          <w:tcPr>
            <w:tcW w:w="12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48,816</w:t>
            </w:r>
          </w:p>
        </w:tc>
      </w:tr>
      <w:tr>
        <w:trPr>
          <w:trHeight w:val="252"/>
        </w:trPr>
        <w:tc>
          <w:tcPr>
            <w:tcW w:w="9720" w:type="dxa"/>
            <w:vAlign w:val="bottom"/>
          </w:tcPr>
          <w:p>
            <w:pPr>
              <w:ind w:left="3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E7F2F9"/>
          </w:tcPr>
          <w:p>
            <w:pPr>
              <w:jc w:val="right"/>
              <w:ind w:right="42"/>
              <w:spacing w:after="0"/>
              <w:rPr>
                <w:sz w:val="20"/>
                <w:szCs w:val="20"/>
                <w:color w:val="auto"/>
              </w:rPr>
            </w:pPr>
            <w:r>
              <w:rPr>
                <w:rFonts w:ascii="Arial" w:cs="Arial" w:eastAsia="Arial" w:hAnsi="Arial"/>
                <w:sz w:val="16"/>
                <w:szCs w:val="16"/>
                <w:color w:val="1383C6"/>
              </w:rPr>
              <w:t>$</w:t>
            </w:r>
          </w:p>
        </w:tc>
        <w:tc>
          <w:tcPr>
            <w:tcW w:w="12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263,411</w:t>
            </w:r>
          </w:p>
        </w:tc>
      </w:tr>
      <w:tr>
        <w:trPr>
          <w:trHeight w:val="20"/>
        </w:trPr>
        <w:tc>
          <w:tcPr>
            <w:tcW w:w="9720" w:type="dxa"/>
            <w:vAlign w:val="bottom"/>
          </w:tcPr>
          <w:p>
            <w:pPr>
              <w:spacing w:after="0" w:line="20" w:lineRule="exact"/>
              <w:rPr>
                <w:sz w:val="1"/>
                <w:szCs w:val="1"/>
                <w:color w:val="auto"/>
              </w:rPr>
            </w:pPr>
          </w:p>
        </w:tc>
        <w:tc>
          <w:tcPr>
            <w:tcW w:w="240" w:type="dxa"/>
            <w:vAlign w:val="bottom"/>
            <w:tcBorders>
              <w:top w:val="single" w:sz="8" w:color="E7F2F9"/>
              <w:bottom w:val="single" w:sz="8" w:color="auto"/>
            </w:tcBorders>
          </w:tcPr>
          <w:p>
            <w:pPr>
              <w:spacing w:after="0" w:line="20" w:lineRule="exact"/>
              <w:rPr>
                <w:sz w:val="1"/>
                <w:szCs w:val="1"/>
                <w:color w:val="auto"/>
              </w:rPr>
            </w:pPr>
          </w:p>
        </w:tc>
        <w:tc>
          <w:tcPr>
            <w:tcW w:w="1260" w:type="dxa"/>
            <w:vAlign w:val="bottom"/>
            <w:tcBorders>
              <w:top w:val="single" w:sz="8" w:color="E7F2F9"/>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Investment income included in other income, net on the condensed consolidated statements of operations and comprehensive loss was $3.4</w:t>
      </w:r>
    </w:p>
    <w:p>
      <w:pPr>
        <w:spacing w:after="0" w:line="5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million and $7.3 million for the three and six months ended June 30, 2025, respectively, and $6.5 million and $13.8 million for the three and six months ended June 30,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7137400" cy="181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3. BALANCE SHEET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inventory, net, consisted of the following components: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80" w:type="dxa"/>
            <w:vAlign w:val="bottom"/>
            <w:shd w:val="clear" w:color="auto" w:fill="E7F2F9"/>
          </w:tcPr>
          <w:p>
            <w:pPr>
              <w:spacing w:after="0"/>
              <w:rPr>
                <w:sz w:val="17"/>
                <w:szCs w:val="17"/>
                <w:color w:val="auto"/>
              </w:rPr>
            </w:pPr>
          </w:p>
        </w:tc>
        <w:tc>
          <w:tcPr>
            <w:tcW w:w="1220" w:type="dxa"/>
            <w:vAlign w:val="bottom"/>
            <w:shd w:val="clear" w:color="auto" w:fill="E7F2F9"/>
          </w:tcPr>
          <w:p>
            <w:pPr>
              <w:jc w:val="center"/>
              <w:ind w:right="202"/>
              <w:spacing w:after="0"/>
              <w:rPr>
                <w:sz w:val="20"/>
                <w:szCs w:val="20"/>
                <w:color w:val="auto"/>
              </w:rPr>
            </w:pPr>
            <w:r>
              <w:rPr>
                <w:rFonts w:ascii="Arial" w:cs="Arial" w:eastAsia="Arial" w:hAnsi="Arial"/>
                <w:sz w:val="16"/>
                <w:szCs w:val="16"/>
                <w:b w:val="1"/>
                <w:bCs w:val="1"/>
                <w:color w:val="1383C6"/>
                <w:w w:val="96"/>
              </w:rPr>
              <w:t>June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December 31,</w:t>
            </w:r>
          </w:p>
        </w:tc>
      </w:tr>
      <w:tr>
        <w:trPr>
          <w:trHeight w:val="215"/>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shd w:val="clear" w:color="auto" w:fill="E7F2F9"/>
          </w:tcPr>
          <w:p>
            <w:pPr>
              <w:spacing w:after="0"/>
              <w:rPr>
                <w:sz w:val="18"/>
                <w:szCs w:val="18"/>
                <w:color w:val="auto"/>
              </w:rPr>
            </w:pPr>
          </w:p>
        </w:tc>
        <w:tc>
          <w:tcPr>
            <w:tcW w:w="1220" w:type="dxa"/>
            <w:vAlign w:val="bottom"/>
            <w:tcBorders>
              <w:bottom w:val="single" w:sz="8" w:color="auto"/>
            </w:tcBorders>
            <w:shd w:val="clear" w:color="auto" w:fill="E7F2F9"/>
          </w:tcPr>
          <w:p>
            <w:pPr>
              <w:jc w:val="right"/>
              <w:ind w:right="502"/>
              <w:spacing w:after="0"/>
              <w:rPr>
                <w:sz w:val="20"/>
                <w:szCs w:val="20"/>
                <w:color w:val="auto"/>
              </w:rPr>
            </w:pPr>
            <w:r>
              <w:rPr>
                <w:rFonts w:ascii="Arial" w:cs="Arial" w:eastAsia="Arial" w:hAnsi="Arial"/>
                <w:sz w:val="16"/>
                <w:szCs w:val="16"/>
                <w:b w:val="1"/>
                <w:bCs w:val="1"/>
                <w:color w:val="1383C6"/>
              </w:rPr>
              <w:t>2025</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19"/>
        </w:trPr>
        <w:tc>
          <w:tcPr>
            <w:tcW w:w="8140" w:type="dxa"/>
            <w:vAlign w:val="bottom"/>
          </w:tcPr>
          <w:p>
            <w:pPr>
              <w:spacing w:after="0"/>
              <w:rPr>
                <w:sz w:val="20"/>
                <w:szCs w:val="20"/>
                <w:color w:val="auto"/>
              </w:rPr>
            </w:pPr>
            <w:r>
              <w:rPr>
                <w:rFonts w:ascii="Arial" w:cs="Arial" w:eastAsia="Arial" w:hAnsi="Arial"/>
                <w:sz w:val="16"/>
                <w:szCs w:val="16"/>
                <w:color w:val="auto"/>
              </w:rPr>
              <w:t>Purchased materials</w:t>
            </w:r>
          </w:p>
        </w:tc>
        <w:tc>
          <w:tcPr>
            <w:tcW w:w="28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center"/>
              <w:ind w:left="522"/>
              <w:spacing w:after="0"/>
              <w:rPr>
                <w:sz w:val="20"/>
                <w:szCs w:val="20"/>
                <w:color w:val="auto"/>
              </w:rPr>
            </w:pPr>
            <w:r>
              <w:rPr>
                <w:rFonts w:ascii="Arial" w:cs="Arial" w:eastAsia="Arial" w:hAnsi="Arial"/>
                <w:sz w:val="16"/>
                <w:szCs w:val="16"/>
                <w:color w:val="1383C6"/>
                <w:w w:val="93"/>
              </w:rPr>
              <w:t>45,966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642"/>
              <w:spacing w:after="0"/>
              <w:rPr>
                <w:sz w:val="20"/>
                <w:szCs w:val="20"/>
                <w:color w:val="auto"/>
              </w:rPr>
            </w:pPr>
            <w:r>
              <w:rPr>
                <w:rFonts w:ascii="Arial" w:cs="Arial" w:eastAsia="Arial" w:hAnsi="Arial"/>
                <w:sz w:val="16"/>
                <w:szCs w:val="16"/>
                <w:color w:val="auto"/>
                <w:w w:val="98"/>
              </w:rPr>
              <w:t>45,270</w:t>
            </w:r>
          </w:p>
        </w:tc>
      </w:tr>
      <w:tr>
        <w:trPr>
          <w:trHeight w:val="234"/>
        </w:trPr>
        <w:tc>
          <w:tcPr>
            <w:tcW w:w="8140" w:type="dxa"/>
            <w:vAlign w:val="bottom"/>
          </w:tcPr>
          <w:p>
            <w:pPr>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E7F2F9"/>
          </w:tcPr>
          <w:p>
            <w:pPr>
              <w:spacing w:after="0"/>
              <w:rPr>
                <w:sz w:val="20"/>
                <w:szCs w:val="20"/>
                <w:color w:val="auto"/>
              </w:rPr>
            </w:pPr>
          </w:p>
        </w:tc>
        <w:tc>
          <w:tcPr>
            <w:tcW w:w="1220" w:type="dxa"/>
            <w:vAlign w:val="bottom"/>
            <w:shd w:val="clear" w:color="auto" w:fill="E7F2F9"/>
          </w:tcPr>
          <w:p>
            <w:pPr>
              <w:jc w:val="center"/>
              <w:ind w:left="522"/>
              <w:spacing w:after="0"/>
              <w:rPr>
                <w:sz w:val="20"/>
                <w:szCs w:val="20"/>
                <w:color w:val="auto"/>
              </w:rPr>
            </w:pPr>
            <w:r>
              <w:rPr>
                <w:rFonts w:ascii="Arial" w:cs="Arial" w:eastAsia="Arial" w:hAnsi="Arial"/>
                <w:sz w:val="16"/>
                <w:szCs w:val="16"/>
                <w:color w:val="1383C6"/>
                <w:w w:val="93"/>
              </w:rPr>
              <w:t>26,906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left="642"/>
              <w:spacing w:after="0"/>
              <w:rPr>
                <w:sz w:val="20"/>
                <w:szCs w:val="20"/>
                <w:color w:val="auto"/>
              </w:rPr>
            </w:pPr>
            <w:r>
              <w:rPr>
                <w:rFonts w:ascii="Arial" w:cs="Arial" w:eastAsia="Arial" w:hAnsi="Arial"/>
                <w:sz w:val="16"/>
                <w:szCs w:val="16"/>
                <w:color w:val="auto"/>
                <w:w w:val="98"/>
              </w:rPr>
              <w:t>22,172</w:t>
            </w:r>
          </w:p>
        </w:tc>
      </w:tr>
      <w:tr>
        <w:trPr>
          <w:trHeight w:val="242"/>
        </w:trPr>
        <w:tc>
          <w:tcPr>
            <w:tcW w:w="8140" w:type="dxa"/>
            <w:vAlign w:val="bottom"/>
          </w:tcPr>
          <w:p>
            <w:pPr>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center"/>
              <w:ind w:left="522"/>
              <w:spacing w:after="0"/>
              <w:rPr>
                <w:sz w:val="20"/>
                <w:szCs w:val="20"/>
                <w:color w:val="auto"/>
              </w:rPr>
            </w:pPr>
            <w:r>
              <w:rPr>
                <w:rFonts w:ascii="Arial" w:cs="Arial" w:eastAsia="Arial" w:hAnsi="Arial"/>
                <w:sz w:val="16"/>
                <w:szCs w:val="16"/>
                <w:color w:val="1383C6"/>
                <w:w w:val="93"/>
              </w:rPr>
              <w:t>14,754</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w w:val="98"/>
              </w:rPr>
              <w:t>14,081</w:t>
            </w:r>
          </w:p>
        </w:tc>
      </w:tr>
      <w:tr>
        <w:trPr>
          <w:trHeight w:val="219"/>
        </w:trPr>
        <w:tc>
          <w:tcPr>
            <w:tcW w:w="8140" w:type="dxa"/>
            <w:vAlign w:val="bottom"/>
          </w:tcPr>
          <w:p>
            <w:pPr>
              <w:ind w:left="140"/>
              <w:spacing w:after="0"/>
              <w:rPr>
                <w:sz w:val="20"/>
                <w:szCs w:val="20"/>
                <w:color w:val="auto"/>
              </w:rPr>
            </w:pPr>
            <w:r>
              <w:rPr>
                <w:rFonts w:ascii="Arial" w:cs="Arial" w:eastAsia="Arial" w:hAnsi="Arial"/>
                <w:sz w:val="16"/>
                <w:szCs w:val="16"/>
                <w:color w:val="auto"/>
              </w:rPr>
              <w:t>Inventory, gross</w:t>
            </w:r>
          </w:p>
        </w:tc>
        <w:tc>
          <w:tcPr>
            <w:tcW w:w="280" w:type="dxa"/>
            <w:vAlign w:val="bottom"/>
            <w:shd w:val="clear" w:color="auto" w:fill="E7F2F9"/>
          </w:tcPr>
          <w:p>
            <w:pPr>
              <w:spacing w:after="0"/>
              <w:rPr>
                <w:sz w:val="19"/>
                <w:szCs w:val="19"/>
                <w:color w:val="auto"/>
              </w:rPr>
            </w:pPr>
          </w:p>
        </w:tc>
        <w:tc>
          <w:tcPr>
            <w:tcW w:w="1220" w:type="dxa"/>
            <w:vAlign w:val="bottom"/>
            <w:shd w:val="clear" w:color="auto" w:fill="E7F2F9"/>
          </w:tcPr>
          <w:p>
            <w:pPr>
              <w:jc w:val="center"/>
              <w:ind w:left="522"/>
              <w:spacing w:after="0"/>
              <w:rPr>
                <w:sz w:val="20"/>
                <w:szCs w:val="20"/>
                <w:color w:val="auto"/>
              </w:rPr>
            </w:pPr>
            <w:r>
              <w:rPr>
                <w:rFonts w:ascii="Arial" w:cs="Arial" w:eastAsia="Arial" w:hAnsi="Arial"/>
                <w:sz w:val="16"/>
                <w:szCs w:val="16"/>
                <w:color w:val="1383C6"/>
                <w:w w:val="93"/>
              </w:rPr>
              <w:t>87,626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left="642"/>
              <w:spacing w:after="0"/>
              <w:rPr>
                <w:sz w:val="20"/>
                <w:szCs w:val="20"/>
                <w:color w:val="auto"/>
              </w:rPr>
            </w:pPr>
            <w:r>
              <w:rPr>
                <w:rFonts w:ascii="Arial" w:cs="Arial" w:eastAsia="Arial" w:hAnsi="Arial"/>
                <w:sz w:val="16"/>
                <w:szCs w:val="16"/>
                <w:color w:val="auto"/>
                <w:w w:val="98"/>
              </w:rPr>
              <w:t>81,523</w:t>
            </w:r>
          </w:p>
        </w:tc>
      </w:tr>
      <w:tr>
        <w:trPr>
          <w:trHeight w:val="242"/>
        </w:trPr>
        <w:tc>
          <w:tcPr>
            <w:tcW w:w="8140" w:type="dxa"/>
            <w:vAlign w:val="bottom"/>
          </w:tcPr>
          <w:p>
            <w:pPr>
              <w:ind w:left="20"/>
              <w:spacing w:after="0"/>
              <w:rPr>
                <w:sz w:val="20"/>
                <w:szCs w:val="20"/>
                <w:color w:val="auto"/>
              </w:rPr>
            </w:pPr>
            <w:r>
              <w:rPr>
                <w:rFonts w:ascii="Arial" w:cs="Arial" w:eastAsia="Arial" w:hAnsi="Arial"/>
                <w:sz w:val="16"/>
                <w:szCs w:val="16"/>
                <w:color w:val="auto"/>
              </w:rPr>
              <w:t>Inventory reserve</w:t>
            </w:r>
          </w:p>
        </w:tc>
        <w:tc>
          <w:tcPr>
            <w:tcW w:w="28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center"/>
              <w:ind w:left="502"/>
              <w:spacing w:after="0"/>
              <w:rPr>
                <w:sz w:val="20"/>
                <w:szCs w:val="20"/>
                <w:color w:val="auto"/>
              </w:rPr>
            </w:pPr>
            <w:r>
              <w:rPr>
                <w:rFonts w:ascii="Arial" w:cs="Arial" w:eastAsia="Arial" w:hAnsi="Arial"/>
                <w:sz w:val="16"/>
                <w:szCs w:val="16"/>
                <w:color w:val="1383C6"/>
              </w:rPr>
              <w:t>(33,787)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left="622"/>
              <w:spacing w:after="0"/>
              <w:rPr>
                <w:sz w:val="20"/>
                <w:szCs w:val="20"/>
                <w:color w:val="auto"/>
              </w:rPr>
            </w:pPr>
            <w:r>
              <w:rPr>
                <w:rFonts w:ascii="Arial" w:cs="Arial" w:eastAsia="Arial" w:hAnsi="Arial"/>
                <w:sz w:val="16"/>
                <w:szCs w:val="16"/>
                <w:color w:val="auto"/>
                <w:w w:val="97"/>
              </w:rPr>
              <w:t>(22,768)</w:t>
            </w:r>
          </w:p>
        </w:tc>
      </w:tr>
      <w:tr>
        <w:trPr>
          <w:trHeight w:val="247"/>
        </w:trPr>
        <w:tc>
          <w:tcPr>
            <w:tcW w:w="8140" w:type="dxa"/>
            <w:vAlign w:val="bottom"/>
          </w:tcPr>
          <w:p>
            <w:pPr>
              <w:ind w:left="140"/>
              <w:spacing w:after="0"/>
              <w:rPr>
                <w:sz w:val="20"/>
                <w:szCs w:val="20"/>
                <w:color w:val="auto"/>
              </w:rPr>
            </w:pPr>
            <w:r>
              <w:rPr>
                <w:rFonts w:ascii="Arial" w:cs="Arial" w:eastAsia="Arial" w:hAnsi="Arial"/>
                <w:sz w:val="16"/>
                <w:szCs w:val="16"/>
                <w:color w:val="auto"/>
              </w:rPr>
              <w:t>Inventory, net</w:t>
            </w:r>
          </w:p>
        </w:tc>
        <w:tc>
          <w:tcPr>
            <w:tcW w:w="28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center"/>
              <w:ind w:left="522"/>
              <w:spacing w:after="0"/>
              <w:rPr>
                <w:sz w:val="20"/>
                <w:szCs w:val="20"/>
                <w:color w:val="auto"/>
              </w:rPr>
            </w:pPr>
            <w:r>
              <w:rPr>
                <w:rFonts w:ascii="Arial" w:cs="Arial" w:eastAsia="Arial" w:hAnsi="Arial"/>
                <w:sz w:val="16"/>
                <w:szCs w:val="16"/>
                <w:color w:val="1383C6"/>
                <w:w w:val="93"/>
              </w:rPr>
              <w:t>53,839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642"/>
              <w:spacing w:after="0"/>
              <w:rPr>
                <w:sz w:val="20"/>
                <w:szCs w:val="20"/>
                <w:color w:val="auto"/>
              </w:rPr>
            </w:pPr>
            <w:r>
              <w:rPr>
                <w:rFonts w:ascii="Arial" w:cs="Arial" w:eastAsia="Arial" w:hAnsi="Arial"/>
                <w:sz w:val="16"/>
                <w:szCs w:val="16"/>
                <w:color w:val="auto"/>
                <w:w w:val="98"/>
              </w:rPr>
              <w:t>58,755</w:t>
            </w:r>
          </w:p>
        </w:tc>
      </w:tr>
      <w:tr>
        <w:trPr>
          <w:trHeight w:val="20"/>
        </w:trPr>
        <w:tc>
          <w:tcPr>
            <w:tcW w:w="8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Goodwill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is reviewed for impairment at least annually during the second quarter, or more frequently if an event occurs indicating the potential for impairment. Based on quantitative interim impairment tests performed in 2024, we recorded impairment charges of $93.2 million in the second quarter of 2024 and $51.3 million in the fourth quarter of 2024.</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a quantitative interim impairment test as of March 31, 2025, based on a decline in stock price and market capitalization during the first quarter of 2025, macroeconomic uncertainties, and revised strategic plans emphasizing HiFi sequencing and discontinuing short-read platform development, and concluded there was no impairment.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completed our annual goodwill impairment assessment on April 1, 2025 and noted no impairment.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Changes in our future operating results, cash flows, share price, market capitalization or discount rates used when conducting future goodwill impairment tests could affect the implied fair value of goodwill and may result in additional impairment charges in the future.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Intangible Assets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 assets include developed technology, customer relationships, and acquired in-process research and development ("IPR&amp;D"). In connection with the Apton acquisition in August 2023, we allocated $55.0 million of the purchase price to IPR&amp;D. This asset is considered indefinite-lived until the associated research and development activities are either completed or abandoned, and it is tested for impairment annually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315595</wp:posOffset>
            </wp:positionV>
            <wp:extent cx="713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12</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frequently if events or changes in circumstances indicate that it is more likely than not that the asset is impaired.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recognized a $40.0 million impairment charge in the fourth quarter of 2024 as a result of a quantitative interim impairment test.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below carrying value and recorded a $15.0 million impairment charge. The decline in the fair value of the IPR&amp;D below its carrying amount as of March 31, 2025 resulted primarily from changes in the timing of expected future cash flows as compared to the fair value as of December 31, 2024, driven by the restructuring initiatives that prioritize the adoption of HiFi sequencing. The impairment charge is included in our consolidated statements of operations and comprehensive loss for the six months ended June 30, 2025.</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Significant estimates and assumptions used in the income approach include timing of future cash flows, revenue growth assumptions, a selected discount rate of 14.0%, and a selected obsolescence factor of 11 years. The discount rate was based primarily on the weighted average cost of capital, determined using market, peer company, industry data, and related risk factors. The assessment is a level 3 measurement due to its reliance on certain unobservable inputs and significant management judgment. The assumptions used were inherently subject to uncertainty and small changes in these assumptions could have had a significant impact on the concluded value. A decrease of 200 basis points to the discount rate used in our analysis would have resulted in an increase in the estimated fair value of the IPR&amp;D of approximately $3 million, and an increase of one year to the obsolescence factor used in our analysis would have resulted in an increase in the estimated fair value of the IPR&amp;D of approximately $3 million.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Changes to IPR&amp;D during the six months ended June 30, 2025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8"/>
        </w:trPr>
        <w:tc>
          <w:tcPr>
            <w:tcW w:w="9660" w:type="dxa"/>
            <w:vAlign w:val="bottom"/>
          </w:tcPr>
          <w:p>
            <w:pPr>
              <w:ind w:left="20"/>
              <w:spacing w:after="0"/>
              <w:rPr>
                <w:sz w:val="20"/>
                <w:szCs w:val="20"/>
                <w:color w:val="auto"/>
              </w:rPr>
            </w:pPr>
            <w:r>
              <w:rPr>
                <w:rFonts w:ascii="Arial" w:cs="Arial" w:eastAsia="Arial" w:hAnsi="Arial"/>
                <w:sz w:val="16"/>
                <w:szCs w:val="16"/>
                <w:color w:val="auto"/>
              </w:rPr>
              <w:t>Balance as of December 31, 2024</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35"/>
        </w:trPr>
        <w:tc>
          <w:tcPr>
            <w:tcW w:w="966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Impairment charge</w:t>
            </w:r>
          </w:p>
        </w:tc>
        <w:tc>
          <w:tcPr>
            <w:tcW w:w="80" w:type="dxa"/>
            <w:vAlign w:val="bottom"/>
            <w:tcBorders>
              <w:bottom w:val="single" w:sz="8" w:color="E7F2F9"/>
            </w:tcBorders>
            <w:shd w:val="clear" w:color="auto" w:fill="E7F2F9"/>
          </w:tcPr>
          <w:p>
            <w:pPr>
              <w:spacing w:after="0"/>
              <w:rPr>
                <w:sz w:val="20"/>
                <w:szCs w:val="20"/>
                <w:color w:val="auto"/>
              </w:rPr>
            </w:pPr>
          </w:p>
        </w:tc>
        <w:tc>
          <w:tcPr>
            <w:tcW w:w="500" w:type="dxa"/>
            <w:vAlign w:val="bottom"/>
            <w:tcBorders>
              <w:bottom w:val="single" w:sz="8" w:color="auto"/>
            </w:tcBorders>
            <w:shd w:val="clear" w:color="auto" w:fill="E7F2F9"/>
          </w:tcPr>
          <w:p>
            <w:pPr>
              <w:spacing w:after="0"/>
              <w:rPr>
                <w:sz w:val="20"/>
                <w:szCs w:val="20"/>
                <w:color w:val="auto"/>
              </w:rPr>
            </w:pPr>
          </w:p>
        </w:tc>
        <w:tc>
          <w:tcPr>
            <w:tcW w:w="10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(15,000)</w:t>
            </w:r>
          </w:p>
        </w:tc>
      </w:tr>
      <w:tr>
        <w:trPr>
          <w:trHeight w:val="254"/>
        </w:trPr>
        <w:tc>
          <w:tcPr>
            <w:tcW w:w="966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Balance as of June 30, 2025</w:t>
            </w:r>
          </w:p>
        </w:tc>
        <w:tc>
          <w:tcPr>
            <w:tcW w:w="580" w:type="dxa"/>
            <w:vAlign w:val="bottom"/>
            <w:gridSpan w:val="2"/>
            <w:shd w:val="clear" w:color="auto" w:fill="E7F2F9"/>
          </w:tcPr>
          <w:p>
            <w:pPr>
              <w:jc w:val="right"/>
              <w:ind w:right="380"/>
              <w:spacing w:after="0"/>
              <w:rPr>
                <w:sz w:val="20"/>
                <w:szCs w:val="20"/>
                <w:color w:val="auto"/>
              </w:rPr>
            </w:pPr>
            <w:r>
              <w:rPr>
                <w:rFonts w:ascii="Arial" w:cs="Arial" w:eastAsia="Arial" w:hAnsi="Arial"/>
                <w:sz w:val="16"/>
                <w:szCs w:val="16"/>
                <w:color w:val="1383C6"/>
              </w:rPr>
              <w:t>$</w:t>
            </w:r>
          </w:p>
        </w:tc>
        <w:tc>
          <w:tcPr>
            <w:tcW w:w="10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r>
      <w:tr>
        <w:trPr>
          <w:trHeight w:val="20"/>
        </w:trPr>
        <w:tc>
          <w:tcPr>
            <w:tcW w:w="9660" w:type="dxa"/>
            <w:vAlign w:val="bottom"/>
            <w:tcBorders>
              <w:top w:val="single" w:sz="8" w:color="E7F2F9"/>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color w:val="auto"/>
        </w:rPr>
        <w:t xml:space="preserve"> for additional information on costs incurred in connection with our current year restructuring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IPR&amp;D, we had the following acquired finite-lived intangible assets: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30, 2025</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center"/>
              <w:ind w:right="82"/>
              <w:spacing w:after="0"/>
              <w:rPr>
                <w:sz w:val="20"/>
                <w:szCs w:val="20"/>
                <w:color w:val="auto"/>
              </w:rPr>
            </w:pPr>
            <w:r>
              <w:rPr>
                <w:rFonts w:ascii="Arial" w:cs="Arial" w:eastAsia="Arial" w:hAnsi="Arial"/>
                <w:sz w:val="14"/>
                <w:szCs w:val="14"/>
                <w:b w:val="1"/>
                <w:bCs w:val="1"/>
                <w:color w:val="auto"/>
                <w:w w:val="99"/>
              </w:rPr>
              <w:t>As of December 31, 2024</w:t>
            </w:r>
          </w:p>
        </w:tc>
        <w:tc>
          <w:tcPr>
            <w:tcW w:w="940" w:type="dxa"/>
            <w:vAlign w:val="bottom"/>
            <w:tcBorders>
              <w:bottom w:val="single" w:sz="8" w:color="auto"/>
            </w:tcBorders>
          </w:tcPr>
          <w:p>
            <w:pPr>
              <w:spacing w:after="0"/>
              <w:rPr>
                <w:sz w:val="17"/>
                <w:szCs w:val="17"/>
                <w:color w:val="auto"/>
              </w:rPr>
            </w:pPr>
          </w:p>
        </w:tc>
      </w:tr>
      <w:tr>
        <w:trPr>
          <w:trHeight w:val="172"/>
        </w:trPr>
        <w:tc>
          <w:tcPr>
            <w:tcW w:w="2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8"/>
              </w:rPr>
              <w:t>Estimated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06"/>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66"/>
              <w:spacing w:after="0"/>
              <w:rPr>
                <w:sz w:val="20"/>
                <w:szCs w:val="20"/>
                <w:color w:val="auto"/>
              </w:rPr>
            </w:pPr>
            <w:r>
              <w:rPr>
                <w:rFonts w:ascii="Arial" w:cs="Arial" w:eastAsia="Arial" w:hAnsi="Arial"/>
                <w:sz w:val="14"/>
                <w:szCs w:val="14"/>
                <w:b w:val="1"/>
                <w:bCs w:val="1"/>
                <w:color w:val="auto"/>
                <w:w w:val="98"/>
              </w:rPr>
              <w:t>Gross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w w:val="97"/>
              </w:rPr>
              <w:t>Net</w:t>
            </w:r>
          </w:p>
        </w:tc>
      </w:tr>
      <w:tr>
        <w:trPr>
          <w:trHeight w:val="156"/>
        </w:trPr>
        <w:tc>
          <w:tcPr>
            <w:tcW w:w="224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7"/>
              </w:rPr>
              <w:t>Useful Life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8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940" w:type="dxa"/>
            <w:vAlign w:val="bottom"/>
          </w:tcPr>
          <w:p>
            <w:pPr>
              <w:jc w:val="center"/>
              <w:ind w:right="106"/>
              <w:spacing w:after="0" w:line="156"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6"/>
              <w:spacing w:after="0" w:line="156"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tcPr>
          <w:p>
            <w:pPr>
              <w:jc w:val="center"/>
              <w:ind w:right="126"/>
              <w:spacing w:after="0" w:line="156" w:lineRule="exact"/>
              <w:rPr>
                <w:sz w:val="20"/>
                <w:szCs w:val="20"/>
                <w:color w:val="auto"/>
              </w:rPr>
            </w:pPr>
            <w:r>
              <w:rPr>
                <w:rFonts w:ascii="Arial" w:cs="Arial" w:eastAsia="Arial" w:hAnsi="Arial"/>
                <w:sz w:val="14"/>
                <w:szCs w:val="14"/>
                <w:b w:val="1"/>
                <w:bCs w:val="1"/>
                <w:color w:val="auto"/>
              </w:rPr>
              <w:t>Carrying</w:t>
            </w:r>
          </w:p>
        </w:tc>
      </w:tr>
      <w:tr>
        <w:trPr>
          <w:trHeight w:val="211"/>
        </w:trPr>
        <w:tc>
          <w:tcPr>
            <w:tcW w:w="2240" w:type="dxa"/>
            <w:vAlign w:val="bottom"/>
          </w:tcPr>
          <w:p>
            <w:pPr>
              <w:spacing w:after="0"/>
              <w:rPr>
                <w:sz w:val="20"/>
                <w:szCs w:val="20"/>
                <w:color w:val="auto"/>
              </w:rPr>
            </w:pPr>
            <w:r>
              <w:rPr>
                <w:rFonts w:ascii="Arial" w:cs="Arial" w:eastAsia="Arial" w:hAnsi="Arial"/>
                <w:sz w:val="14"/>
                <w:szCs w:val="14"/>
                <w:i w:val="1"/>
                <w:iCs w:val="1"/>
                <w:color w:val="auto"/>
              </w:rPr>
              <w:t>(In thousands, except years)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80" w:type="dxa"/>
            <w:vAlign w:val="bottom"/>
            <w:tcBorders>
              <w:bottom w:val="single" w:sz="8" w:color="E7F2F9"/>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E7F2F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E7F2F9"/>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Amount</w:t>
            </w:r>
          </w:p>
        </w:tc>
      </w:tr>
      <w:tr>
        <w:trPr>
          <w:trHeight w:val="219"/>
        </w:trPr>
        <w:tc>
          <w:tcPr>
            <w:tcW w:w="2240" w:type="dxa"/>
            <w:vAlign w:val="bottom"/>
          </w:tcPr>
          <w:p>
            <w:pPr>
              <w:spacing w:after="0"/>
              <w:rPr>
                <w:sz w:val="20"/>
                <w:szCs w:val="20"/>
                <w:color w:val="auto"/>
              </w:rPr>
            </w:pPr>
            <w:r>
              <w:rPr>
                <w:rFonts w:ascii="Arial" w:cs="Arial" w:eastAsia="Arial" w:hAnsi="Arial"/>
                <w:sz w:val="16"/>
                <w:szCs w:val="16"/>
                <w:color w:val="auto"/>
              </w:rPr>
              <w:t>Developed technology</w:t>
            </w:r>
          </w:p>
        </w:tc>
        <w:tc>
          <w:tcPr>
            <w:tcW w:w="1080" w:type="dxa"/>
            <w:vAlign w:val="bottom"/>
            <w:shd w:val="clear" w:color="auto" w:fill="E7F2F9"/>
          </w:tcPr>
          <w:p>
            <w:pPr>
              <w:jc w:val="center"/>
              <w:spacing w:after="0"/>
              <w:rPr>
                <w:sz w:val="20"/>
                <w:szCs w:val="20"/>
                <w:color w:val="auto"/>
              </w:rPr>
            </w:pPr>
            <w:r>
              <w:rPr>
                <w:rFonts w:ascii="Arial" w:cs="Arial" w:eastAsia="Arial" w:hAnsi="Arial"/>
                <w:sz w:val="16"/>
                <w:szCs w:val="16"/>
                <w:color w:val="1383C6"/>
                <w:w w:val="96"/>
              </w:rPr>
              <w:t>3 — 15</w:t>
            </w:r>
          </w:p>
        </w:tc>
        <w:tc>
          <w:tcPr>
            <w:tcW w:w="280" w:type="dxa"/>
            <w:vAlign w:val="bottom"/>
            <w:gridSpan w:val="2"/>
            <w:shd w:val="clear" w:color="auto" w:fill="E7F2F9"/>
          </w:tcPr>
          <w:p>
            <w:pPr>
              <w:jc w:val="right"/>
              <w:ind w:right="22"/>
              <w:spacing w:after="0"/>
              <w:rPr>
                <w:sz w:val="20"/>
                <w:szCs w:val="20"/>
                <w:color w:val="auto"/>
              </w:rPr>
            </w:pPr>
            <w:r>
              <w:rPr>
                <w:rFonts w:ascii="Arial" w:cs="Arial" w:eastAsia="Arial" w:hAnsi="Arial"/>
                <w:sz w:val="16"/>
                <w:szCs w:val="16"/>
                <w:color w:val="1383C6"/>
              </w:rPr>
              <w:t>$</w:t>
            </w:r>
          </w:p>
        </w:tc>
        <w:tc>
          <w:tcPr>
            <w:tcW w:w="940" w:type="dxa"/>
            <w:vAlign w:val="bottom"/>
            <w:shd w:val="clear" w:color="auto" w:fill="E7F2F9"/>
          </w:tcPr>
          <w:p>
            <w:pPr>
              <w:jc w:val="right"/>
              <w:ind w:right="6"/>
              <w:spacing w:after="0"/>
              <w:rPr>
                <w:sz w:val="20"/>
                <w:szCs w:val="20"/>
                <w:color w:val="auto"/>
              </w:rPr>
            </w:pPr>
            <w:r>
              <w:rPr>
                <w:rFonts w:ascii="Arial" w:cs="Arial" w:eastAsia="Arial" w:hAnsi="Arial"/>
                <w:sz w:val="16"/>
                <w:szCs w:val="16"/>
                <w:color w:val="1383C6"/>
              </w:rPr>
              <w:t>421,179</w:t>
            </w: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(404,016)</w:t>
            </w:r>
          </w:p>
        </w:tc>
        <w:tc>
          <w:tcPr>
            <w:tcW w:w="100" w:type="dxa"/>
            <w:vAlign w:val="bottom"/>
            <w:shd w:val="clear" w:color="auto" w:fill="E7F2F9"/>
          </w:tcPr>
          <w:p>
            <w:pPr>
              <w:spacing w:after="0"/>
              <w:rPr>
                <w:sz w:val="19"/>
                <w:szCs w:val="19"/>
                <w:color w:val="auto"/>
              </w:rPr>
            </w:pPr>
          </w:p>
        </w:tc>
        <w:tc>
          <w:tcPr>
            <w:tcW w:w="18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w w:val="89"/>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17,163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411,179</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(36,607)</w:t>
            </w:r>
          </w:p>
        </w:tc>
        <w:tc>
          <w:tcPr>
            <w:tcW w:w="10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374,572</w:t>
            </w:r>
          </w:p>
        </w:tc>
      </w:tr>
      <w:tr>
        <w:trPr>
          <w:trHeight w:val="242"/>
        </w:trPr>
        <w:tc>
          <w:tcPr>
            <w:tcW w:w="22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080" w:type="dxa"/>
            <w:vAlign w:val="bottom"/>
            <w:tcBorders>
              <w:bottom w:val="single" w:sz="8" w:color="E7F2F9"/>
            </w:tcBorders>
            <w:shd w:val="clear" w:color="auto" w:fill="E7F2F9"/>
          </w:tcPr>
          <w:p>
            <w:pPr>
              <w:jc w:val="right"/>
              <w:ind w:right="427"/>
              <w:spacing w:after="0"/>
              <w:rPr>
                <w:sz w:val="20"/>
                <w:szCs w:val="20"/>
                <w:color w:val="auto"/>
              </w:rPr>
            </w:pPr>
            <w:r>
              <w:rPr>
                <w:rFonts w:ascii="Arial" w:cs="Arial" w:eastAsia="Arial" w:hAnsi="Arial"/>
                <w:sz w:val="16"/>
                <w:szCs w:val="16"/>
                <w:color w:val="1383C6"/>
              </w:rPr>
              <w:t>2</w:t>
            </w:r>
          </w:p>
        </w:tc>
        <w:tc>
          <w:tcPr>
            <w:tcW w:w="80" w:type="dxa"/>
            <w:vAlign w:val="bottom"/>
            <w:tcBorders>
              <w:bottom w:val="single" w:sz="8" w:color="E7F2F9"/>
            </w:tcBorders>
            <w:shd w:val="clear" w:color="auto" w:fill="E7F2F9"/>
          </w:tcPr>
          <w:p>
            <w:pPr>
              <w:spacing w:after="0"/>
              <w:rPr>
                <w:sz w:val="21"/>
                <w:szCs w:val="21"/>
                <w:color w:val="auto"/>
              </w:rPr>
            </w:pPr>
          </w:p>
        </w:tc>
        <w:tc>
          <w:tcPr>
            <w:tcW w:w="200" w:type="dxa"/>
            <w:vAlign w:val="bottom"/>
            <w:tcBorders>
              <w:bottom w:val="single" w:sz="8" w:color="auto"/>
            </w:tcBorders>
            <w:shd w:val="clear" w:color="auto" w:fill="E7F2F9"/>
          </w:tcPr>
          <w:p>
            <w:pPr>
              <w:spacing w:after="0"/>
              <w:rPr>
                <w:sz w:val="21"/>
                <w:szCs w:val="21"/>
                <w:color w:val="auto"/>
              </w:rPr>
            </w:pPr>
          </w:p>
        </w:tc>
        <w:tc>
          <w:tcPr>
            <w:tcW w:w="940" w:type="dxa"/>
            <w:vAlign w:val="bottom"/>
            <w:tcBorders>
              <w:bottom w:val="single" w:sz="8" w:color="auto"/>
            </w:tcBorders>
            <w:shd w:val="clear" w:color="auto" w:fill="E7F2F9"/>
          </w:tcPr>
          <w:p>
            <w:pPr>
              <w:jc w:val="right"/>
              <w:ind w:right="6"/>
              <w:spacing w:after="0"/>
              <w:rPr>
                <w:sz w:val="20"/>
                <w:szCs w:val="20"/>
                <w:color w:val="auto"/>
              </w:rPr>
            </w:pPr>
            <w:r>
              <w:rPr>
                <w:rFonts w:ascii="Arial" w:cs="Arial" w:eastAsia="Arial" w:hAnsi="Arial"/>
                <w:sz w:val="16"/>
                <w:szCs w:val="16"/>
                <w:color w:val="1383C6"/>
              </w:rPr>
              <w:t>360</w:t>
            </w:r>
          </w:p>
        </w:tc>
        <w:tc>
          <w:tcPr>
            <w:tcW w:w="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auto"/>
            </w:tcBorders>
            <w:shd w:val="clear" w:color="auto" w:fill="E7F2F9"/>
          </w:tcPr>
          <w:p>
            <w:pPr>
              <w:spacing w:after="0"/>
              <w:rPr>
                <w:sz w:val="21"/>
                <w:szCs w:val="21"/>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(360)</w:t>
            </w:r>
          </w:p>
        </w:tc>
        <w:tc>
          <w:tcPr>
            <w:tcW w:w="10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auto"/>
            </w:tcBorders>
            <w:shd w:val="clear" w:color="auto" w:fill="E7F2F9"/>
          </w:tcPr>
          <w:p>
            <w:pPr>
              <w:spacing w:after="0"/>
              <w:rPr>
                <w:sz w:val="21"/>
                <w:szCs w:val="21"/>
                <w:color w:val="auto"/>
              </w:rPr>
            </w:pPr>
          </w:p>
        </w:tc>
        <w:tc>
          <w:tcPr>
            <w:tcW w:w="9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2240" w:type="dxa"/>
            <w:vAlign w:val="bottom"/>
          </w:tcPr>
          <w:p>
            <w:pPr>
              <w:ind w:left="460"/>
              <w:spacing w:after="0"/>
              <w:rPr>
                <w:sz w:val="20"/>
                <w:szCs w:val="20"/>
                <w:color w:val="auto"/>
              </w:rPr>
            </w:pPr>
            <w:r>
              <w:rPr>
                <w:rFonts w:ascii="Arial" w:cs="Arial" w:eastAsia="Arial" w:hAnsi="Arial"/>
                <w:sz w:val="16"/>
                <w:szCs w:val="16"/>
                <w:color w:val="auto"/>
              </w:rPr>
              <w:t>Total</w:t>
            </w:r>
          </w:p>
        </w:tc>
        <w:tc>
          <w:tcPr>
            <w:tcW w:w="1080" w:type="dxa"/>
            <w:vAlign w:val="bottom"/>
            <w:shd w:val="clear" w:color="auto" w:fill="E7F2F9"/>
          </w:tcPr>
          <w:p>
            <w:pPr>
              <w:spacing w:after="0"/>
              <w:rPr>
                <w:sz w:val="22"/>
                <w:szCs w:val="22"/>
                <w:color w:val="auto"/>
              </w:rPr>
            </w:pPr>
          </w:p>
        </w:tc>
        <w:tc>
          <w:tcPr>
            <w:tcW w:w="80" w:type="dxa"/>
            <w:vAlign w:val="bottom"/>
            <w:shd w:val="clear" w:color="auto" w:fill="E7F2F9"/>
          </w:tcPr>
          <w:p>
            <w:pPr>
              <w:spacing w:after="0"/>
              <w:rPr>
                <w:sz w:val="22"/>
                <w:szCs w:val="22"/>
                <w:color w:val="auto"/>
              </w:rPr>
            </w:pPr>
          </w:p>
        </w:tc>
        <w:tc>
          <w:tcPr>
            <w:tcW w:w="200" w:type="dxa"/>
            <w:vAlign w:val="bottom"/>
            <w:shd w:val="clear" w:color="auto" w:fill="E7F2F9"/>
          </w:tcPr>
          <w:p>
            <w:pPr>
              <w:jc w:val="right"/>
              <w:ind w:right="22"/>
              <w:spacing w:after="0"/>
              <w:rPr>
                <w:sz w:val="20"/>
                <w:szCs w:val="20"/>
                <w:color w:val="auto"/>
              </w:rPr>
            </w:pPr>
            <w:r>
              <w:rPr>
                <w:rFonts w:ascii="Arial" w:cs="Arial" w:eastAsia="Arial" w:hAnsi="Arial"/>
                <w:sz w:val="16"/>
                <w:szCs w:val="16"/>
                <w:color w:val="1383C6"/>
                <w:w w:val="89"/>
              </w:rPr>
              <w:t>$</w:t>
            </w:r>
          </w:p>
        </w:tc>
        <w:tc>
          <w:tcPr>
            <w:tcW w:w="940" w:type="dxa"/>
            <w:vAlign w:val="bottom"/>
            <w:shd w:val="clear" w:color="auto" w:fill="E7F2F9"/>
          </w:tcPr>
          <w:p>
            <w:pPr>
              <w:jc w:val="right"/>
              <w:ind w:right="6"/>
              <w:spacing w:after="0"/>
              <w:rPr>
                <w:sz w:val="20"/>
                <w:szCs w:val="20"/>
                <w:color w:val="auto"/>
              </w:rPr>
            </w:pPr>
            <w:r>
              <w:rPr>
                <w:rFonts w:ascii="Arial" w:cs="Arial" w:eastAsia="Arial" w:hAnsi="Arial"/>
                <w:sz w:val="16"/>
                <w:szCs w:val="16"/>
                <w:color w:val="1383C6"/>
              </w:rPr>
              <w:t>421,539</w:t>
            </w:r>
          </w:p>
        </w:tc>
        <w:tc>
          <w:tcPr>
            <w:tcW w:w="80" w:type="dxa"/>
            <w:vAlign w:val="bottom"/>
            <w:shd w:val="clear" w:color="auto" w:fill="E7F2F9"/>
          </w:tcPr>
          <w:p>
            <w:pPr>
              <w:spacing w:after="0"/>
              <w:rPr>
                <w:sz w:val="22"/>
                <w:szCs w:val="22"/>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(404,376)</w:t>
            </w:r>
          </w:p>
        </w:tc>
        <w:tc>
          <w:tcPr>
            <w:tcW w:w="100" w:type="dxa"/>
            <w:vAlign w:val="bottom"/>
            <w:shd w:val="clear" w:color="auto" w:fill="E7F2F9"/>
          </w:tcPr>
          <w:p>
            <w:pPr>
              <w:spacing w:after="0"/>
              <w:rPr>
                <w:sz w:val="22"/>
                <w:szCs w:val="22"/>
                <w:color w:val="auto"/>
              </w:rPr>
            </w:pPr>
          </w:p>
        </w:tc>
        <w:tc>
          <w:tcPr>
            <w:tcW w:w="18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w w:val="89"/>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17,163</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411,539</w:t>
            </w:r>
          </w:p>
        </w:tc>
        <w:tc>
          <w:tcPr>
            <w:tcW w:w="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(36,967)</w:t>
            </w:r>
          </w:p>
        </w:tc>
        <w:tc>
          <w:tcPr>
            <w:tcW w:w="100" w:type="dxa"/>
            <w:vAlign w:val="bottom"/>
          </w:tcPr>
          <w:p>
            <w:pPr>
              <w:spacing w:after="0"/>
              <w:rPr>
                <w:sz w:val="22"/>
                <w:szCs w:val="22"/>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374,572</w:t>
            </w:r>
          </w:p>
        </w:tc>
      </w:tr>
      <w:tr>
        <w:trPr>
          <w:trHeight w:val="20"/>
        </w:trPr>
        <w:tc>
          <w:tcPr>
            <w:tcW w:w="2240" w:type="dxa"/>
            <w:vAlign w:val="bottom"/>
          </w:tcPr>
          <w:p>
            <w:pPr>
              <w:spacing w:after="0" w:line="20" w:lineRule="exact"/>
              <w:rPr>
                <w:sz w:val="1"/>
                <w:szCs w:val="1"/>
                <w:color w:val="auto"/>
              </w:rPr>
            </w:pPr>
          </w:p>
        </w:tc>
        <w:tc>
          <w:tcPr>
            <w:tcW w:w="1080" w:type="dxa"/>
            <w:vAlign w:val="bottom"/>
            <w:tcBorders>
              <w:top w:val="single" w:sz="8" w:color="E7F2F9"/>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intangible assets with finite lives is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
        </w:trPr>
        <w:tc>
          <w:tcPr>
            <w:tcW w:w="9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9"/>
        </w:trPr>
        <w:tc>
          <w:tcPr>
            <w:tcW w:w="9720" w:type="dxa"/>
            <w:vAlign w:val="bottom"/>
          </w:tcPr>
          <w:p>
            <w:pPr>
              <w:spacing w:after="0"/>
              <w:rPr>
                <w:sz w:val="20"/>
                <w:szCs w:val="20"/>
                <w:color w:val="auto"/>
              </w:rPr>
            </w:pPr>
            <w:r>
              <w:rPr>
                <w:rFonts w:ascii="Arial" w:cs="Arial" w:eastAsia="Arial" w:hAnsi="Arial"/>
                <w:sz w:val="16"/>
                <w:szCs w:val="16"/>
                <w:color w:val="auto"/>
              </w:rPr>
              <w:t>Remainder of 2025</w:t>
            </w:r>
          </w:p>
        </w:tc>
        <w:tc>
          <w:tcPr>
            <w:tcW w:w="540" w:type="dxa"/>
            <w:vAlign w:val="bottom"/>
            <w:shd w:val="clear" w:color="auto" w:fill="E7F2F9"/>
          </w:tcPr>
          <w:p>
            <w:pPr>
              <w:jc w:val="right"/>
              <w:ind w:right="342"/>
              <w:spacing w:after="0"/>
              <w:rPr>
                <w:sz w:val="20"/>
                <w:szCs w:val="20"/>
                <w:color w:val="auto"/>
              </w:rPr>
            </w:pPr>
            <w:r>
              <w:rPr>
                <w:rFonts w:ascii="Arial" w:cs="Arial" w:eastAsia="Arial" w:hAnsi="Arial"/>
                <w:sz w:val="16"/>
                <w:szCs w:val="16"/>
                <w:color w:val="1383C6"/>
              </w:rPr>
              <w:t>$</w:t>
            </w:r>
          </w:p>
        </w:tc>
        <w:tc>
          <w:tcPr>
            <w:tcW w:w="9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2,040</w:t>
            </w:r>
          </w:p>
        </w:tc>
      </w:tr>
      <w:tr>
        <w:trPr>
          <w:trHeight w:val="234"/>
        </w:trPr>
        <w:tc>
          <w:tcPr>
            <w:tcW w:w="9720" w:type="dxa"/>
            <w:vAlign w:val="bottom"/>
          </w:tcPr>
          <w:p>
            <w:pPr>
              <w:spacing w:after="0"/>
              <w:rPr>
                <w:sz w:val="20"/>
                <w:szCs w:val="20"/>
                <w:color w:val="auto"/>
              </w:rPr>
            </w:pPr>
            <w:r>
              <w:rPr>
                <w:rFonts w:ascii="Arial" w:cs="Arial" w:eastAsia="Arial" w:hAnsi="Arial"/>
                <w:sz w:val="16"/>
                <w:szCs w:val="16"/>
                <w:color w:val="auto"/>
              </w:rPr>
              <w:t>2026</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4,078</w:t>
            </w:r>
          </w:p>
        </w:tc>
      </w:tr>
      <w:tr>
        <w:trPr>
          <w:trHeight w:val="234"/>
        </w:trPr>
        <w:tc>
          <w:tcPr>
            <w:tcW w:w="9720" w:type="dxa"/>
            <w:vAlign w:val="bottom"/>
          </w:tcPr>
          <w:p>
            <w:pPr>
              <w:spacing w:after="0"/>
              <w:rPr>
                <w:sz w:val="20"/>
                <w:szCs w:val="20"/>
                <w:color w:val="auto"/>
              </w:rPr>
            </w:pPr>
            <w:r>
              <w:rPr>
                <w:rFonts w:ascii="Arial" w:cs="Arial" w:eastAsia="Arial" w:hAnsi="Arial"/>
                <w:sz w:val="16"/>
                <w:szCs w:val="16"/>
                <w:color w:val="auto"/>
              </w:rPr>
              <w:t>2027</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4,078</w:t>
            </w:r>
          </w:p>
        </w:tc>
      </w:tr>
      <w:tr>
        <w:trPr>
          <w:trHeight w:val="234"/>
        </w:trPr>
        <w:tc>
          <w:tcPr>
            <w:tcW w:w="9720" w:type="dxa"/>
            <w:vAlign w:val="bottom"/>
          </w:tcPr>
          <w:p>
            <w:pPr>
              <w:spacing w:after="0"/>
              <w:rPr>
                <w:sz w:val="20"/>
                <w:szCs w:val="20"/>
                <w:color w:val="auto"/>
              </w:rPr>
            </w:pPr>
            <w:r>
              <w:rPr>
                <w:rFonts w:ascii="Arial" w:cs="Arial" w:eastAsia="Arial" w:hAnsi="Arial"/>
                <w:sz w:val="16"/>
                <w:szCs w:val="16"/>
                <w:color w:val="auto"/>
              </w:rPr>
              <w:t>2028</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1,301</w:t>
            </w:r>
          </w:p>
        </w:tc>
      </w:tr>
      <w:tr>
        <w:trPr>
          <w:trHeight w:val="234"/>
        </w:trPr>
        <w:tc>
          <w:tcPr>
            <w:tcW w:w="9720" w:type="dxa"/>
            <w:vAlign w:val="bottom"/>
          </w:tcPr>
          <w:p>
            <w:pPr>
              <w:spacing w:after="0"/>
              <w:rPr>
                <w:sz w:val="20"/>
                <w:szCs w:val="20"/>
                <w:color w:val="auto"/>
              </w:rPr>
            </w:pPr>
            <w:r>
              <w:rPr>
                <w:rFonts w:ascii="Arial" w:cs="Arial" w:eastAsia="Arial" w:hAnsi="Arial"/>
                <w:sz w:val="16"/>
                <w:szCs w:val="16"/>
                <w:color w:val="auto"/>
              </w:rPr>
              <w:t>2029</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745</w:t>
            </w:r>
          </w:p>
        </w:tc>
      </w:tr>
      <w:tr>
        <w:trPr>
          <w:trHeight w:val="242"/>
        </w:trPr>
        <w:tc>
          <w:tcPr>
            <w:tcW w:w="9720" w:type="dxa"/>
            <w:vAlign w:val="bottom"/>
          </w:tcPr>
          <w:p>
            <w:pPr>
              <w:spacing w:after="0"/>
              <w:rPr>
                <w:sz w:val="20"/>
                <w:szCs w:val="20"/>
                <w:color w:val="auto"/>
              </w:rPr>
            </w:pPr>
            <w:r>
              <w:rPr>
                <w:rFonts w:ascii="Arial" w:cs="Arial" w:eastAsia="Arial" w:hAnsi="Arial"/>
                <w:sz w:val="16"/>
                <w:szCs w:val="16"/>
                <w:color w:val="auto"/>
              </w:rPr>
              <w:t>2030 and thereafter</w:t>
            </w:r>
          </w:p>
        </w:tc>
        <w:tc>
          <w:tcPr>
            <w:tcW w:w="540" w:type="dxa"/>
            <w:vAlign w:val="bottom"/>
            <w:tcBorders>
              <w:bottom w:val="single" w:sz="8" w:color="auto"/>
            </w:tcBorders>
            <w:shd w:val="clear" w:color="auto" w:fill="E7F2F9"/>
          </w:tcPr>
          <w:p>
            <w:pPr>
              <w:spacing w:after="0"/>
              <w:rPr>
                <w:sz w:val="21"/>
                <w:szCs w:val="21"/>
                <w:color w:val="auto"/>
              </w:rPr>
            </w:pPr>
          </w:p>
        </w:tc>
        <w:tc>
          <w:tcPr>
            <w:tcW w:w="9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4,921</w:t>
            </w:r>
          </w:p>
        </w:tc>
      </w:tr>
      <w:tr>
        <w:trPr>
          <w:trHeight w:val="259"/>
        </w:trPr>
        <w:tc>
          <w:tcPr>
            <w:tcW w:w="9720" w:type="dxa"/>
            <w:vAlign w:val="bottom"/>
          </w:tcPr>
          <w:p>
            <w:pPr>
              <w:ind w:left="32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E7F2F9"/>
          </w:tcPr>
          <w:p>
            <w:pPr>
              <w:jc w:val="right"/>
              <w:ind w:right="342"/>
              <w:spacing w:after="0"/>
              <w:rPr>
                <w:sz w:val="20"/>
                <w:szCs w:val="20"/>
                <w:color w:val="auto"/>
              </w:rPr>
            </w:pPr>
            <w:r>
              <w:rPr>
                <w:rFonts w:ascii="Arial" w:cs="Arial" w:eastAsia="Arial" w:hAnsi="Arial"/>
                <w:sz w:val="16"/>
                <w:szCs w:val="16"/>
                <w:color w:val="1383C6"/>
              </w:rPr>
              <w:t>$</w:t>
            </w:r>
          </w:p>
        </w:tc>
        <w:tc>
          <w:tcPr>
            <w:tcW w:w="9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17,163</w:t>
            </w:r>
          </w:p>
        </w:tc>
      </w:tr>
      <w:tr>
        <w:trPr>
          <w:trHeight w:val="20"/>
        </w:trPr>
        <w:tc>
          <w:tcPr>
            <w:tcW w:w="9720" w:type="dxa"/>
            <w:vAlign w:val="bottom"/>
          </w:tcPr>
          <w:p>
            <w:pPr>
              <w:spacing w:after="0" w:line="20" w:lineRule="exact"/>
              <w:rPr>
                <w:sz w:val="1"/>
                <w:szCs w:val="1"/>
                <w:color w:val="auto"/>
              </w:rPr>
            </w:pPr>
          </w:p>
        </w:tc>
        <w:tc>
          <w:tcPr>
            <w:tcW w:w="540" w:type="dxa"/>
            <w:vAlign w:val="bottom"/>
            <w:tcBorders>
              <w:top w:val="single" w:sz="8" w:color="E7F2F9"/>
              <w:bottom w:val="single" w:sz="8" w:color="auto"/>
            </w:tcBorders>
          </w:tcPr>
          <w:p>
            <w:pPr>
              <w:spacing w:after="0" w:line="20" w:lineRule="exact"/>
              <w:rPr>
                <w:sz w:val="1"/>
                <w:szCs w:val="1"/>
                <w:color w:val="auto"/>
              </w:rPr>
            </w:pPr>
          </w:p>
        </w:tc>
        <w:tc>
          <w:tcPr>
            <w:tcW w:w="960" w:type="dxa"/>
            <w:vAlign w:val="bottom"/>
            <w:tcBorders>
              <w:top w:val="single" w:sz="8" w:color="E7F2F9"/>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3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three months ended March 31,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during the three months ended March 31, 2025, we recognized accelerated amortization of $359.3 million within amortization of acquired intangible assets in operating expenses, reflecting our revised estimate that the asset will no longer generate economic benefit beyond March 31, 2025. This expense had a negative impact on basic and diluted net loss per share of $1.20 for the six months ended June 30, 2025.</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finite-lived intangible assets for impairment when indication of potential impairment exists, such as a significant reduction in cash flows associated with the assets. In the first quarter of 2025, as part of our interim goodwill impairment test, we also performed a recoverability test for the definite-lived asset group and noted no impairment.</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7, 2025, the Company entered into an agreement to acquire certain developed technology and related intellectual property from The Chinese University of Hong Kong for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 As of June 30, 2025, $ 5.0 million of these intangible assets remained unpaid. This amount is included in accrued liabilities on the condensed consolidated balance sheets and is expected to be paid in 2026.</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color w:val="auto"/>
        </w:rPr>
        <w:t xml:space="preserve"> for additional information on costs incurred in connection with our current year restructuring activities.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2025, we had a total of $ 20.6 million of deferred revenue, $14.9 million of which was recorded as deferred revenue, current, and $5.7 million of which was recorded as deferred revenue, non-current, which primarily relates to deferred service contract revenues and is scheduled to be recognized in the next four years. Revenue recorded in the three and six months ended June 30, 2025 includes $4.8 million and $9.4 million, respectively, that was included in deferred revenue as of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Performance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June 30, 2025, the aggregate amount of the transaction price allocated to remaining performance obligations was $56.6 million, of which approximately 72% is expected to be converted to revenue over the next twelve months, approximately 22% in the following twelve months, and the remainder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713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Product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rPr>
              <w:t>Six Months Ended June 30,</w:t>
            </w:r>
          </w:p>
        </w:tc>
      </w:tr>
      <w:tr>
        <w:trPr>
          <w:trHeight w:val="227"/>
        </w:trPr>
        <w:tc>
          <w:tcPr>
            <w:tcW w:w="5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shd w:val="clear" w:color="auto" w:fill="E7F2F9"/>
          </w:tcPr>
          <w:p>
            <w:pPr>
              <w:spacing w:after="0"/>
              <w:rPr>
                <w:sz w:val="19"/>
                <w:szCs w:val="19"/>
                <w:color w:val="auto"/>
              </w:rPr>
            </w:pPr>
          </w:p>
        </w:tc>
        <w:tc>
          <w:tcPr>
            <w:tcW w:w="1220" w:type="dxa"/>
            <w:vAlign w:val="bottom"/>
            <w:tcBorders>
              <w:top w:val="single" w:sz="8" w:color="auto"/>
              <w:bottom w:val="single" w:sz="8" w:color="auto"/>
            </w:tcBorders>
            <w:shd w:val="clear" w:color="auto" w:fill="E7F2F9"/>
          </w:tcPr>
          <w:p>
            <w:pPr>
              <w:jc w:val="right"/>
              <w:ind w:right="48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shd w:val="clear" w:color="auto" w:fill="E7F2F9"/>
          </w:tcPr>
          <w:p>
            <w:pPr>
              <w:spacing w:after="0"/>
              <w:rPr>
                <w:sz w:val="19"/>
                <w:szCs w:val="19"/>
                <w:color w:val="auto"/>
              </w:rPr>
            </w:pPr>
          </w:p>
        </w:tc>
        <w:tc>
          <w:tcPr>
            <w:tcW w:w="1140" w:type="dxa"/>
            <w:vAlign w:val="bottom"/>
            <w:tcBorders>
              <w:top w:val="single" w:sz="8" w:color="auto"/>
              <w:bottom w:val="single" w:sz="8" w:color="auto"/>
            </w:tcBorders>
            <w:shd w:val="clear" w:color="auto" w:fill="E7F2F9"/>
          </w:tcPr>
          <w:p>
            <w:pPr>
              <w:jc w:val="right"/>
              <w:ind w:right="46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Balance at beginning of period</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center"/>
              <w:ind w:left="622"/>
              <w:spacing w:after="0"/>
              <w:rPr>
                <w:sz w:val="20"/>
                <w:szCs w:val="20"/>
                <w:color w:val="auto"/>
              </w:rPr>
            </w:pPr>
            <w:r>
              <w:rPr>
                <w:rFonts w:ascii="Arial" w:cs="Arial" w:eastAsia="Arial" w:hAnsi="Arial"/>
                <w:sz w:val="16"/>
                <w:szCs w:val="16"/>
                <w:color w:val="1383C6"/>
                <w:w w:val="99"/>
              </w:rPr>
              <w:t>2,859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542"/>
              <w:spacing w:after="0"/>
              <w:rPr>
                <w:sz w:val="20"/>
                <w:szCs w:val="20"/>
                <w:color w:val="auto"/>
              </w:rPr>
            </w:pPr>
            <w:r>
              <w:rPr>
                <w:rFonts w:ascii="Arial" w:cs="Arial" w:eastAsia="Arial" w:hAnsi="Arial"/>
                <w:sz w:val="16"/>
                <w:szCs w:val="16"/>
                <w:color w:val="auto"/>
                <w:w w:val="94"/>
              </w:rPr>
              <w:t>4,120</w:t>
            </w:r>
          </w:p>
        </w:tc>
        <w:tc>
          <w:tcPr>
            <w:tcW w:w="80" w:type="dxa"/>
            <w:vAlign w:val="bottom"/>
          </w:tcPr>
          <w:p>
            <w:pPr>
              <w:spacing w:after="0"/>
              <w:rPr>
                <w:sz w:val="18"/>
                <w:szCs w:val="18"/>
                <w:color w:val="auto"/>
              </w:rPr>
            </w:pPr>
          </w:p>
        </w:tc>
        <w:tc>
          <w:tcPr>
            <w:tcW w:w="30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center"/>
              <w:ind w:left="542"/>
              <w:spacing w:after="0"/>
              <w:rPr>
                <w:sz w:val="20"/>
                <w:szCs w:val="20"/>
                <w:color w:val="auto"/>
              </w:rPr>
            </w:pPr>
            <w:r>
              <w:rPr>
                <w:rFonts w:ascii="Arial" w:cs="Arial" w:eastAsia="Arial" w:hAnsi="Arial"/>
                <w:sz w:val="16"/>
                <w:szCs w:val="16"/>
                <w:color w:val="1383C6"/>
                <w:w w:val="99"/>
              </w:rPr>
              <w:t>3,100</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left="522"/>
              <w:spacing w:after="0"/>
              <w:rPr>
                <w:sz w:val="20"/>
                <w:szCs w:val="20"/>
                <w:color w:val="auto"/>
              </w:rPr>
            </w:pPr>
            <w:r>
              <w:rPr>
                <w:rFonts w:ascii="Arial" w:cs="Arial" w:eastAsia="Arial" w:hAnsi="Arial"/>
                <w:sz w:val="16"/>
                <w:szCs w:val="16"/>
                <w:color w:val="auto"/>
                <w:w w:val="99"/>
              </w:rPr>
              <w:t>4,681</w:t>
            </w:r>
          </w:p>
        </w:tc>
      </w:tr>
      <w:tr>
        <w:trPr>
          <w:trHeight w:val="234"/>
        </w:trPr>
        <w:tc>
          <w:tcPr>
            <w:tcW w:w="5100" w:type="dxa"/>
            <w:vAlign w:val="bottom"/>
          </w:tcPr>
          <w:p>
            <w:pPr>
              <w:spacing w:after="0"/>
              <w:rPr>
                <w:sz w:val="20"/>
                <w:szCs w:val="20"/>
                <w:color w:val="auto"/>
              </w:rPr>
            </w:pPr>
            <w:r>
              <w:rPr>
                <w:rFonts w:ascii="Arial" w:cs="Arial" w:eastAsia="Arial" w:hAnsi="Arial"/>
                <w:sz w:val="16"/>
                <w:szCs w:val="16"/>
                <w:color w:val="auto"/>
              </w:rPr>
              <w:t>Additions charged to cost of product revenue</w:t>
            </w:r>
          </w:p>
        </w:tc>
        <w:tc>
          <w:tcPr>
            <w:tcW w:w="260" w:type="dxa"/>
            <w:vAlign w:val="bottom"/>
            <w:shd w:val="clear" w:color="auto" w:fill="E7F2F9"/>
          </w:tcPr>
          <w:p>
            <w:pPr>
              <w:spacing w:after="0"/>
              <w:rPr>
                <w:sz w:val="20"/>
                <w:szCs w:val="20"/>
                <w:color w:val="auto"/>
              </w:rPr>
            </w:pPr>
          </w:p>
        </w:tc>
        <w:tc>
          <w:tcPr>
            <w:tcW w:w="1220" w:type="dxa"/>
            <w:vAlign w:val="bottom"/>
            <w:shd w:val="clear" w:color="auto" w:fill="E7F2F9"/>
          </w:tcPr>
          <w:p>
            <w:pPr>
              <w:jc w:val="center"/>
              <w:ind w:left="622"/>
              <w:spacing w:after="0"/>
              <w:rPr>
                <w:sz w:val="20"/>
                <w:szCs w:val="20"/>
                <w:color w:val="auto"/>
              </w:rPr>
            </w:pPr>
            <w:r>
              <w:rPr>
                <w:rFonts w:ascii="Arial" w:cs="Arial" w:eastAsia="Arial" w:hAnsi="Arial"/>
                <w:sz w:val="16"/>
                <w:szCs w:val="16"/>
                <w:color w:val="1383C6"/>
                <w:w w:val="99"/>
              </w:rPr>
              <w:t>1,245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center"/>
              <w:ind w:left="542"/>
              <w:spacing w:after="0"/>
              <w:rPr>
                <w:sz w:val="20"/>
                <w:szCs w:val="20"/>
                <w:color w:val="auto"/>
              </w:rPr>
            </w:pPr>
            <w:r>
              <w:rPr>
                <w:rFonts w:ascii="Arial" w:cs="Arial" w:eastAsia="Arial" w:hAnsi="Arial"/>
                <w:sz w:val="16"/>
                <w:szCs w:val="16"/>
                <w:color w:val="auto"/>
                <w:w w:val="94"/>
              </w:rPr>
              <w:t>1,773</w:t>
            </w:r>
          </w:p>
        </w:tc>
        <w:tc>
          <w:tcPr>
            <w:tcW w:w="80" w:type="dxa"/>
            <w:vAlign w:val="bottom"/>
          </w:tcPr>
          <w:p>
            <w:pPr>
              <w:spacing w:after="0"/>
              <w:rPr>
                <w:sz w:val="20"/>
                <w:szCs w:val="20"/>
                <w:color w:val="auto"/>
              </w:rPr>
            </w:pPr>
          </w:p>
        </w:tc>
        <w:tc>
          <w:tcPr>
            <w:tcW w:w="300" w:type="dxa"/>
            <w:vAlign w:val="bottom"/>
            <w:shd w:val="clear" w:color="auto" w:fill="E7F2F9"/>
          </w:tcPr>
          <w:p>
            <w:pPr>
              <w:spacing w:after="0"/>
              <w:rPr>
                <w:sz w:val="20"/>
                <w:szCs w:val="20"/>
                <w:color w:val="auto"/>
              </w:rPr>
            </w:pPr>
          </w:p>
        </w:tc>
        <w:tc>
          <w:tcPr>
            <w:tcW w:w="1140" w:type="dxa"/>
            <w:vAlign w:val="bottom"/>
            <w:shd w:val="clear" w:color="auto" w:fill="E7F2F9"/>
          </w:tcPr>
          <w:p>
            <w:pPr>
              <w:jc w:val="center"/>
              <w:ind w:left="542"/>
              <w:spacing w:after="0"/>
              <w:rPr>
                <w:sz w:val="20"/>
                <w:szCs w:val="20"/>
                <w:color w:val="auto"/>
              </w:rPr>
            </w:pPr>
            <w:r>
              <w:rPr>
                <w:rFonts w:ascii="Arial" w:cs="Arial" w:eastAsia="Arial" w:hAnsi="Arial"/>
                <w:sz w:val="16"/>
                <w:szCs w:val="16"/>
                <w:color w:val="1383C6"/>
                <w:w w:val="99"/>
              </w:rPr>
              <w:t>2,557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center"/>
              <w:ind w:left="522"/>
              <w:spacing w:after="0"/>
              <w:rPr>
                <w:sz w:val="20"/>
                <w:szCs w:val="20"/>
                <w:color w:val="auto"/>
              </w:rPr>
            </w:pPr>
            <w:r>
              <w:rPr>
                <w:rFonts w:ascii="Arial" w:cs="Arial" w:eastAsia="Arial" w:hAnsi="Arial"/>
                <w:sz w:val="16"/>
                <w:szCs w:val="16"/>
                <w:color w:val="auto"/>
                <w:w w:val="99"/>
              </w:rPr>
              <w:t>3,373</w:t>
            </w:r>
          </w:p>
        </w:tc>
      </w:tr>
      <w:tr>
        <w:trPr>
          <w:trHeight w:val="242"/>
        </w:trPr>
        <w:tc>
          <w:tcPr>
            <w:tcW w:w="5100" w:type="dxa"/>
            <w:vAlign w:val="bottom"/>
          </w:tcPr>
          <w:p>
            <w:pPr>
              <w:spacing w:after="0"/>
              <w:rPr>
                <w:sz w:val="20"/>
                <w:szCs w:val="20"/>
                <w:color w:val="auto"/>
              </w:rPr>
            </w:pPr>
            <w:r>
              <w:rPr>
                <w:rFonts w:ascii="Arial" w:cs="Arial" w:eastAsia="Arial" w:hAnsi="Arial"/>
                <w:sz w:val="16"/>
                <w:szCs w:val="16"/>
                <w:color w:val="auto"/>
              </w:rPr>
              <w:t>Repairs and replacements</w:t>
            </w:r>
          </w:p>
        </w:tc>
        <w:tc>
          <w:tcPr>
            <w:tcW w:w="26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center"/>
              <w:ind w:left="602"/>
              <w:spacing w:after="0"/>
              <w:rPr>
                <w:sz w:val="20"/>
                <w:szCs w:val="20"/>
                <w:color w:val="auto"/>
              </w:rPr>
            </w:pPr>
            <w:r>
              <w:rPr>
                <w:rFonts w:ascii="Arial" w:cs="Arial" w:eastAsia="Arial" w:hAnsi="Arial"/>
                <w:sz w:val="16"/>
                <w:szCs w:val="16"/>
                <w:color w:val="1383C6"/>
                <w:w w:val="98"/>
              </w:rPr>
              <w:t>(1,416)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4"/>
              </w:rPr>
              <w:t>(2,431)</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center"/>
              <w:ind w:left="522"/>
              <w:spacing w:after="0"/>
              <w:rPr>
                <w:sz w:val="20"/>
                <w:szCs w:val="20"/>
                <w:color w:val="auto"/>
              </w:rPr>
            </w:pPr>
            <w:r>
              <w:rPr>
                <w:rFonts w:ascii="Arial" w:cs="Arial" w:eastAsia="Arial" w:hAnsi="Arial"/>
                <w:sz w:val="16"/>
                <w:szCs w:val="16"/>
                <w:color w:val="1383C6"/>
                <w:w w:val="98"/>
              </w:rPr>
              <w:t>(2,969)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502"/>
              <w:spacing w:after="0"/>
              <w:rPr>
                <w:sz w:val="20"/>
                <w:szCs w:val="20"/>
                <w:color w:val="auto"/>
              </w:rPr>
            </w:pPr>
            <w:r>
              <w:rPr>
                <w:rFonts w:ascii="Arial" w:cs="Arial" w:eastAsia="Arial" w:hAnsi="Arial"/>
                <w:sz w:val="16"/>
                <w:szCs w:val="16"/>
                <w:color w:val="auto"/>
                <w:w w:val="98"/>
              </w:rPr>
              <w:t>(4,592)</w:t>
            </w:r>
          </w:p>
        </w:tc>
      </w:tr>
      <w:tr>
        <w:trPr>
          <w:trHeight w:val="254"/>
        </w:trPr>
        <w:tc>
          <w:tcPr>
            <w:tcW w:w="510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center"/>
              <w:ind w:left="622"/>
              <w:spacing w:after="0"/>
              <w:rPr>
                <w:sz w:val="20"/>
                <w:szCs w:val="20"/>
                <w:color w:val="auto"/>
              </w:rPr>
            </w:pPr>
            <w:r>
              <w:rPr>
                <w:rFonts w:ascii="Arial" w:cs="Arial" w:eastAsia="Arial" w:hAnsi="Arial"/>
                <w:sz w:val="16"/>
                <w:szCs w:val="16"/>
                <w:color w:val="1383C6"/>
                <w:w w:val="99"/>
              </w:rPr>
              <w:t>2,688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542"/>
              <w:spacing w:after="0"/>
              <w:rPr>
                <w:sz w:val="20"/>
                <w:szCs w:val="20"/>
                <w:color w:val="auto"/>
              </w:rPr>
            </w:pPr>
            <w:r>
              <w:rPr>
                <w:rFonts w:ascii="Arial" w:cs="Arial" w:eastAsia="Arial" w:hAnsi="Arial"/>
                <w:sz w:val="16"/>
                <w:szCs w:val="16"/>
                <w:color w:val="auto"/>
                <w:w w:val="94"/>
              </w:rPr>
              <w:t>3,462</w:t>
            </w:r>
          </w:p>
        </w:tc>
        <w:tc>
          <w:tcPr>
            <w:tcW w:w="80" w:type="dxa"/>
            <w:vAlign w:val="bottom"/>
          </w:tcPr>
          <w:p>
            <w:pPr>
              <w:spacing w:after="0"/>
              <w:rPr>
                <w:sz w:val="22"/>
                <w:szCs w:val="22"/>
                <w:color w:val="auto"/>
              </w:rPr>
            </w:pPr>
          </w:p>
        </w:tc>
        <w:tc>
          <w:tcPr>
            <w:tcW w:w="30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center"/>
              <w:ind w:left="542"/>
              <w:spacing w:after="0"/>
              <w:rPr>
                <w:sz w:val="20"/>
                <w:szCs w:val="20"/>
                <w:color w:val="auto"/>
              </w:rPr>
            </w:pPr>
            <w:r>
              <w:rPr>
                <w:rFonts w:ascii="Arial" w:cs="Arial" w:eastAsia="Arial" w:hAnsi="Arial"/>
                <w:sz w:val="16"/>
                <w:szCs w:val="16"/>
                <w:color w:val="1383C6"/>
                <w:w w:val="99"/>
              </w:rPr>
              <w:t>2,688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left="522"/>
              <w:spacing w:after="0"/>
              <w:rPr>
                <w:sz w:val="20"/>
                <w:szCs w:val="20"/>
                <w:color w:val="auto"/>
              </w:rPr>
            </w:pPr>
            <w:r>
              <w:rPr>
                <w:rFonts w:ascii="Arial" w:cs="Arial" w:eastAsia="Arial" w:hAnsi="Arial"/>
                <w:sz w:val="16"/>
                <w:szCs w:val="16"/>
                <w:color w:val="auto"/>
                <w:w w:val="99"/>
              </w:rPr>
              <w:t>3,462</w:t>
            </w: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231140</wp:posOffset>
            </wp:positionV>
            <wp:extent cx="7137400" cy="247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4. CONVERTIBLE SENIOR NOTES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2029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37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on, and including, the trading day immediately preceding the date on which we provide the redemption notice at a redemption price of 100% of the principal amount of such 2029 Notes, plus accrued and unpaid interest up to, but excluding, the redemption date.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2029 Notes are subject to certain debt and lien covenants as well as springing guarantees, in each case, the terms of which are set forth in a second letter agreement between the Company and SBN entered into in connection with the Indenture.</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2029 Indenture includes customary “events of default,” which may result in the acceleration of the maturity of the 2029 Notes under the 2029 Indenture. The 2029 Indenture also includes customary covenants for convertible notes of this type.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2029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2029 Notes shall be subject to acceleration as provided for in the 2029 Indenture.</w:t>
      </w:r>
    </w:p>
    <w:p>
      <w:pPr>
        <w:spacing w:after="0" w:line="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2029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exchange qualified as a troubled debt restructuring under ASC 470-60 – </w:t>
      </w:r>
      <w:r>
        <w:rPr>
          <w:rFonts w:ascii="Arial" w:cs="Arial" w:eastAsia="Arial" w:hAnsi="Arial"/>
          <w:sz w:val="17"/>
          <w:szCs w:val="17"/>
          <w:i w:val="1"/>
          <w:iCs w:val="1"/>
          <w:color w:val="auto"/>
        </w:rPr>
        <w:t>Troubled Debt Restructurings by Debtors</w:t>
      </w:r>
      <w:r>
        <w:rPr>
          <w:rFonts w:ascii="Arial" w:cs="Arial" w:eastAsia="Arial" w:hAnsi="Arial"/>
          <w:sz w:val="17"/>
          <w:szCs w:val="17"/>
          <w:color w:val="auto"/>
        </w:rPr>
        <w:t>.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incurred issuance costs related to the 2029 Notes of approximately $3.1 million, including $0.2 million of lender fees, which were recorded as a reduction to the gain on debt restructuring in our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statements of operations and comprehensive loss. We also paid accrued but unpaid interest of $1.8 million on the 2028 Notes in connection with the 2024 Exchange Transaction.</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carrying amount of the liability for the 2029 Notes as of June 30, 2025 is $213.5 million, of which $210.5 million is included as convertible senior notes, net, non-current, and $3.0 million is included as accrued expenses on our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Changes to the 2029 Notes during the six months ended June 30, 2025 were as follows: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8"/>
        </w:trPr>
        <w:tc>
          <w:tcPr>
            <w:tcW w:w="9720" w:type="dxa"/>
            <w:vAlign w:val="bottom"/>
          </w:tcPr>
          <w:p>
            <w:pPr>
              <w:spacing w:after="0"/>
              <w:rPr>
                <w:sz w:val="20"/>
                <w:szCs w:val="20"/>
                <w:color w:val="auto"/>
              </w:rPr>
            </w:pPr>
            <w:r>
              <w:rPr>
                <w:rFonts w:ascii="Arial" w:cs="Arial" w:eastAsia="Arial" w:hAnsi="Arial"/>
                <w:sz w:val="16"/>
                <w:szCs w:val="16"/>
                <w:color w:val="auto"/>
              </w:rPr>
              <w:t>Carrying amount as of December 31, 2024</w:t>
            </w: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214,200</w:t>
            </w:r>
          </w:p>
        </w:tc>
      </w:tr>
      <w:tr>
        <w:trPr>
          <w:trHeight w:val="235"/>
        </w:trPr>
        <w:tc>
          <w:tcPr>
            <w:tcW w:w="9720" w:type="dxa"/>
            <w:vAlign w:val="bottom"/>
          </w:tcPr>
          <w:p>
            <w:pPr>
              <w:spacing w:after="0"/>
              <w:rPr>
                <w:sz w:val="20"/>
                <w:szCs w:val="20"/>
                <w:color w:val="auto"/>
              </w:rPr>
            </w:pPr>
            <w:r>
              <w:rPr>
                <w:rFonts w:ascii="Arial" w:cs="Arial" w:eastAsia="Arial" w:hAnsi="Arial"/>
                <w:sz w:val="16"/>
                <w:szCs w:val="16"/>
                <w:color w:val="auto"/>
              </w:rPr>
              <w:t>Contractual interest expense</w:t>
            </w:r>
          </w:p>
        </w:tc>
        <w:tc>
          <w:tcPr>
            <w:tcW w:w="500" w:type="dxa"/>
            <w:vAlign w:val="bottom"/>
            <w:tcBorders>
              <w:bottom w:val="single" w:sz="8" w:color="auto"/>
            </w:tcBorders>
            <w:shd w:val="clear" w:color="auto" w:fill="E7F2F9"/>
          </w:tcPr>
          <w:p>
            <w:pPr>
              <w:spacing w:after="0"/>
              <w:rPr>
                <w:sz w:val="20"/>
                <w:szCs w:val="20"/>
                <w:color w:val="auto"/>
              </w:rPr>
            </w:pPr>
          </w:p>
        </w:tc>
        <w:tc>
          <w:tcPr>
            <w:tcW w:w="10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(700)</w:t>
            </w:r>
          </w:p>
        </w:tc>
      </w:tr>
      <w:tr>
        <w:trPr>
          <w:trHeight w:val="259"/>
        </w:trPr>
        <w:tc>
          <w:tcPr>
            <w:tcW w:w="9720" w:type="dxa"/>
            <w:vAlign w:val="bottom"/>
          </w:tcPr>
          <w:p>
            <w:pPr>
              <w:spacing w:after="0"/>
              <w:rPr>
                <w:sz w:val="20"/>
                <w:szCs w:val="20"/>
                <w:color w:val="auto"/>
              </w:rPr>
            </w:pPr>
            <w:r>
              <w:rPr>
                <w:rFonts w:ascii="Arial" w:cs="Arial" w:eastAsia="Arial" w:hAnsi="Arial"/>
                <w:sz w:val="16"/>
                <w:szCs w:val="16"/>
                <w:color w:val="auto"/>
              </w:rPr>
              <w:t>Carrying amount as of June 30, 2025</w:t>
            </w:r>
          </w:p>
        </w:tc>
        <w:tc>
          <w:tcPr>
            <w:tcW w:w="500" w:type="dxa"/>
            <w:vAlign w:val="bottom"/>
            <w:tcBorders>
              <w:bottom w:val="single" w:sz="8" w:color="auto"/>
            </w:tcBorders>
            <w:shd w:val="clear" w:color="auto" w:fill="E7F2F9"/>
          </w:tcPr>
          <w:p>
            <w:pPr>
              <w:jc w:val="right"/>
              <w:ind w:right="302"/>
              <w:spacing w:after="0"/>
              <w:rPr>
                <w:sz w:val="20"/>
                <w:szCs w:val="20"/>
                <w:color w:val="auto"/>
              </w:rPr>
            </w:pPr>
            <w:r>
              <w:rPr>
                <w:rFonts w:ascii="Arial" w:cs="Arial" w:eastAsia="Arial" w:hAnsi="Arial"/>
                <w:sz w:val="16"/>
                <w:szCs w:val="16"/>
                <w:color w:val="1383C6"/>
              </w:rPr>
              <w:t>$</w:t>
            </w:r>
          </w:p>
        </w:tc>
        <w:tc>
          <w:tcPr>
            <w:tcW w:w="10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213,500</w:t>
            </w:r>
          </w:p>
        </w:tc>
      </w:tr>
      <w:tr>
        <w:trPr>
          <w:trHeight w:val="20"/>
        </w:trPr>
        <w:tc>
          <w:tcPr>
            <w:tcW w:w="9720" w:type="dxa"/>
            <w:vAlign w:val="bottom"/>
          </w:tcPr>
          <w:p>
            <w:pPr>
              <w:spacing w:after="0" w:line="20" w:lineRule="exact"/>
              <w:rPr>
                <w:sz w:val="1"/>
                <w:szCs w:val="1"/>
                <w:color w:val="auto"/>
              </w:rPr>
            </w:pPr>
          </w:p>
        </w:tc>
        <w:tc>
          <w:tcPr>
            <w:tcW w:w="500" w:type="dxa"/>
            <w:vAlign w:val="bottom"/>
            <w:tcBorders>
              <w:top w:val="single" w:sz="8" w:color="E7F2F9"/>
              <w:bottom w:val="single" w:sz="8" w:color="auto"/>
            </w:tcBorders>
          </w:tcPr>
          <w:p>
            <w:pPr>
              <w:spacing w:after="0" w:line="20" w:lineRule="exact"/>
              <w:rPr>
                <w:sz w:val="1"/>
                <w:szCs w:val="1"/>
                <w:color w:val="auto"/>
              </w:rPr>
            </w:pPr>
          </w:p>
        </w:tc>
        <w:tc>
          <w:tcPr>
            <w:tcW w:w="1000" w:type="dxa"/>
            <w:vAlign w:val="bottom"/>
            <w:tcBorders>
              <w:top w:val="single" w:sz="8" w:color="E7F2F9"/>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June 30, 2025, the estimated fair value (Level 2) of the 2029 Notes was $161.9 million. The fair value of the 2029 Notes is estimated using a binomial lattice model that is primarily affected by the trading price of our common stock, market interest rates and volatility.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2030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13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17</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2030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2030 Notes shall be subject to acceleration as provided for in the 2030 Indenture.</w:t>
      </w:r>
    </w:p>
    <w:p>
      <w:pPr>
        <w:spacing w:after="0" w:line="1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2023 Exchange Transaction was accounted for as an extinguishment driven by the change in fair value of the embedded conversion option. We recorded a loss on extinguishment of debt of approximately $2.0 million in connection with the 2023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incurred issuance costs related to the 2030 Notes of approximately $7.3 million, which were recorded as debt issuance costs and are presented as a reduction to the 2030 Notes on our condensed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2023 Exchange Transaction on June 30, 2023.</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receive any cash proceeds from the 2023 Exchange Transaction. In exchange for issuing the 2030 Notes pursuant to the 2023 Exchange Transaction, we received and cancelled the exchanged 2028 Notes. Following the closing of the 2023 Exchange Transaction, $459.0 million in aggregate principal amount of 2028 Notes remained outstanding with terms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37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net carrying amount of the liability for the 2030 Notes is included as convertible senior notes, net, non-current in the condensed consolidated balance sheets as follows:</w:t>
      </w:r>
    </w:p>
    <w:p>
      <w:pPr>
        <w:sectPr>
          <w:pgSz w:w="11900" w:h="16838" w:orient="portrait"/>
          <w:cols w:equalWidth="0" w:num="1">
            <w:col w:w="11240"/>
          </w:cols>
          <w:pgMar w:left="320" w:top="122"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amount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Unamortized debt premium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Unamortized debt issuance costs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carrying amount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80" w:type="dxa"/>
            <w:vAlign w:val="bottom"/>
            <w:shd w:val="clear" w:color="auto" w:fill="E7F2F9"/>
          </w:tcPr>
          <w:p>
            <w:pPr>
              <w:spacing w:after="0"/>
              <w:rPr>
                <w:sz w:val="16"/>
                <w:szCs w:val="16"/>
                <w:color w:val="auto"/>
              </w:rPr>
            </w:pPr>
          </w:p>
        </w:tc>
        <w:tc>
          <w:tcPr>
            <w:tcW w:w="1220" w:type="dxa"/>
            <w:vAlign w:val="bottom"/>
            <w:shd w:val="clear" w:color="auto" w:fill="E7F2F9"/>
          </w:tcPr>
          <w:p>
            <w:pPr>
              <w:jc w:val="right"/>
              <w:ind w:right="362"/>
              <w:spacing w:after="0"/>
              <w:rPr>
                <w:sz w:val="20"/>
                <w:szCs w:val="20"/>
                <w:color w:val="auto"/>
              </w:rPr>
            </w:pPr>
            <w:r>
              <w:rPr>
                <w:rFonts w:ascii="Arial" w:cs="Arial" w:eastAsia="Arial" w:hAnsi="Arial"/>
                <w:sz w:val="16"/>
                <w:szCs w:val="16"/>
                <w:b w:val="1"/>
                <w:bCs w:val="1"/>
                <w:color w:val="1383C6"/>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b w:val="1"/>
                <w:bCs w:val="1"/>
                <w:color w:val="auto"/>
              </w:rPr>
              <w:t>December 31,</w:t>
            </w:r>
          </w:p>
        </w:tc>
      </w:tr>
      <w:tr>
        <w:trPr>
          <w:trHeight w:val="235"/>
        </w:trPr>
        <w:tc>
          <w:tcPr>
            <w:tcW w:w="280" w:type="dxa"/>
            <w:vAlign w:val="bottom"/>
            <w:tcBorders>
              <w:bottom w:val="single" w:sz="8" w:color="E7F2F9"/>
            </w:tcBorders>
            <w:shd w:val="clear" w:color="auto" w:fill="E7F2F9"/>
          </w:tcPr>
          <w:p>
            <w:pPr>
              <w:spacing w:after="0"/>
              <w:rPr>
                <w:sz w:val="20"/>
                <w:szCs w:val="20"/>
                <w:color w:val="auto"/>
              </w:rPr>
            </w:pPr>
          </w:p>
        </w:tc>
        <w:tc>
          <w:tcPr>
            <w:tcW w:w="1220" w:type="dxa"/>
            <w:vAlign w:val="bottom"/>
            <w:tcBorders>
              <w:bottom w:val="single" w:sz="8" w:color="E7F2F9"/>
            </w:tcBorders>
            <w:shd w:val="clear" w:color="auto" w:fill="E7F2F9"/>
          </w:tcPr>
          <w:p>
            <w:pPr>
              <w:jc w:val="right"/>
              <w:ind w:right="502"/>
              <w:spacing w:after="0"/>
              <w:rPr>
                <w:sz w:val="20"/>
                <w:szCs w:val="20"/>
                <w:color w:val="auto"/>
              </w:rPr>
            </w:pPr>
            <w:r>
              <w:rPr>
                <w:rFonts w:ascii="Arial" w:cs="Arial" w:eastAsia="Arial" w:hAnsi="Arial"/>
                <w:sz w:val="16"/>
                <w:szCs w:val="16"/>
                <w:b w:val="1"/>
                <w:bCs w:val="1"/>
                <w:color w:val="1383C6"/>
              </w:rPr>
              <w:t>2025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r>
      <w:tr>
        <w:trPr>
          <w:trHeight w:val="212"/>
        </w:trPr>
        <w:tc>
          <w:tcPr>
            <w:tcW w:w="280" w:type="dxa"/>
            <w:vAlign w:val="bottom"/>
            <w:tcBorders>
              <w:top w:val="single" w:sz="8" w:color="auto"/>
            </w:tcBorders>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220" w:type="dxa"/>
            <w:vAlign w:val="bottom"/>
            <w:tcBorders>
              <w:top w:val="single" w:sz="8" w:color="auto"/>
            </w:tcBorders>
            <w:shd w:val="clear" w:color="auto" w:fill="E7F2F9"/>
          </w:tcPr>
          <w:p>
            <w:pPr>
              <w:jc w:val="right"/>
              <w:ind w:right="2"/>
              <w:spacing w:after="0"/>
              <w:rPr>
                <w:sz w:val="20"/>
                <w:szCs w:val="20"/>
                <w:color w:val="auto"/>
              </w:rPr>
            </w:pPr>
            <w:r>
              <w:rPr>
                <w:rFonts w:ascii="Arial" w:cs="Arial" w:eastAsia="Arial" w:hAnsi="Arial"/>
                <w:sz w:val="16"/>
                <w:szCs w:val="16"/>
                <w:color w:val="1383C6"/>
              </w:rPr>
              <w:t>441,000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441,000</w:t>
            </w:r>
          </w:p>
        </w:tc>
      </w:tr>
      <w:tr>
        <w:trPr>
          <w:trHeight w:val="234"/>
        </w:trPr>
        <w:tc>
          <w:tcPr>
            <w:tcW w:w="280" w:type="dxa"/>
            <w:vAlign w:val="bottom"/>
            <w:shd w:val="clear" w:color="auto" w:fill="E7F2F9"/>
          </w:tcPr>
          <w:p>
            <w:pPr>
              <w:spacing w:after="0"/>
              <w:rPr>
                <w:sz w:val="20"/>
                <w:szCs w:val="20"/>
                <w:color w:val="auto"/>
              </w:rPr>
            </w:pPr>
          </w:p>
        </w:tc>
        <w:tc>
          <w:tcPr>
            <w:tcW w:w="122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416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42"/>
        </w:trPr>
        <w:tc>
          <w:tcPr>
            <w:tcW w:w="28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(5,480)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w:t>
            </w:r>
          </w:p>
        </w:tc>
      </w:tr>
      <w:tr>
        <w:trPr>
          <w:trHeight w:val="247"/>
        </w:trPr>
        <w:tc>
          <w:tcPr>
            <w:tcW w:w="28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435,936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435,494</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2030 Notes was as follows: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9"/>
                <w:szCs w:val="19"/>
                <w:color w:val="auto"/>
              </w:rPr>
            </w:pPr>
          </w:p>
        </w:tc>
        <w:tc>
          <w:tcPr>
            <w:tcW w:w="2680" w:type="dxa"/>
            <w:vAlign w:val="bottom"/>
            <w:gridSpan w:val="4"/>
          </w:tcPr>
          <w:p>
            <w:pPr>
              <w:jc w:val="right"/>
              <w:ind w:right="402"/>
              <w:spacing w:after="0"/>
              <w:rPr>
                <w:sz w:val="20"/>
                <w:szCs w:val="20"/>
                <w:color w:val="auto"/>
              </w:rPr>
            </w:pPr>
            <w:r>
              <w:rPr>
                <w:rFonts w:ascii="Arial" w:cs="Arial" w:eastAsia="Arial" w:hAnsi="Arial"/>
                <w:sz w:val="16"/>
                <w:szCs w:val="16"/>
                <w:b w:val="1"/>
                <w:bCs w:val="1"/>
                <w:color w:val="auto"/>
              </w:rPr>
              <w:t>Six Months Ended June 30,</w:t>
            </w:r>
          </w:p>
        </w:tc>
      </w:tr>
      <w:tr>
        <w:trPr>
          <w:trHeight w:val="224"/>
        </w:trPr>
        <w:tc>
          <w:tcPr>
            <w:tcW w:w="5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shd w:val="clear" w:color="auto" w:fill="E7F2F9"/>
          </w:tcPr>
          <w:p>
            <w:pPr>
              <w:spacing w:after="0"/>
              <w:rPr>
                <w:sz w:val="19"/>
                <w:szCs w:val="19"/>
                <w:color w:val="auto"/>
              </w:rPr>
            </w:pPr>
          </w:p>
        </w:tc>
        <w:tc>
          <w:tcPr>
            <w:tcW w:w="1220" w:type="dxa"/>
            <w:vAlign w:val="bottom"/>
            <w:tcBorders>
              <w:top w:val="single" w:sz="8" w:color="auto"/>
              <w:bottom w:val="single" w:sz="8" w:color="auto"/>
            </w:tcBorders>
            <w:shd w:val="clear" w:color="auto" w:fill="E7F2F9"/>
          </w:tcPr>
          <w:p>
            <w:pPr>
              <w:jc w:val="right"/>
              <w:ind w:right="48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shd w:val="clear" w:color="auto" w:fill="E7F2F9"/>
          </w:tcPr>
          <w:p>
            <w:pPr>
              <w:spacing w:after="0"/>
              <w:rPr>
                <w:sz w:val="19"/>
                <w:szCs w:val="19"/>
                <w:color w:val="auto"/>
              </w:rPr>
            </w:pPr>
          </w:p>
        </w:tc>
        <w:tc>
          <w:tcPr>
            <w:tcW w:w="1140" w:type="dxa"/>
            <w:vAlign w:val="bottom"/>
            <w:tcBorders>
              <w:top w:val="single" w:sz="8" w:color="auto"/>
              <w:bottom w:val="single" w:sz="8" w:color="auto"/>
            </w:tcBorders>
            <w:shd w:val="clear" w:color="auto" w:fill="E7F2F9"/>
          </w:tcPr>
          <w:p>
            <w:pPr>
              <w:jc w:val="right"/>
              <w:ind w:right="46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19"/>
        </w:trPr>
        <w:tc>
          <w:tcPr>
            <w:tcW w:w="5100" w:type="dxa"/>
            <w:vAlign w:val="bottom"/>
          </w:tcPr>
          <w:p>
            <w:pPr>
              <w:spacing w:after="0"/>
              <w:rPr>
                <w:sz w:val="20"/>
                <w:szCs w:val="20"/>
                <w:color w:val="auto"/>
              </w:rPr>
            </w:pPr>
            <w:r>
              <w:rPr>
                <w:rFonts w:ascii="Arial" w:cs="Arial" w:eastAsia="Arial" w:hAnsi="Arial"/>
                <w:sz w:val="16"/>
                <w:szCs w:val="16"/>
                <w:color w:val="auto"/>
              </w:rPr>
              <w:t>Contractual interest expense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1,516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1,516</w:t>
            </w:r>
          </w:p>
        </w:tc>
        <w:tc>
          <w:tcPr>
            <w:tcW w:w="80" w:type="dxa"/>
            <w:vAlign w:val="bottom"/>
          </w:tcPr>
          <w:p>
            <w:pPr>
              <w:spacing w:after="0"/>
              <w:rPr>
                <w:sz w:val="19"/>
                <w:szCs w:val="19"/>
                <w:color w:val="auto"/>
              </w:rPr>
            </w:pPr>
          </w:p>
        </w:tc>
        <w:tc>
          <w:tcPr>
            <w:tcW w:w="30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3,032</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42"/>
        </w:trPr>
        <w:tc>
          <w:tcPr>
            <w:tcW w:w="510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240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1"/>
                <w:szCs w:val="21"/>
                <w:color w:val="auto"/>
              </w:rPr>
            </w:pPr>
          </w:p>
        </w:tc>
        <w:tc>
          <w:tcPr>
            <w:tcW w:w="30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479</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47"/>
        </w:trPr>
        <w:tc>
          <w:tcPr>
            <w:tcW w:w="5100" w:type="dxa"/>
            <w:vAlign w:val="bottom"/>
          </w:tcPr>
          <w:p>
            <w:pPr>
              <w:spacing w:after="0"/>
              <w:rPr>
                <w:sz w:val="20"/>
                <w:szCs w:val="20"/>
                <w:color w:val="auto"/>
              </w:rPr>
            </w:pPr>
            <w:r>
              <w:rPr>
                <w:rFonts w:ascii="Arial" w:cs="Arial" w:eastAsia="Arial" w:hAnsi="Arial"/>
                <w:sz w:val="16"/>
                <w:szCs w:val="16"/>
                <w:color w:val="auto"/>
              </w:rPr>
              <w:t>Total interest expense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1,756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1,752</w:t>
            </w:r>
          </w:p>
        </w:tc>
        <w:tc>
          <w:tcPr>
            <w:tcW w:w="80" w:type="dxa"/>
            <w:vAlign w:val="bottom"/>
          </w:tcPr>
          <w:p>
            <w:pPr>
              <w:spacing w:after="0"/>
              <w:rPr>
                <w:sz w:val="21"/>
                <w:szCs w:val="21"/>
                <w:color w:val="auto"/>
              </w:rPr>
            </w:pPr>
          </w:p>
        </w:tc>
        <w:tc>
          <w:tcPr>
            <w:tcW w:w="30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3,511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3,524</w:t>
            </w: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of June 30, 2025, the estimated fair value (Level 2) of the 2030 Notes was $291.3 million. The fair value of the 2030 Notes is estimated using a binomial lattice model that is primarily affected by the trading price of our common stock, market interest rates and volatility.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2028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February 9, 2021, we entered into an investment agreement with SBN relating to the issuance and sale to SBN of $ 900.0 million in aggregate principal amount of the 2028 Notes. The 2028 Notes were issued on February 16, 2021 and bore interest at a rate of 1.50% per annum. As discussed above, in June 2023 we completed an exchange of $441.0 million in aggregate principal amount of our 2028 Notes for $ 441.0 million aggregate principal amount of the 2030 Notes, leaving approximately $ 459.0 million in aggregate principal amount of 2028 Notes outstanding. Also as discussed above, in November 2024 we completed an exchange of the remaining $459.0 million in aggregate principal amount of the 2028 Notes outstanding for (i) $200.0 million aggregate principal amount of the 2029 Notes, (ii) the Exchange Shares and (iii) $50.0 million of cash. As of December 31, 2024 no amounts were outstanding on the 2028 Notes.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incurred issuance costs related to the 2028 Notes of approximately $4.5 million, which were recorded as debt issuance costs and are presented as a reduction to the 2028 Notes on our consolidated balance sheets. The debt issuance costs were amortized to interest expense using the effective interest method over the term of the 2028 Notes, resulting in an effective interest rate of 1.6%. In connection with the 2024 Exchange Transaction, the remaining unamortized debt issuance costs related to the 2028 Notes of $1.1 million were extinguished by offsetting the carrying amount of the convertible senior notes.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2028 Notes was as follows: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2740" w:type="dxa"/>
            <w:vAlign w:val="bottom"/>
            <w:gridSpan w:val="4"/>
          </w:tcPr>
          <w:p>
            <w:pPr>
              <w:jc w:val="right"/>
              <w:ind w:right="442"/>
              <w:spacing w:after="0"/>
              <w:rPr>
                <w:sz w:val="20"/>
                <w:szCs w:val="20"/>
                <w:color w:val="auto"/>
              </w:rPr>
            </w:pPr>
            <w:r>
              <w:rPr>
                <w:rFonts w:ascii="Arial" w:cs="Arial" w:eastAsia="Arial" w:hAnsi="Arial"/>
                <w:sz w:val="16"/>
                <w:szCs w:val="16"/>
                <w:b w:val="1"/>
                <w:bCs w:val="1"/>
                <w:color w:val="auto"/>
              </w:rPr>
              <w:t>Six Months Ended June 30,</w:t>
            </w:r>
          </w:p>
        </w:tc>
      </w:tr>
      <w:tr>
        <w:trPr>
          <w:trHeight w:val="227"/>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shd w:val="clear" w:color="auto" w:fill="E7F2F9"/>
          </w:tcPr>
          <w:p>
            <w:pPr>
              <w:spacing w:after="0"/>
              <w:rPr>
                <w:sz w:val="19"/>
                <w:szCs w:val="19"/>
                <w:color w:val="auto"/>
              </w:rPr>
            </w:pPr>
          </w:p>
        </w:tc>
        <w:tc>
          <w:tcPr>
            <w:tcW w:w="1220" w:type="dxa"/>
            <w:vAlign w:val="bottom"/>
            <w:tcBorders>
              <w:top w:val="single" w:sz="8" w:color="auto"/>
              <w:bottom w:val="single" w:sz="8" w:color="auto"/>
            </w:tcBorders>
            <w:shd w:val="clear" w:color="auto" w:fill="E7F2F9"/>
          </w:tcPr>
          <w:p>
            <w:pPr>
              <w:ind w:left="300"/>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E7F2F9"/>
          </w:tcPr>
          <w:p>
            <w:pPr>
              <w:spacing w:after="0"/>
              <w:rPr>
                <w:sz w:val="19"/>
                <w:szCs w:val="19"/>
                <w:color w:val="auto"/>
              </w:rPr>
            </w:pPr>
          </w:p>
        </w:tc>
        <w:tc>
          <w:tcPr>
            <w:tcW w:w="1160" w:type="dxa"/>
            <w:vAlign w:val="bottom"/>
            <w:tcBorders>
              <w:top w:val="single" w:sz="8" w:color="auto"/>
              <w:bottom w:val="single" w:sz="8" w:color="auto"/>
            </w:tcBorders>
            <w:shd w:val="clear" w:color="auto" w:fill="E7F2F9"/>
          </w:tcPr>
          <w:p>
            <w:pPr>
              <w:jc w:val="right"/>
              <w:ind w:right="48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r>
      <w:tr>
        <w:trPr>
          <w:trHeight w:val="216"/>
        </w:trPr>
        <w:tc>
          <w:tcPr>
            <w:tcW w:w="5020" w:type="dxa"/>
            <w:vAlign w:val="bottom"/>
          </w:tcPr>
          <w:p>
            <w:pPr>
              <w:spacing w:after="0"/>
              <w:rPr>
                <w:sz w:val="20"/>
                <w:szCs w:val="20"/>
                <w:color w:val="auto"/>
              </w:rPr>
            </w:pPr>
            <w:r>
              <w:rPr>
                <w:rFonts w:ascii="Arial" w:cs="Arial" w:eastAsia="Arial" w:hAnsi="Arial"/>
                <w:sz w:val="16"/>
                <w:szCs w:val="16"/>
                <w:color w:val="auto"/>
              </w:rPr>
              <w:t>Contractual interest expense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ind w:left="1000"/>
              <w:spacing w:after="0"/>
              <w:rPr>
                <w:sz w:val="20"/>
                <w:szCs w:val="20"/>
                <w:color w:val="auto"/>
              </w:rPr>
            </w:pPr>
            <w:r>
              <w:rPr>
                <w:rFonts w:ascii="Arial" w:cs="Arial" w:eastAsia="Arial" w:hAnsi="Arial"/>
                <w:sz w:val="16"/>
                <w:szCs w:val="16"/>
                <w:color w:val="1383C6"/>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1,721</w:t>
            </w:r>
          </w:p>
        </w:tc>
        <w:tc>
          <w:tcPr>
            <w:tcW w:w="80" w:type="dxa"/>
            <w:vAlign w:val="bottom"/>
          </w:tcPr>
          <w:p>
            <w:pPr>
              <w:spacing w:after="0"/>
              <w:rPr>
                <w:sz w:val="18"/>
                <w:szCs w:val="18"/>
                <w:color w:val="auto"/>
              </w:rPr>
            </w:pPr>
          </w:p>
        </w:tc>
        <w:tc>
          <w:tcPr>
            <w:tcW w:w="32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rPr>
              <w:t>$</w:t>
            </w:r>
          </w:p>
        </w:tc>
        <w:tc>
          <w:tcPr>
            <w:tcW w:w="1160" w:type="dxa"/>
            <w:vAlign w:val="bottom"/>
            <w:shd w:val="clear" w:color="auto" w:fill="E7F2F9"/>
          </w:tcPr>
          <w:p>
            <w:pPr>
              <w:ind w:left="940"/>
              <w:spacing w:after="0"/>
              <w:rPr>
                <w:sz w:val="20"/>
                <w:szCs w:val="20"/>
                <w:color w:val="auto"/>
              </w:rPr>
            </w:pPr>
            <w:r>
              <w:rPr>
                <w:rFonts w:ascii="Arial" w:cs="Arial" w:eastAsia="Arial" w:hAnsi="Arial"/>
                <w:sz w:val="16"/>
                <w:szCs w:val="16"/>
                <w:color w:val="1383C6"/>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3,442</w:t>
            </w:r>
          </w:p>
        </w:tc>
      </w:tr>
      <w:tr>
        <w:trPr>
          <w:trHeight w:val="242"/>
        </w:trPr>
        <w:tc>
          <w:tcPr>
            <w:tcW w:w="5020" w:type="dxa"/>
            <w:vAlign w:val="bottom"/>
          </w:tcPr>
          <w:p>
            <w:pPr>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ind w:left="1000"/>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E7F2F9"/>
          </w:tcPr>
          <w:p>
            <w:pPr>
              <w:spacing w:after="0"/>
              <w:rPr>
                <w:sz w:val="21"/>
                <w:szCs w:val="21"/>
                <w:color w:val="auto"/>
              </w:rPr>
            </w:pPr>
          </w:p>
        </w:tc>
        <w:tc>
          <w:tcPr>
            <w:tcW w:w="1160" w:type="dxa"/>
            <w:vAlign w:val="bottom"/>
            <w:tcBorders>
              <w:bottom w:val="single" w:sz="8" w:color="auto"/>
            </w:tcBorders>
            <w:shd w:val="clear" w:color="auto" w:fill="E7F2F9"/>
          </w:tcPr>
          <w:p>
            <w:pPr>
              <w:ind w:left="940"/>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54"/>
        </w:trPr>
        <w:tc>
          <w:tcPr>
            <w:tcW w:w="5020" w:type="dxa"/>
            <w:vAlign w:val="bottom"/>
          </w:tcPr>
          <w:p>
            <w:pPr>
              <w:spacing w:after="0"/>
              <w:rPr>
                <w:sz w:val="20"/>
                <w:szCs w:val="20"/>
                <w:color w:val="auto"/>
              </w:rPr>
            </w:pPr>
            <w:r>
              <w:rPr>
                <w:rFonts w:ascii="Arial" w:cs="Arial" w:eastAsia="Arial" w:hAnsi="Arial"/>
                <w:sz w:val="16"/>
                <w:szCs w:val="16"/>
                <w:color w:val="auto"/>
              </w:rPr>
              <w:t>Total interest expense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ind w:left="1000"/>
              <w:spacing w:after="0"/>
              <w:rPr>
                <w:sz w:val="20"/>
                <w:szCs w:val="20"/>
                <w:color w:val="auto"/>
              </w:rPr>
            </w:pPr>
            <w:r>
              <w:rPr>
                <w:rFonts w:ascii="Arial" w:cs="Arial" w:eastAsia="Arial" w:hAnsi="Arial"/>
                <w:sz w:val="16"/>
                <w:szCs w:val="16"/>
                <w:color w:val="1383C6"/>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1,802</w:t>
            </w:r>
          </w:p>
        </w:tc>
        <w:tc>
          <w:tcPr>
            <w:tcW w:w="80" w:type="dxa"/>
            <w:vAlign w:val="bottom"/>
          </w:tcPr>
          <w:p>
            <w:pPr>
              <w:spacing w:after="0"/>
              <w:rPr>
                <w:sz w:val="22"/>
                <w:szCs w:val="22"/>
                <w:color w:val="auto"/>
              </w:rPr>
            </w:pPr>
          </w:p>
        </w:tc>
        <w:tc>
          <w:tcPr>
            <w:tcW w:w="320" w:type="dxa"/>
            <w:vAlign w:val="bottom"/>
            <w:shd w:val="clear" w:color="auto" w:fill="E7F2F9"/>
          </w:tcPr>
          <w:p>
            <w:pPr>
              <w:jc w:val="right"/>
              <w:ind w:right="122"/>
              <w:spacing w:after="0"/>
              <w:rPr>
                <w:sz w:val="20"/>
                <w:szCs w:val="20"/>
                <w:color w:val="auto"/>
              </w:rPr>
            </w:pPr>
            <w:r>
              <w:rPr>
                <w:rFonts w:ascii="Arial" w:cs="Arial" w:eastAsia="Arial" w:hAnsi="Arial"/>
                <w:sz w:val="16"/>
                <w:szCs w:val="16"/>
                <w:color w:val="1383C6"/>
              </w:rPr>
              <w:t>$</w:t>
            </w:r>
          </w:p>
        </w:tc>
        <w:tc>
          <w:tcPr>
            <w:tcW w:w="1160" w:type="dxa"/>
            <w:vAlign w:val="bottom"/>
            <w:shd w:val="clear" w:color="auto" w:fill="E7F2F9"/>
          </w:tcPr>
          <w:p>
            <w:pPr>
              <w:ind w:left="940"/>
              <w:spacing w:after="0"/>
              <w:rPr>
                <w:sz w:val="20"/>
                <w:szCs w:val="20"/>
                <w:color w:val="auto"/>
              </w:rPr>
            </w:pPr>
            <w:r>
              <w:rPr>
                <w:rFonts w:ascii="Arial" w:cs="Arial" w:eastAsia="Arial" w:hAnsi="Arial"/>
                <w:sz w:val="16"/>
                <w:szCs w:val="16"/>
                <w:color w:val="1383C6"/>
              </w:rPr>
              <w:t>—</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3,604</w:t>
            </w:r>
          </w:p>
        </w:tc>
      </w:tr>
      <w:tr>
        <w:trPr>
          <w:trHeight w:val="20"/>
        </w:trPr>
        <w:tc>
          <w:tcPr>
            <w:tcW w:w="5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7137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564515</wp:posOffset>
            </wp:positionV>
            <wp:extent cx="7137400" cy="247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5. RESTRUCTURING</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2025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quarter of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pre-tax restructuring charges are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120" w:type="dxa"/>
            <w:vAlign w:val="bottom"/>
            <w:shd w:val="clear" w:color="auto" w:fill="E7F2F9"/>
          </w:tcPr>
          <w:p>
            <w:pPr>
              <w:spacing w:after="0"/>
              <w:rPr>
                <w:sz w:val="17"/>
                <w:szCs w:val="17"/>
                <w:color w:val="auto"/>
              </w:rPr>
            </w:pPr>
          </w:p>
        </w:tc>
        <w:tc>
          <w:tcPr>
            <w:tcW w:w="2380" w:type="dxa"/>
            <w:vAlign w:val="bottom"/>
            <w:shd w:val="clear" w:color="auto" w:fill="E7F2F9"/>
          </w:tcPr>
          <w:p>
            <w:pPr>
              <w:jc w:val="right"/>
              <w:ind w:right="62"/>
              <w:spacing w:after="0"/>
              <w:rPr>
                <w:sz w:val="20"/>
                <w:szCs w:val="20"/>
                <w:color w:val="auto"/>
              </w:rPr>
            </w:pPr>
            <w:r>
              <w:rPr>
                <w:rFonts w:ascii="Arial" w:cs="Arial" w:eastAsia="Arial" w:hAnsi="Arial"/>
                <w:sz w:val="16"/>
                <w:szCs w:val="16"/>
                <w:b w:val="1"/>
                <w:bCs w:val="1"/>
                <w:color w:val="1383C6"/>
                <w:w w:val="97"/>
              </w:rPr>
              <w:t>Three Months Ended June 30,</w:t>
            </w:r>
          </w:p>
        </w:tc>
        <w:tc>
          <w:tcPr>
            <w:tcW w:w="220" w:type="dxa"/>
            <w:vAlign w:val="bottom"/>
          </w:tcPr>
          <w:p>
            <w:pPr>
              <w:spacing w:after="0"/>
              <w:rPr>
                <w:sz w:val="17"/>
                <w:szCs w:val="17"/>
                <w:color w:val="auto"/>
              </w:rPr>
            </w:pPr>
          </w:p>
        </w:tc>
        <w:tc>
          <w:tcPr>
            <w:tcW w:w="25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Cumulative amount incurred to</w:t>
            </w:r>
          </w:p>
        </w:tc>
      </w:tr>
      <w:tr>
        <w:trPr>
          <w:trHeight w:val="219"/>
        </w:trPr>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shd w:val="clear" w:color="auto" w:fill="E7F2F9"/>
          </w:tcPr>
          <w:p>
            <w:pPr>
              <w:spacing w:after="0"/>
              <w:rPr>
                <w:sz w:val="19"/>
                <w:szCs w:val="19"/>
                <w:color w:val="auto"/>
              </w:rPr>
            </w:pPr>
          </w:p>
        </w:tc>
        <w:tc>
          <w:tcPr>
            <w:tcW w:w="2380" w:type="dxa"/>
            <w:vAlign w:val="bottom"/>
            <w:tcBorders>
              <w:bottom w:val="single" w:sz="8" w:color="auto"/>
            </w:tcBorders>
            <w:shd w:val="clear" w:color="auto" w:fill="E7F2F9"/>
          </w:tcPr>
          <w:p>
            <w:pPr>
              <w:jc w:val="right"/>
              <w:ind w:right="1002"/>
              <w:spacing w:after="0"/>
              <w:rPr>
                <w:sz w:val="20"/>
                <w:szCs w:val="20"/>
                <w:color w:val="auto"/>
              </w:rPr>
            </w:pPr>
            <w:r>
              <w:rPr>
                <w:rFonts w:ascii="Arial" w:cs="Arial" w:eastAsia="Arial" w:hAnsi="Arial"/>
                <w:sz w:val="16"/>
                <w:szCs w:val="16"/>
                <w:b w:val="1"/>
                <w:bCs w:val="1"/>
                <w:color w:val="1383C6"/>
              </w:rPr>
              <w:t>2025</w:t>
            </w: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b w:val="1"/>
                <w:bCs w:val="1"/>
                <w:color w:val="auto"/>
              </w:rPr>
              <w:t>date</w:t>
            </w: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Employee separation costs</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2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138</w:t>
            </w:r>
          </w:p>
        </w:tc>
        <w:tc>
          <w:tcPr>
            <w:tcW w:w="82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4,787</w:t>
            </w:r>
          </w:p>
        </w:tc>
      </w:tr>
      <w:tr>
        <w:trPr>
          <w:trHeight w:val="242"/>
        </w:trPr>
        <w:tc>
          <w:tcPr>
            <w:tcW w:w="6000" w:type="dxa"/>
            <w:vAlign w:val="bottom"/>
          </w:tcPr>
          <w:p>
            <w:pPr>
              <w:spacing w:after="0"/>
              <w:rPr>
                <w:sz w:val="20"/>
                <w:szCs w:val="20"/>
                <w:color w:val="auto"/>
              </w:rPr>
            </w:pPr>
            <w:r>
              <w:rPr>
                <w:rFonts w:ascii="Arial" w:cs="Arial" w:eastAsia="Arial" w:hAnsi="Arial"/>
                <w:sz w:val="16"/>
                <w:szCs w:val="16"/>
                <w:color w:val="auto"/>
              </w:rPr>
              <w:t>Other costs</w:t>
            </w:r>
          </w:p>
        </w:tc>
        <w:tc>
          <w:tcPr>
            <w:tcW w:w="120" w:type="dxa"/>
            <w:vAlign w:val="bottom"/>
            <w:tcBorders>
              <w:bottom w:val="single" w:sz="8" w:color="auto"/>
            </w:tcBorders>
            <w:shd w:val="clear" w:color="auto" w:fill="E7F2F9"/>
          </w:tcPr>
          <w:p>
            <w:pPr>
              <w:spacing w:after="0"/>
              <w:rPr>
                <w:sz w:val="21"/>
                <w:szCs w:val="21"/>
                <w:color w:val="auto"/>
              </w:rPr>
            </w:pPr>
          </w:p>
        </w:tc>
        <w:tc>
          <w:tcPr>
            <w:tcW w:w="2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563</w:t>
            </w:r>
          </w:p>
        </w:tc>
        <w:tc>
          <w:tcPr>
            <w:tcW w:w="2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r>
      <w:tr>
        <w:trPr>
          <w:trHeight w:val="254"/>
        </w:trPr>
        <w:tc>
          <w:tcPr>
            <w:tcW w:w="6000" w:type="dxa"/>
            <w:vAlign w:val="bottom"/>
          </w:tcPr>
          <w:p>
            <w:pPr>
              <w:ind w:left="200"/>
              <w:spacing w:after="0"/>
              <w:rPr>
                <w:sz w:val="20"/>
                <w:szCs w:val="20"/>
                <w:color w:val="auto"/>
              </w:rPr>
            </w:pPr>
            <w:r>
              <w:rPr>
                <w:rFonts w:ascii="Arial" w:cs="Arial" w:eastAsia="Arial" w:hAnsi="Arial"/>
                <w:sz w:val="16"/>
                <w:szCs w:val="16"/>
                <w:color w:val="auto"/>
              </w:rPr>
              <w:t xml:space="preserve">Total restructuring charges </w:t>
            </w:r>
            <w:r>
              <w:rPr>
                <w:rFonts w:ascii="Arial" w:cs="Arial" w:eastAsia="Arial" w:hAnsi="Arial"/>
                <w:sz w:val="20"/>
                <w:szCs w:val="20"/>
                <w:color w:val="auto"/>
                <w:vertAlign w:val="superscript"/>
              </w:rPr>
              <w:t>(1)</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23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701</w:t>
            </w:r>
          </w:p>
        </w:tc>
        <w:tc>
          <w:tcPr>
            <w:tcW w:w="82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5,350</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40" w:hanging="146"/>
        <w:spacing w:after="0"/>
        <w:tabs>
          <w:tab w:leader="none" w:pos="54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Cumulative charges incurred to date include $3.3 million in sales, general and administrative expense and $2.1 million in research and development expense.</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Charges included employee separation costs comprised of approximately $2.5 million related to salaries, wages and other employee benefits paid to terminated employees pursuant to the Worker Adjustment and Retraining Notification (WARN) Act and approximately $2.3 million of severance costs.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Charges included in other costs are primarily related to legal expenses incurred in connection with employee separation matters.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connection with the restructuring and strategic shift, we incurred an additional $388.5 million in costs. These include $359.3 million of accelerated amortization of certain intangible assets, $15.0 million of IPR&amp;D impairment charges, $8.0 million related to excess inventory due to decreased external demand and $3.8 million for estimated losses on purchase commitments tied to anticipated future excess inventory included in cost of revenue, and $2.4 million of accelerated depreciation of fixed assets. See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for additional information on the IPR&amp;D impairment assessment and the change in estimated useful life of the intangible asset and accelerated amortization.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liabilities related to the restructuring is as follows:</w:t>
      </w:r>
    </w:p>
    <w:p>
      <w:pPr>
        <w:spacing w:after="0" w:line="119"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auto"/>
        </w:rPr>
        <w:t>Employee Separation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Borders>
              <w:bottom w:val="single" w:sz="8" w:color="E7F2F9"/>
            </w:tcBorders>
          </w:tcPr>
          <w:p>
            <w:pPr>
              <w:ind w:left="20"/>
              <w:spacing w:after="0"/>
              <w:rPr>
                <w:sz w:val="20"/>
                <w:szCs w:val="20"/>
                <w:color w:val="auto"/>
              </w:rPr>
            </w:pPr>
            <w:r>
              <w:rPr>
                <w:rFonts w:ascii="Arial" w:cs="Arial" w:eastAsia="Arial" w:hAnsi="Arial"/>
                <w:sz w:val="14"/>
                <w:szCs w:val="14"/>
                <w:i w:val="1"/>
                <w:iCs w:val="1"/>
                <w:color w:val="auto"/>
              </w:rPr>
              <w:t>(In thousands, excluding non-cash activities)</w:t>
            </w:r>
          </w:p>
        </w:tc>
        <w:tc>
          <w:tcPr>
            <w:tcW w:w="200" w:type="dxa"/>
            <w:vAlign w:val="bottom"/>
            <w:tcBorders>
              <w:bottom w:val="single" w:sz="8" w:color="E7F2F9"/>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Costs</w:t>
            </w:r>
          </w:p>
        </w:tc>
        <w:tc>
          <w:tcPr>
            <w:tcW w:w="220" w:type="dxa"/>
            <w:vAlign w:val="bottom"/>
            <w:tcBorders>
              <w:bottom w:val="single" w:sz="8" w:color="E7F2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Other Costs</w:t>
            </w:r>
          </w:p>
        </w:tc>
        <w:tc>
          <w:tcPr>
            <w:tcW w:w="200" w:type="dxa"/>
            <w:vAlign w:val="bottom"/>
            <w:tcBorders>
              <w:bottom w:val="single" w:sz="8" w:color="E7F2F9"/>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516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Expense recorded in YTD 2025</w:t>
            </w:r>
          </w:p>
        </w:tc>
        <w:tc>
          <w:tcPr>
            <w:tcW w:w="600" w:type="dxa"/>
            <w:vAlign w:val="bottom"/>
            <w:gridSpan w:val="2"/>
            <w:shd w:val="clear" w:color="auto" w:fill="E7F2F9"/>
          </w:tcPr>
          <w:p>
            <w:pPr>
              <w:jc w:val="right"/>
              <w:ind w:right="193"/>
              <w:spacing w:after="0"/>
              <w:rPr>
                <w:sz w:val="20"/>
                <w:szCs w:val="20"/>
                <w:color w:val="auto"/>
              </w:rPr>
            </w:pPr>
            <w:r>
              <w:rPr>
                <w:rFonts w:ascii="Arial" w:cs="Arial" w:eastAsia="Arial" w:hAnsi="Arial"/>
                <w:sz w:val="17"/>
                <w:szCs w:val="17"/>
                <w:color w:val="1383C6"/>
              </w:rPr>
              <w:t>$</w:t>
            </w:r>
          </w:p>
        </w:tc>
        <w:tc>
          <w:tcPr>
            <w:tcW w:w="142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4,787</w:t>
            </w:r>
          </w:p>
        </w:tc>
        <w:tc>
          <w:tcPr>
            <w:tcW w:w="220" w:type="dxa"/>
            <w:vAlign w:val="bottom"/>
            <w:shd w:val="clear" w:color="auto" w:fill="E7F2F9"/>
          </w:tcPr>
          <w:p>
            <w:pPr>
              <w:spacing w:after="0"/>
              <w:rPr>
                <w:sz w:val="20"/>
                <w:szCs w:val="20"/>
                <w:color w:val="auto"/>
              </w:rPr>
            </w:pPr>
          </w:p>
        </w:tc>
        <w:tc>
          <w:tcPr>
            <w:tcW w:w="280" w:type="dxa"/>
            <w:vAlign w:val="bottom"/>
            <w:shd w:val="clear" w:color="auto" w:fill="E7F2F9"/>
          </w:tcPr>
          <w:p>
            <w:pPr>
              <w:jc w:val="right"/>
              <w:ind w:right="93"/>
              <w:spacing w:after="0"/>
              <w:rPr>
                <w:sz w:val="20"/>
                <w:szCs w:val="20"/>
                <w:color w:val="auto"/>
              </w:rPr>
            </w:pPr>
            <w:r>
              <w:rPr>
                <w:rFonts w:ascii="Arial" w:cs="Arial" w:eastAsia="Arial" w:hAnsi="Arial"/>
                <w:sz w:val="17"/>
                <w:szCs w:val="17"/>
                <w:color w:val="1383C6"/>
                <w:w w:val="84"/>
              </w:rPr>
              <w:t>$</w:t>
            </w:r>
          </w:p>
        </w:tc>
        <w:tc>
          <w:tcPr>
            <w:tcW w:w="154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563</w:t>
            </w:r>
          </w:p>
        </w:tc>
        <w:tc>
          <w:tcPr>
            <w:tcW w:w="200" w:type="dxa"/>
            <w:vAlign w:val="bottom"/>
            <w:shd w:val="clear" w:color="auto" w:fill="E7F2F9"/>
          </w:tcPr>
          <w:p>
            <w:pPr>
              <w:spacing w:after="0"/>
              <w:rPr>
                <w:sz w:val="20"/>
                <w:szCs w:val="20"/>
                <w:color w:val="auto"/>
              </w:rPr>
            </w:pPr>
          </w:p>
        </w:tc>
        <w:tc>
          <w:tcPr>
            <w:tcW w:w="420" w:type="dxa"/>
            <w:vAlign w:val="bottom"/>
            <w:shd w:val="clear" w:color="auto" w:fill="E7F2F9"/>
          </w:tcPr>
          <w:p>
            <w:pPr>
              <w:jc w:val="right"/>
              <w:ind w:right="213"/>
              <w:spacing w:after="0"/>
              <w:rPr>
                <w:sz w:val="20"/>
                <w:szCs w:val="20"/>
                <w:color w:val="auto"/>
              </w:rPr>
            </w:pPr>
            <w:r>
              <w:rPr>
                <w:rFonts w:ascii="Arial" w:cs="Arial" w:eastAsia="Arial" w:hAnsi="Arial"/>
                <w:sz w:val="17"/>
                <w:szCs w:val="17"/>
                <w:color w:val="1383C6"/>
              </w:rPr>
              <w:t>$</w:t>
            </w:r>
          </w:p>
        </w:tc>
        <w:tc>
          <w:tcPr>
            <w:tcW w:w="140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5,350</w:t>
            </w:r>
          </w:p>
        </w:tc>
        <w:tc>
          <w:tcPr>
            <w:tcW w:w="0" w:type="dxa"/>
            <w:vAlign w:val="bottom"/>
          </w:tcPr>
          <w:p>
            <w:pPr>
              <w:spacing w:after="0"/>
              <w:rPr>
                <w:sz w:val="1"/>
                <w:szCs w:val="1"/>
                <w:color w:val="auto"/>
              </w:rPr>
            </w:pPr>
          </w:p>
        </w:tc>
      </w:tr>
      <w:tr>
        <w:trPr>
          <w:trHeight w:val="268"/>
        </w:trPr>
        <w:tc>
          <w:tcPr>
            <w:tcW w:w="516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Cash paid during YTD 2025</w:t>
            </w:r>
          </w:p>
        </w:tc>
        <w:tc>
          <w:tcPr>
            <w:tcW w:w="200" w:type="dxa"/>
            <w:vAlign w:val="bottom"/>
            <w:shd w:val="clear" w:color="auto" w:fill="E7F2F9"/>
          </w:tcPr>
          <w:p>
            <w:pPr>
              <w:spacing w:after="0"/>
              <w:rPr>
                <w:sz w:val="23"/>
                <w:szCs w:val="23"/>
                <w:color w:val="auto"/>
              </w:rPr>
            </w:pPr>
          </w:p>
        </w:tc>
        <w:tc>
          <w:tcPr>
            <w:tcW w:w="400" w:type="dxa"/>
            <w:vAlign w:val="bottom"/>
            <w:shd w:val="clear" w:color="auto" w:fill="E7F2F9"/>
          </w:tcPr>
          <w:p>
            <w:pPr>
              <w:spacing w:after="0"/>
              <w:rPr>
                <w:sz w:val="23"/>
                <w:szCs w:val="23"/>
                <w:color w:val="auto"/>
              </w:rPr>
            </w:pPr>
          </w:p>
        </w:tc>
        <w:tc>
          <w:tcPr>
            <w:tcW w:w="142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(4,463)</w:t>
            </w:r>
          </w:p>
        </w:tc>
        <w:tc>
          <w:tcPr>
            <w:tcW w:w="220" w:type="dxa"/>
            <w:vAlign w:val="bottom"/>
            <w:shd w:val="clear" w:color="auto" w:fill="E7F2F9"/>
          </w:tcPr>
          <w:p>
            <w:pPr>
              <w:spacing w:after="0"/>
              <w:rPr>
                <w:sz w:val="23"/>
                <w:szCs w:val="23"/>
                <w:color w:val="auto"/>
              </w:rPr>
            </w:pPr>
          </w:p>
        </w:tc>
        <w:tc>
          <w:tcPr>
            <w:tcW w:w="280" w:type="dxa"/>
            <w:vAlign w:val="bottom"/>
            <w:shd w:val="clear" w:color="auto" w:fill="E7F2F9"/>
          </w:tcPr>
          <w:p>
            <w:pPr>
              <w:spacing w:after="0"/>
              <w:rPr>
                <w:sz w:val="23"/>
                <w:szCs w:val="23"/>
                <w:color w:val="auto"/>
              </w:rPr>
            </w:pPr>
          </w:p>
        </w:tc>
        <w:tc>
          <w:tcPr>
            <w:tcW w:w="1740" w:type="dxa"/>
            <w:vAlign w:val="bottom"/>
            <w:gridSpan w:val="2"/>
            <w:shd w:val="clear" w:color="auto" w:fill="E7F2F9"/>
          </w:tcPr>
          <w:p>
            <w:pPr>
              <w:jc w:val="right"/>
              <w:ind w:right="280"/>
              <w:spacing w:after="0"/>
              <w:rPr>
                <w:sz w:val="20"/>
                <w:szCs w:val="20"/>
                <w:color w:val="auto"/>
              </w:rPr>
            </w:pPr>
            <w:r>
              <w:rPr>
                <w:rFonts w:ascii="Arial" w:cs="Arial" w:eastAsia="Arial" w:hAnsi="Arial"/>
                <w:sz w:val="17"/>
                <w:szCs w:val="17"/>
                <w:color w:val="1383C6"/>
              </w:rPr>
              <w:t>—</w:t>
            </w:r>
          </w:p>
        </w:tc>
        <w:tc>
          <w:tcPr>
            <w:tcW w:w="420" w:type="dxa"/>
            <w:vAlign w:val="bottom"/>
            <w:shd w:val="clear" w:color="auto" w:fill="E7F2F9"/>
          </w:tcPr>
          <w:p>
            <w:pPr>
              <w:spacing w:after="0"/>
              <w:rPr>
                <w:sz w:val="23"/>
                <w:szCs w:val="23"/>
                <w:color w:val="auto"/>
              </w:rPr>
            </w:pPr>
          </w:p>
        </w:tc>
        <w:tc>
          <w:tcPr>
            <w:tcW w:w="140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(4,463)</w:t>
            </w:r>
          </w:p>
        </w:tc>
        <w:tc>
          <w:tcPr>
            <w:tcW w:w="0" w:type="dxa"/>
            <w:vAlign w:val="bottom"/>
          </w:tcPr>
          <w:p>
            <w:pPr>
              <w:spacing w:after="0"/>
              <w:rPr>
                <w:sz w:val="1"/>
                <w:szCs w:val="1"/>
                <w:color w:val="auto"/>
              </w:rPr>
            </w:pPr>
          </w:p>
        </w:tc>
      </w:tr>
      <w:tr>
        <w:trPr>
          <w:trHeight w:val="183"/>
        </w:trPr>
        <w:tc>
          <w:tcPr>
            <w:tcW w:w="5160" w:type="dxa"/>
            <w:vAlign w:val="bottom"/>
            <w:tcBorders>
              <w:top w:val="single" w:sz="8" w:color="E7F2F9"/>
            </w:tcBorders>
            <w:shd w:val="clear" w:color="auto" w:fill="E7F2F9"/>
          </w:tcPr>
          <w:p>
            <w:pPr>
              <w:ind w:left="20"/>
              <w:spacing w:after="0" w:line="183" w:lineRule="exact"/>
              <w:rPr>
                <w:sz w:val="20"/>
                <w:szCs w:val="20"/>
                <w:color w:val="auto"/>
              </w:rPr>
            </w:pPr>
            <w:r>
              <w:rPr>
                <w:rFonts w:ascii="Arial" w:cs="Arial" w:eastAsia="Arial" w:hAnsi="Arial"/>
                <w:sz w:val="16"/>
                <w:szCs w:val="16"/>
                <w:color w:val="1383C6"/>
              </w:rPr>
              <w:t>Amount recorded in current liabilities</w:t>
            </w:r>
          </w:p>
        </w:tc>
        <w:tc>
          <w:tcPr>
            <w:tcW w:w="200" w:type="dxa"/>
            <w:vAlign w:val="bottom"/>
            <w:tcBorders>
              <w:top w:val="single" w:sz="8" w:color="E7F2F9"/>
            </w:tcBorders>
            <w:shd w:val="clear" w:color="auto" w:fill="E7F2F9"/>
          </w:tcPr>
          <w:p>
            <w:pPr>
              <w:spacing w:after="0"/>
              <w:rPr>
                <w:sz w:val="15"/>
                <w:szCs w:val="15"/>
                <w:color w:val="auto"/>
              </w:rPr>
            </w:pPr>
          </w:p>
        </w:tc>
        <w:tc>
          <w:tcPr>
            <w:tcW w:w="400" w:type="dxa"/>
            <w:vAlign w:val="bottom"/>
            <w:tcBorders>
              <w:top w:val="single" w:sz="8" w:color="auto"/>
            </w:tcBorders>
            <w:vMerge w:val="restart"/>
            <w:shd w:val="clear" w:color="auto" w:fill="E7F2F9"/>
          </w:tcPr>
          <w:p>
            <w:pPr>
              <w:jc w:val="right"/>
              <w:ind w:right="193"/>
              <w:spacing w:after="0"/>
              <w:rPr>
                <w:sz w:val="20"/>
                <w:szCs w:val="20"/>
                <w:color w:val="auto"/>
              </w:rPr>
            </w:pPr>
            <w:r>
              <w:rPr>
                <w:rFonts w:ascii="Arial" w:cs="Arial" w:eastAsia="Arial" w:hAnsi="Arial"/>
                <w:sz w:val="17"/>
                <w:szCs w:val="17"/>
                <w:color w:val="1383C6"/>
              </w:rPr>
              <w:t>$</w:t>
            </w:r>
          </w:p>
        </w:tc>
        <w:tc>
          <w:tcPr>
            <w:tcW w:w="1420" w:type="dxa"/>
            <w:vAlign w:val="bottom"/>
            <w:tcBorders>
              <w:top w:val="single" w:sz="8" w:color="auto"/>
            </w:tcBorders>
            <w:vMerge w:val="restart"/>
            <w:shd w:val="clear" w:color="auto" w:fill="E7F2F9"/>
          </w:tcPr>
          <w:p>
            <w:pPr>
              <w:jc w:val="right"/>
              <w:spacing w:after="0"/>
              <w:rPr>
                <w:sz w:val="20"/>
                <w:szCs w:val="20"/>
                <w:color w:val="auto"/>
              </w:rPr>
            </w:pPr>
            <w:r>
              <w:rPr>
                <w:rFonts w:ascii="Arial" w:cs="Arial" w:eastAsia="Arial" w:hAnsi="Arial"/>
                <w:sz w:val="17"/>
                <w:szCs w:val="17"/>
                <w:color w:val="1383C6"/>
              </w:rPr>
              <w:t>324</w:t>
            </w:r>
          </w:p>
        </w:tc>
        <w:tc>
          <w:tcPr>
            <w:tcW w:w="220" w:type="dxa"/>
            <w:vAlign w:val="bottom"/>
            <w:tcBorders>
              <w:top w:val="single" w:sz="8" w:color="E7F2F9"/>
            </w:tcBorders>
            <w:shd w:val="clear" w:color="auto" w:fill="E7F2F9"/>
          </w:tcPr>
          <w:p>
            <w:pPr>
              <w:spacing w:after="0"/>
              <w:rPr>
                <w:sz w:val="15"/>
                <w:szCs w:val="15"/>
                <w:color w:val="auto"/>
              </w:rPr>
            </w:pPr>
          </w:p>
        </w:tc>
        <w:tc>
          <w:tcPr>
            <w:tcW w:w="280" w:type="dxa"/>
            <w:vAlign w:val="bottom"/>
            <w:tcBorders>
              <w:top w:val="single" w:sz="8" w:color="auto"/>
            </w:tcBorders>
            <w:vMerge w:val="restart"/>
            <w:shd w:val="clear" w:color="auto" w:fill="E7F2F9"/>
          </w:tcPr>
          <w:p>
            <w:pPr>
              <w:jc w:val="right"/>
              <w:ind w:right="93"/>
              <w:spacing w:after="0"/>
              <w:rPr>
                <w:sz w:val="20"/>
                <w:szCs w:val="20"/>
                <w:color w:val="auto"/>
              </w:rPr>
            </w:pPr>
            <w:r>
              <w:rPr>
                <w:rFonts w:ascii="Arial" w:cs="Arial" w:eastAsia="Arial" w:hAnsi="Arial"/>
                <w:sz w:val="17"/>
                <w:szCs w:val="17"/>
                <w:color w:val="1383C6"/>
                <w:w w:val="84"/>
              </w:rPr>
              <w:t>$</w:t>
            </w:r>
          </w:p>
        </w:tc>
        <w:tc>
          <w:tcPr>
            <w:tcW w:w="1540" w:type="dxa"/>
            <w:vAlign w:val="bottom"/>
            <w:tcBorders>
              <w:top w:val="single" w:sz="8" w:color="auto"/>
            </w:tcBorders>
            <w:vMerge w:val="restart"/>
            <w:shd w:val="clear" w:color="auto" w:fill="E7F2F9"/>
          </w:tcPr>
          <w:p>
            <w:pPr>
              <w:jc w:val="right"/>
              <w:spacing w:after="0"/>
              <w:rPr>
                <w:sz w:val="20"/>
                <w:szCs w:val="20"/>
                <w:color w:val="auto"/>
              </w:rPr>
            </w:pPr>
            <w:r>
              <w:rPr>
                <w:rFonts w:ascii="Arial" w:cs="Arial" w:eastAsia="Arial" w:hAnsi="Arial"/>
                <w:sz w:val="17"/>
                <w:szCs w:val="17"/>
                <w:color w:val="1383C6"/>
              </w:rPr>
              <w:t>563</w:t>
            </w:r>
          </w:p>
        </w:tc>
        <w:tc>
          <w:tcPr>
            <w:tcW w:w="200" w:type="dxa"/>
            <w:vAlign w:val="bottom"/>
            <w:tcBorders>
              <w:top w:val="single" w:sz="8" w:color="E7F2F9"/>
            </w:tcBorders>
            <w:shd w:val="clear" w:color="auto" w:fill="E7F2F9"/>
          </w:tcPr>
          <w:p>
            <w:pPr>
              <w:spacing w:after="0"/>
              <w:rPr>
                <w:sz w:val="15"/>
                <w:szCs w:val="15"/>
                <w:color w:val="auto"/>
              </w:rPr>
            </w:pPr>
          </w:p>
        </w:tc>
        <w:tc>
          <w:tcPr>
            <w:tcW w:w="420" w:type="dxa"/>
            <w:vAlign w:val="bottom"/>
            <w:tcBorders>
              <w:top w:val="single" w:sz="8" w:color="auto"/>
            </w:tcBorders>
            <w:vMerge w:val="restart"/>
            <w:shd w:val="clear" w:color="auto" w:fill="E7F2F9"/>
          </w:tcPr>
          <w:p>
            <w:pPr>
              <w:jc w:val="right"/>
              <w:ind w:right="213"/>
              <w:spacing w:after="0"/>
              <w:rPr>
                <w:sz w:val="20"/>
                <w:szCs w:val="20"/>
                <w:color w:val="auto"/>
              </w:rPr>
            </w:pPr>
            <w:r>
              <w:rPr>
                <w:rFonts w:ascii="Arial" w:cs="Arial" w:eastAsia="Arial" w:hAnsi="Arial"/>
                <w:sz w:val="17"/>
                <w:szCs w:val="17"/>
                <w:color w:val="1383C6"/>
              </w:rPr>
              <w:t>$</w:t>
            </w:r>
          </w:p>
        </w:tc>
        <w:tc>
          <w:tcPr>
            <w:tcW w:w="1400" w:type="dxa"/>
            <w:vAlign w:val="bottom"/>
            <w:tcBorders>
              <w:top w:val="single" w:sz="8" w:color="auto"/>
            </w:tcBorders>
            <w:vMerge w:val="restart"/>
            <w:shd w:val="clear" w:color="auto" w:fill="E7F2F9"/>
          </w:tcPr>
          <w:p>
            <w:pPr>
              <w:jc w:val="right"/>
              <w:spacing w:after="0"/>
              <w:rPr>
                <w:sz w:val="20"/>
                <w:szCs w:val="20"/>
                <w:color w:val="auto"/>
              </w:rPr>
            </w:pPr>
            <w:r>
              <w:rPr>
                <w:rFonts w:ascii="Arial" w:cs="Arial" w:eastAsia="Arial" w:hAnsi="Arial"/>
                <w:sz w:val="17"/>
                <w:szCs w:val="17"/>
                <w:color w:val="1383C6"/>
              </w:rPr>
              <w:t>887</w:t>
            </w:r>
          </w:p>
        </w:tc>
        <w:tc>
          <w:tcPr>
            <w:tcW w:w="0" w:type="dxa"/>
            <w:vAlign w:val="bottom"/>
          </w:tcPr>
          <w:p>
            <w:pPr>
              <w:spacing w:after="0"/>
              <w:rPr>
                <w:sz w:val="1"/>
                <w:szCs w:val="1"/>
                <w:color w:val="auto"/>
              </w:rPr>
            </w:pPr>
          </w:p>
        </w:tc>
      </w:tr>
      <w:tr>
        <w:trPr>
          <w:trHeight w:val="226"/>
        </w:trPr>
        <w:tc>
          <w:tcPr>
            <w:tcW w:w="516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as of June 30, 2025</w:t>
            </w:r>
          </w:p>
        </w:tc>
        <w:tc>
          <w:tcPr>
            <w:tcW w:w="200" w:type="dxa"/>
            <w:vAlign w:val="bottom"/>
            <w:tcBorders>
              <w:bottom w:val="single" w:sz="8" w:color="E7F2F9"/>
            </w:tcBorders>
            <w:shd w:val="clear" w:color="auto" w:fill="E7F2F9"/>
          </w:tcPr>
          <w:p>
            <w:pPr>
              <w:spacing w:after="0"/>
              <w:rPr>
                <w:sz w:val="19"/>
                <w:szCs w:val="19"/>
                <w:color w:val="auto"/>
              </w:rPr>
            </w:pPr>
          </w:p>
        </w:tc>
        <w:tc>
          <w:tcPr>
            <w:tcW w:w="400" w:type="dxa"/>
            <w:vAlign w:val="bottom"/>
            <w:tcBorders>
              <w:bottom w:val="single" w:sz="8" w:color="auto"/>
            </w:tcBorders>
            <w:vMerge w:val="continue"/>
            <w:shd w:val="clear" w:color="auto" w:fill="E7F2F9"/>
          </w:tcPr>
          <w:p>
            <w:pPr>
              <w:spacing w:after="0"/>
              <w:rPr>
                <w:sz w:val="19"/>
                <w:szCs w:val="19"/>
                <w:color w:val="auto"/>
              </w:rPr>
            </w:pPr>
          </w:p>
        </w:tc>
        <w:tc>
          <w:tcPr>
            <w:tcW w:w="1420" w:type="dxa"/>
            <w:vAlign w:val="bottom"/>
            <w:tcBorders>
              <w:bottom w:val="single" w:sz="8" w:color="auto"/>
            </w:tcBorders>
            <w:vMerge w:val="continue"/>
            <w:shd w:val="clear" w:color="auto" w:fill="E7F2F9"/>
          </w:tcPr>
          <w:p>
            <w:pPr>
              <w:spacing w:after="0"/>
              <w:rPr>
                <w:sz w:val="19"/>
                <w:szCs w:val="19"/>
                <w:color w:val="auto"/>
              </w:rPr>
            </w:pPr>
          </w:p>
        </w:tc>
        <w:tc>
          <w:tcPr>
            <w:tcW w:w="220" w:type="dxa"/>
            <w:vAlign w:val="bottom"/>
            <w:tcBorders>
              <w:bottom w:val="single" w:sz="8" w:color="E7F2F9"/>
            </w:tcBorders>
            <w:shd w:val="clear" w:color="auto" w:fill="E7F2F9"/>
          </w:tcPr>
          <w:p>
            <w:pPr>
              <w:spacing w:after="0"/>
              <w:rPr>
                <w:sz w:val="19"/>
                <w:szCs w:val="19"/>
                <w:color w:val="auto"/>
              </w:rPr>
            </w:pPr>
          </w:p>
        </w:tc>
        <w:tc>
          <w:tcPr>
            <w:tcW w:w="280" w:type="dxa"/>
            <w:vAlign w:val="bottom"/>
            <w:tcBorders>
              <w:bottom w:val="single" w:sz="8" w:color="auto"/>
            </w:tcBorders>
            <w:vMerge w:val="continue"/>
            <w:shd w:val="clear" w:color="auto" w:fill="E7F2F9"/>
          </w:tcPr>
          <w:p>
            <w:pPr>
              <w:spacing w:after="0"/>
              <w:rPr>
                <w:sz w:val="19"/>
                <w:szCs w:val="19"/>
                <w:color w:val="auto"/>
              </w:rPr>
            </w:pPr>
          </w:p>
        </w:tc>
        <w:tc>
          <w:tcPr>
            <w:tcW w:w="1540" w:type="dxa"/>
            <w:vAlign w:val="bottom"/>
            <w:tcBorders>
              <w:bottom w:val="single" w:sz="8" w:color="auto"/>
            </w:tcBorders>
            <w:vMerge w:val="continue"/>
            <w:shd w:val="clear" w:color="auto" w:fill="E7F2F9"/>
          </w:tcPr>
          <w:p>
            <w:pPr>
              <w:spacing w:after="0"/>
              <w:rPr>
                <w:sz w:val="19"/>
                <w:szCs w:val="19"/>
                <w:color w:val="auto"/>
              </w:rPr>
            </w:pPr>
          </w:p>
        </w:tc>
        <w:tc>
          <w:tcPr>
            <w:tcW w:w="200" w:type="dxa"/>
            <w:vAlign w:val="bottom"/>
            <w:tcBorders>
              <w:bottom w:val="single" w:sz="8" w:color="E7F2F9"/>
            </w:tcBorders>
            <w:shd w:val="clear" w:color="auto" w:fill="E7F2F9"/>
          </w:tcPr>
          <w:p>
            <w:pPr>
              <w:spacing w:after="0"/>
              <w:rPr>
                <w:sz w:val="19"/>
                <w:szCs w:val="19"/>
                <w:color w:val="auto"/>
              </w:rPr>
            </w:pPr>
          </w:p>
        </w:tc>
        <w:tc>
          <w:tcPr>
            <w:tcW w:w="420" w:type="dxa"/>
            <w:vAlign w:val="bottom"/>
            <w:tcBorders>
              <w:bottom w:val="single" w:sz="8" w:color="auto"/>
            </w:tcBorders>
            <w:vMerge w:val="continue"/>
            <w:shd w:val="clear" w:color="auto" w:fill="E7F2F9"/>
          </w:tcPr>
          <w:p>
            <w:pPr>
              <w:spacing w:after="0"/>
              <w:rPr>
                <w:sz w:val="19"/>
                <w:szCs w:val="19"/>
                <w:color w:val="auto"/>
              </w:rPr>
            </w:pPr>
          </w:p>
        </w:tc>
        <w:tc>
          <w:tcPr>
            <w:tcW w:w="1400" w:type="dxa"/>
            <w:vAlign w:val="bottom"/>
            <w:tcBorders>
              <w:bottom w:val="single" w:sz="8" w:color="auto"/>
            </w:tcBorders>
            <w:vMerge w:val="continue"/>
            <w:shd w:val="clear" w:color="auto" w:fill="E7F2F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E7F2F9"/>
            </w:tcBorders>
          </w:tcPr>
          <w:p>
            <w:pPr>
              <w:spacing w:after="0" w:line="20" w:lineRule="exact"/>
              <w:rPr>
                <w:sz w:val="1"/>
                <w:szCs w:val="1"/>
                <w:color w:val="auto"/>
              </w:rPr>
            </w:pPr>
          </w:p>
        </w:tc>
        <w:tc>
          <w:tcPr>
            <w:tcW w:w="200" w:type="dxa"/>
            <w:vAlign w:val="bottom"/>
            <w:tcBorders>
              <w:top w:val="single" w:sz="8" w:color="E7F2F9"/>
            </w:tcBorders>
          </w:tcPr>
          <w:p>
            <w:pPr>
              <w:spacing w:after="0" w:line="20" w:lineRule="exact"/>
              <w:rPr>
                <w:sz w:val="1"/>
                <w:szCs w:val="1"/>
                <w:color w:val="auto"/>
              </w:rPr>
            </w:pPr>
          </w:p>
        </w:tc>
        <w:tc>
          <w:tcPr>
            <w:tcW w:w="400" w:type="dxa"/>
            <w:vAlign w:val="bottom"/>
            <w:tcBorders>
              <w:top w:val="single" w:sz="8" w:color="E7F2F9"/>
              <w:bottom w:val="single" w:sz="8" w:color="auto"/>
            </w:tcBorders>
          </w:tcPr>
          <w:p>
            <w:pPr>
              <w:spacing w:after="0" w:line="20" w:lineRule="exact"/>
              <w:rPr>
                <w:sz w:val="1"/>
                <w:szCs w:val="1"/>
                <w:color w:val="auto"/>
              </w:rPr>
            </w:pPr>
          </w:p>
        </w:tc>
        <w:tc>
          <w:tcPr>
            <w:tcW w:w="1420" w:type="dxa"/>
            <w:vAlign w:val="bottom"/>
            <w:tcBorders>
              <w:top w:val="single" w:sz="8" w:color="E7F2F9"/>
              <w:bottom w:val="single" w:sz="8" w:color="auto"/>
            </w:tcBorders>
          </w:tcPr>
          <w:p>
            <w:pPr>
              <w:spacing w:after="0" w:line="20" w:lineRule="exact"/>
              <w:rPr>
                <w:sz w:val="1"/>
                <w:szCs w:val="1"/>
                <w:color w:val="auto"/>
              </w:rPr>
            </w:pPr>
          </w:p>
        </w:tc>
        <w:tc>
          <w:tcPr>
            <w:tcW w:w="220" w:type="dxa"/>
            <w:vAlign w:val="bottom"/>
            <w:tcBorders>
              <w:top w:val="single" w:sz="8" w:color="E7F2F9"/>
            </w:tcBorders>
          </w:tcPr>
          <w:p>
            <w:pPr>
              <w:spacing w:after="0" w:line="20" w:lineRule="exact"/>
              <w:rPr>
                <w:sz w:val="1"/>
                <w:szCs w:val="1"/>
                <w:color w:val="auto"/>
              </w:rPr>
            </w:pPr>
          </w:p>
        </w:tc>
        <w:tc>
          <w:tcPr>
            <w:tcW w:w="280" w:type="dxa"/>
            <w:vAlign w:val="bottom"/>
            <w:tcBorders>
              <w:top w:val="single" w:sz="8" w:color="E7F2F9"/>
              <w:bottom w:val="single" w:sz="8" w:color="auto"/>
            </w:tcBorders>
          </w:tcPr>
          <w:p>
            <w:pPr>
              <w:spacing w:after="0" w:line="20" w:lineRule="exact"/>
              <w:rPr>
                <w:sz w:val="1"/>
                <w:szCs w:val="1"/>
                <w:color w:val="auto"/>
              </w:rPr>
            </w:pPr>
          </w:p>
        </w:tc>
        <w:tc>
          <w:tcPr>
            <w:tcW w:w="1540" w:type="dxa"/>
            <w:vAlign w:val="bottom"/>
            <w:tcBorders>
              <w:top w:val="single" w:sz="8" w:color="E7F2F9"/>
              <w:bottom w:val="single" w:sz="8" w:color="auto"/>
            </w:tcBorders>
          </w:tcPr>
          <w:p>
            <w:pPr>
              <w:spacing w:after="0" w:line="20" w:lineRule="exact"/>
              <w:rPr>
                <w:sz w:val="1"/>
                <w:szCs w:val="1"/>
                <w:color w:val="auto"/>
              </w:rPr>
            </w:pPr>
          </w:p>
        </w:tc>
        <w:tc>
          <w:tcPr>
            <w:tcW w:w="200" w:type="dxa"/>
            <w:vAlign w:val="bottom"/>
            <w:tcBorders>
              <w:top w:val="single" w:sz="8" w:color="E7F2F9"/>
            </w:tcBorders>
          </w:tcPr>
          <w:p>
            <w:pPr>
              <w:spacing w:after="0" w:line="20" w:lineRule="exact"/>
              <w:rPr>
                <w:sz w:val="1"/>
                <w:szCs w:val="1"/>
                <w:color w:val="auto"/>
              </w:rPr>
            </w:pPr>
          </w:p>
        </w:tc>
        <w:tc>
          <w:tcPr>
            <w:tcW w:w="420" w:type="dxa"/>
            <w:vAlign w:val="bottom"/>
            <w:tcBorders>
              <w:top w:val="single" w:sz="8" w:color="E7F2F9"/>
              <w:bottom w:val="single" w:sz="8" w:color="auto"/>
            </w:tcBorders>
          </w:tcPr>
          <w:p>
            <w:pPr>
              <w:spacing w:after="0" w:line="20" w:lineRule="exact"/>
              <w:rPr>
                <w:sz w:val="1"/>
                <w:szCs w:val="1"/>
                <w:color w:val="auto"/>
              </w:rPr>
            </w:pPr>
          </w:p>
        </w:tc>
        <w:tc>
          <w:tcPr>
            <w:tcW w:w="1400" w:type="dxa"/>
            <w:vAlign w:val="bottom"/>
            <w:tcBorders>
              <w:top w:val="single" w:sz="8" w:color="E7F2F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60" w:type="dxa"/>
            <w:vAlign w:val="bottom"/>
          </w:tcPr>
          <w:p>
            <w:pPr>
              <w:ind w:left="20"/>
              <w:spacing w:after="0"/>
              <w:rPr>
                <w:sz w:val="20"/>
                <w:szCs w:val="20"/>
                <w:color w:val="auto"/>
              </w:rPr>
            </w:pPr>
            <w:r>
              <w:rPr>
                <w:rFonts w:ascii="Arial" w:cs="Arial" w:eastAsia="Arial" w:hAnsi="Arial"/>
                <w:sz w:val="16"/>
                <w:szCs w:val="16"/>
                <w:color w:val="auto"/>
              </w:rPr>
              <w:t>Estimated total restructuring costs to still be incurred</w:t>
            </w:r>
          </w:p>
        </w:tc>
        <w:tc>
          <w:tcPr>
            <w:tcW w:w="600" w:type="dxa"/>
            <w:vAlign w:val="bottom"/>
            <w:gridSpan w:val="2"/>
          </w:tcPr>
          <w:p>
            <w:pPr>
              <w:jc w:val="right"/>
              <w:ind w:right="193"/>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160" w:type="dxa"/>
            <w:vAlign w:val="bottom"/>
            <w:tcBorders>
              <w:bottom w:val="single" w:sz="8" w:color="DF1995"/>
            </w:tcBorders>
          </w:tcPr>
          <w:p>
            <w:pPr>
              <w:spacing w:after="0"/>
              <w:rPr>
                <w:sz w:val="24"/>
                <w:szCs w:val="24"/>
                <w:color w:val="auto"/>
              </w:rPr>
            </w:pPr>
          </w:p>
        </w:tc>
        <w:tc>
          <w:tcPr>
            <w:tcW w:w="200" w:type="dxa"/>
            <w:vAlign w:val="bottom"/>
            <w:tcBorders>
              <w:bottom w:val="single" w:sz="8" w:color="DF1995"/>
            </w:tcBorders>
          </w:tcPr>
          <w:p>
            <w:pPr>
              <w:spacing w:after="0"/>
              <w:rPr>
                <w:sz w:val="24"/>
                <w:szCs w:val="24"/>
                <w:color w:val="auto"/>
              </w:rPr>
            </w:pPr>
          </w:p>
        </w:tc>
        <w:tc>
          <w:tcPr>
            <w:tcW w:w="400" w:type="dxa"/>
            <w:vAlign w:val="bottom"/>
            <w:tcBorders>
              <w:bottom w:val="single" w:sz="8" w:color="DF1995"/>
            </w:tcBorders>
          </w:tcPr>
          <w:p>
            <w:pPr>
              <w:spacing w:after="0"/>
              <w:rPr>
                <w:sz w:val="24"/>
                <w:szCs w:val="24"/>
                <w:color w:val="auto"/>
              </w:rPr>
            </w:pPr>
          </w:p>
        </w:tc>
        <w:tc>
          <w:tcPr>
            <w:tcW w:w="1420" w:type="dxa"/>
            <w:vAlign w:val="bottom"/>
            <w:tcBorders>
              <w:bottom w:val="single" w:sz="8" w:color="DF1995"/>
            </w:tcBorders>
          </w:tcPr>
          <w:p>
            <w:pPr>
              <w:spacing w:after="0"/>
              <w:rPr>
                <w:sz w:val="24"/>
                <w:szCs w:val="24"/>
                <w:color w:val="auto"/>
              </w:rPr>
            </w:pPr>
          </w:p>
        </w:tc>
        <w:tc>
          <w:tcPr>
            <w:tcW w:w="220" w:type="dxa"/>
            <w:vAlign w:val="bottom"/>
            <w:tcBorders>
              <w:bottom w:val="single" w:sz="8" w:color="DF1995"/>
            </w:tcBorders>
          </w:tcPr>
          <w:p>
            <w:pPr>
              <w:spacing w:after="0"/>
              <w:rPr>
                <w:sz w:val="24"/>
                <w:szCs w:val="24"/>
                <w:color w:val="auto"/>
              </w:rPr>
            </w:pPr>
          </w:p>
        </w:tc>
        <w:tc>
          <w:tcPr>
            <w:tcW w:w="280" w:type="dxa"/>
            <w:vAlign w:val="bottom"/>
            <w:tcBorders>
              <w:bottom w:val="single" w:sz="8" w:color="DF1995"/>
            </w:tcBorders>
          </w:tcPr>
          <w:p>
            <w:pPr>
              <w:spacing w:after="0"/>
              <w:rPr>
                <w:sz w:val="24"/>
                <w:szCs w:val="24"/>
                <w:color w:val="auto"/>
              </w:rPr>
            </w:pPr>
          </w:p>
        </w:tc>
        <w:tc>
          <w:tcPr>
            <w:tcW w:w="1540" w:type="dxa"/>
            <w:vAlign w:val="bottom"/>
            <w:tcBorders>
              <w:bottom w:val="single" w:sz="8" w:color="DF1995"/>
            </w:tcBorders>
          </w:tcPr>
          <w:p>
            <w:pPr>
              <w:spacing w:after="0"/>
              <w:rPr>
                <w:sz w:val="24"/>
                <w:szCs w:val="24"/>
                <w:color w:val="auto"/>
              </w:rPr>
            </w:pPr>
          </w:p>
        </w:tc>
        <w:tc>
          <w:tcPr>
            <w:tcW w:w="200" w:type="dxa"/>
            <w:vAlign w:val="bottom"/>
            <w:tcBorders>
              <w:bottom w:val="single" w:sz="8" w:color="DF1995"/>
            </w:tcBorders>
          </w:tcPr>
          <w:p>
            <w:pPr>
              <w:spacing w:after="0"/>
              <w:rPr>
                <w:sz w:val="24"/>
                <w:szCs w:val="24"/>
                <w:color w:val="auto"/>
              </w:rPr>
            </w:pPr>
          </w:p>
        </w:tc>
        <w:tc>
          <w:tcPr>
            <w:tcW w:w="420" w:type="dxa"/>
            <w:vAlign w:val="bottom"/>
            <w:tcBorders>
              <w:bottom w:val="single" w:sz="8" w:color="DF1995"/>
            </w:tcBorders>
          </w:tcPr>
          <w:p>
            <w:pPr>
              <w:spacing w:after="0"/>
              <w:rPr>
                <w:sz w:val="24"/>
                <w:szCs w:val="24"/>
                <w:color w:val="auto"/>
              </w:rPr>
            </w:pPr>
          </w:p>
        </w:tc>
        <w:tc>
          <w:tcPr>
            <w:tcW w:w="1400" w:type="dxa"/>
            <w:vAlign w:val="bottom"/>
            <w:tcBorders>
              <w:bottom w:val="single" w:sz="8" w:color="DF1995"/>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16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DF1995"/>
              </w:rPr>
              <w:t>20</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2024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In the second quarter of 2024, we implemented an expense reduction initiative that included workforce reductions, the closing of our San Diego office, and other actions to reduce annualized run-rate operating expenses.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pre-tax restructuring charges are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6000" w:type="dxa"/>
            <w:vAlign w:val="bottom"/>
          </w:tcPr>
          <w:p>
            <w:pPr>
              <w:spacing w:after="0"/>
              <w:rPr>
                <w:sz w:val="16"/>
                <w:szCs w:val="16"/>
                <w:color w:val="auto"/>
              </w:rPr>
            </w:pPr>
          </w:p>
        </w:tc>
        <w:tc>
          <w:tcPr>
            <w:tcW w:w="120" w:type="dxa"/>
            <w:vAlign w:val="bottom"/>
            <w:shd w:val="clear" w:color="auto" w:fill="E7F2F9"/>
          </w:tcPr>
          <w:p>
            <w:pPr>
              <w:spacing w:after="0"/>
              <w:rPr>
                <w:sz w:val="16"/>
                <w:szCs w:val="16"/>
                <w:color w:val="auto"/>
              </w:rPr>
            </w:pPr>
          </w:p>
        </w:tc>
        <w:tc>
          <w:tcPr>
            <w:tcW w:w="2380" w:type="dxa"/>
            <w:vAlign w:val="bottom"/>
            <w:shd w:val="clear" w:color="auto" w:fill="E7F2F9"/>
          </w:tcPr>
          <w:p>
            <w:pPr>
              <w:jc w:val="center"/>
              <w:ind w:right="42"/>
              <w:spacing w:after="0"/>
              <w:rPr>
                <w:sz w:val="20"/>
                <w:szCs w:val="20"/>
                <w:color w:val="auto"/>
              </w:rPr>
            </w:pPr>
            <w:r>
              <w:rPr>
                <w:rFonts w:ascii="Arial" w:cs="Arial" w:eastAsia="Arial" w:hAnsi="Arial"/>
                <w:sz w:val="16"/>
                <w:szCs w:val="16"/>
                <w:b w:val="1"/>
                <w:bCs w:val="1"/>
                <w:color w:val="1383C6"/>
                <w:w w:val="97"/>
              </w:rPr>
              <w:t>Three Months Ended June 30,</w:t>
            </w:r>
          </w:p>
        </w:tc>
        <w:tc>
          <w:tcPr>
            <w:tcW w:w="220" w:type="dxa"/>
            <w:vAlign w:val="bottom"/>
          </w:tcPr>
          <w:p>
            <w:pPr>
              <w:spacing w:after="0"/>
              <w:rPr>
                <w:sz w:val="16"/>
                <w:szCs w:val="16"/>
                <w:color w:val="auto"/>
              </w:rPr>
            </w:pPr>
          </w:p>
        </w:tc>
        <w:tc>
          <w:tcPr>
            <w:tcW w:w="250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Cumulative amount incurred to</w:t>
            </w:r>
          </w:p>
        </w:tc>
      </w:tr>
      <w:tr>
        <w:trPr>
          <w:trHeight w:val="235"/>
        </w:trPr>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E7F2F9"/>
            </w:tcBorders>
            <w:shd w:val="clear" w:color="auto" w:fill="E7F2F9"/>
          </w:tcPr>
          <w:p>
            <w:pPr>
              <w:spacing w:after="0"/>
              <w:rPr>
                <w:sz w:val="20"/>
                <w:szCs w:val="20"/>
                <w:color w:val="auto"/>
              </w:rPr>
            </w:pPr>
          </w:p>
        </w:tc>
        <w:tc>
          <w:tcPr>
            <w:tcW w:w="2380" w:type="dxa"/>
            <w:vAlign w:val="bottom"/>
            <w:tcBorders>
              <w:bottom w:val="single" w:sz="8" w:color="E7F2F9"/>
            </w:tcBorders>
            <w:shd w:val="clear" w:color="auto" w:fill="E7F2F9"/>
          </w:tcPr>
          <w:p>
            <w:pPr>
              <w:jc w:val="right"/>
              <w:ind w:right="1002"/>
              <w:spacing w:after="0"/>
              <w:rPr>
                <w:sz w:val="20"/>
                <w:szCs w:val="20"/>
                <w:color w:val="auto"/>
              </w:rPr>
            </w:pPr>
            <w:r>
              <w:rPr>
                <w:rFonts w:ascii="Arial" w:cs="Arial" w:eastAsia="Arial" w:hAnsi="Arial"/>
                <w:sz w:val="16"/>
                <w:szCs w:val="16"/>
                <w:b w:val="1"/>
                <w:bCs w:val="1"/>
                <w:color w:val="1383C6"/>
              </w:rPr>
              <w:t>2025</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jc w:val="right"/>
              <w:ind w:right="1022"/>
              <w:spacing w:after="0"/>
              <w:rPr>
                <w:sz w:val="20"/>
                <w:szCs w:val="20"/>
                <w:color w:val="auto"/>
              </w:rPr>
            </w:pPr>
            <w:r>
              <w:rPr>
                <w:rFonts w:ascii="Arial" w:cs="Arial" w:eastAsia="Arial" w:hAnsi="Arial"/>
                <w:sz w:val="16"/>
                <w:szCs w:val="16"/>
                <w:b w:val="1"/>
                <w:bCs w:val="1"/>
                <w:color w:val="auto"/>
              </w:rPr>
              <w:t>date</w:t>
            </w:r>
          </w:p>
        </w:tc>
      </w:tr>
      <w:tr>
        <w:trPr>
          <w:trHeight w:val="212"/>
        </w:trPr>
        <w:tc>
          <w:tcPr>
            <w:tcW w:w="6000" w:type="dxa"/>
            <w:vAlign w:val="bottom"/>
          </w:tcPr>
          <w:p>
            <w:pPr>
              <w:spacing w:after="0"/>
              <w:rPr>
                <w:sz w:val="20"/>
                <w:szCs w:val="20"/>
                <w:color w:val="auto"/>
              </w:rPr>
            </w:pPr>
            <w:r>
              <w:rPr>
                <w:rFonts w:ascii="Arial" w:cs="Arial" w:eastAsia="Arial" w:hAnsi="Arial"/>
                <w:sz w:val="16"/>
                <w:szCs w:val="16"/>
                <w:color w:val="auto"/>
              </w:rPr>
              <w:t>Employee separation costs</w:t>
            </w:r>
          </w:p>
        </w:tc>
        <w:tc>
          <w:tcPr>
            <w:tcW w:w="1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2380" w:type="dxa"/>
            <w:vAlign w:val="bottom"/>
            <w:tcBorders>
              <w:top w:val="single" w:sz="8" w:color="auto"/>
            </w:tcBorders>
            <w:shd w:val="clear" w:color="auto" w:fill="E7F2F9"/>
          </w:tcPr>
          <w:p>
            <w:pPr>
              <w:jc w:val="center"/>
              <w:ind w:left="2022"/>
              <w:spacing w:after="0"/>
              <w:rPr>
                <w:sz w:val="20"/>
                <w:szCs w:val="20"/>
                <w:color w:val="auto"/>
              </w:rPr>
            </w:pPr>
            <w:r>
              <w:rPr>
                <w:rFonts w:ascii="Arial" w:cs="Arial" w:eastAsia="Arial" w:hAnsi="Arial"/>
                <w:sz w:val="16"/>
                <w:szCs w:val="16"/>
                <w:color w:val="1383C6"/>
                <w:w w:val="99"/>
              </w:rPr>
              <w:t>—</w:t>
            </w:r>
          </w:p>
        </w:tc>
        <w:tc>
          <w:tcPr>
            <w:tcW w:w="220" w:type="dxa"/>
            <w:vAlign w:val="bottom"/>
          </w:tcPr>
          <w:p>
            <w:pPr>
              <w:spacing w:after="0"/>
              <w:rPr>
                <w:sz w:val="18"/>
                <w:szCs w:val="18"/>
                <w:color w:val="auto"/>
              </w:rPr>
            </w:pPr>
          </w:p>
        </w:tc>
        <w:tc>
          <w:tcPr>
            <w:tcW w:w="60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10,008</w:t>
            </w:r>
          </w:p>
        </w:tc>
      </w:tr>
      <w:tr>
        <w:trPr>
          <w:trHeight w:val="242"/>
        </w:trPr>
        <w:tc>
          <w:tcPr>
            <w:tcW w:w="6000" w:type="dxa"/>
            <w:vAlign w:val="bottom"/>
          </w:tcPr>
          <w:p>
            <w:pPr>
              <w:spacing w:after="0"/>
              <w:rPr>
                <w:sz w:val="20"/>
                <w:szCs w:val="20"/>
                <w:color w:val="auto"/>
              </w:rPr>
            </w:pPr>
            <w:r>
              <w:rPr>
                <w:rFonts w:ascii="Arial" w:cs="Arial" w:eastAsia="Arial" w:hAnsi="Arial"/>
                <w:sz w:val="16"/>
                <w:szCs w:val="16"/>
                <w:color w:val="auto"/>
              </w:rPr>
              <w:t>Other costs</w:t>
            </w:r>
          </w:p>
        </w:tc>
        <w:tc>
          <w:tcPr>
            <w:tcW w:w="120" w:type="dxa"/>
            <w:vAlign w:val="bottom"/>
            <w:tcBorders>
              <w:bottom w:val="single" w:sz="8" w:color="auto"/>
            </w:tcBorders>
            <w:shd w:val="clear" w:color="auto" w:fill="E7F2F9"/>
          </w:tcPr>
          <w:p>
            <w:pPr>
              <w:spacing w:after="0"/>
              <w:rPr>
                <w:sz w:val="21"/>
                <w:szCs w:val="21"/>
                <w:color w:val="auto"/>
              </w:rPr>
            </w:pPr>
          </w:p>
        </w:tc>
        <w:tc>
          <w:tcPr>
            <w:tcW w:w="2380" w:type="dxa"/>
            <w:vAlign w:val="bottom"/>
            <w:tcBorders>
              <w:bottom w:val="single" w:sz="8" w:color="auto"/>
            </w:tcBorders>
            <w:shd w:val="clear" w:color="auto" w:fill="E7F2F9"/>
          </w:tcPr>
          <w:p>
            <w:pPr>
              <w:jc w:val="center"/>
              <w:ind w:left="1982"/>
              <w:spacing w:after="0"/>
              <w:rPr>
                <w:sz w:val="20"/>
                <w:szCs w:val="20"/>
                <w:color w:val="auto"/>
              </w:rPr>
            </w:pPr>
            <w:r>
              <w:rPr>
                <w:rFonts w:ascii="Arial" w:cs="Arial" w:eastAsia="Arial" w:hAnsi="Arial"/>
                <w:sz w:val="16"/>
                <w:szCs w:val="16"/>
                <w:color w:val="1383C6"/>
                <w:w w:val="98"/>
              </w:rPr>
              <w:t>(87)</w:t>
            </w:r>
          </w:p>
        </w:tc>
        <w:tc>
          <w:tcPr>
            <w:tcW w:w="2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16,102</w:t>
            </w:r>
          </w:p>
        </w:tc>
      </w:tr>
      <w:tr>
        <w:trPr>
          <w:trHeight w:val="254"/>
        </w:trPr>
        <w:tc>
          <w:tcPr>
            <w:tcW w:w="6000" w:type="dxa"/>
            <w:vAlign w:val="bottom"/>
          </w:tcPr>
          <w:p>
            <w:pPr>
              <w:ind w:left="200"/>
              <w:spacing w:after="0"/>
              <w:rPr>
                <w:sz w:val="20"/>
                <w:szCs w:val="20"/>
                <w:color w:val="auto"/>
              </w:rPr>
            </w:pPr>
            <w:r>
              <w:rPr>
                <w:rFonts w:ascii="Arial" w:cs="Arial" w:eastAsia="Arial" w:hAnsi="Arial"/>
                <w:sz w:val="16"/>
                <w:szCs w:val="16"/>
                <w:color w:val="auto"/>
              </w:rPr>
              <w:t>Total restructuring charges</w:t>
            </w:r>
            <w:r>
              <w:rPr>
                <w:rFonts w:ascii="Arial" w:cs="Arial" w:eastAsia="Arial" w:hAnsi="Arial"/>
                <w:sz w:val="20"/>
                <w:szCs w:val="20"/>
                <w:color w:val="auto"/>
                <w:vertAlign w:val="superscript"/>
              </w:rPr>
              <w:t>(1)</w:t>
            </w:r>
          </w:p>
        </w:tc>
        <w:tc>
          <w:tcPr>
            <w:tcW w:w="12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89"/>
              </w:rPr>
              <w:t>$</w:t>
            </w:r>
          </w:p>
        </w:tc>
        <w:tc>
          <w:tcPr>
            <w:tcW w:w="2380" w:type="dxa"/>
            <w:vAlign w:val="bottom"/>
            <w:shd w:val="clear" w:color="auto" w:fill="E7F2F9"/>
          </w:tcPr>
          <w:p>
            <w:pPr>
              <w:jc w:val="center"/>
              <w:ind w:left="1982"/>
              <w:spacing w:after="0"/>
              <w:rPr>
                <w:sz w:val="20"/>
                <w:szCs w:val="20"/>
                <w:color w:val="auto"/>
              </w:rPr>
            </w:pPr>
            <w:r>
              <w:rPr>
                <w:rFonts w:ascii="Arial" w:cs="Arial" w:eastAsia="Arial" w:hAnsi="Arial"/>
                <w:sz w:val="16"/>
                <w:szCs w:val="16"/>
                <w:color w:val="1383C6"/>
                <w:w w:val="98"/>
              </w:rPr>
              <w:t>(87)</w:t>
            </w:r>
          </w:p>
        </w:tc>
        <w:tc>
          <w:tcPr>
            <w:tcW w:w="820" w:type="dxa"/>
            <w:vAlign w:val="bottom"/>
            <w:gridSpan w:val="2"/>
          </w:tcPr>
          <w:p>
            <w:pPr>
              <w:jc w:val="right"/>
              <w:ind w:right="422"/>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26,110</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700" w:hanging="150"/>
        <w:spacing w:after="0" w:line="285" w:lineRule="auto"/>
        <w:tabs>
          <w:tab w:leader="none" w:pos="693" w:val="left"/>
        </w:tabs>
        <w:numPr>
          <w:ilvl w:val="0"/>
          <w:numId w:val="3"/>
        </w:numPr>
        <w:rPr>
          <w:rFonts w:ascii="Arial" w:cs="Arial" w:eastAsia="Arial" w:hAnsi="Arial"/>
          <w:sz w:val="9"/>
          <w:szCs w:val="9"/>
          <w:color w:val="auto"/>
        </w:rPr>
      </w:pPr>
      <w:r>
        <w:rPr>
          <w:rFonts w:ascii="Arial" w:cs="Arial" w:eastAsia="Arial" w:hAnsi="Arial"/>
          <w:sz w:val="14"/>
          <w:szCs w:val="14"/>
          <w:color w:val="auto"/>
        </w:rPr>
        <w:t>Cumulative charges incurred to date include $15.8 million in sales, general and administrative expense; $5.9 million in research and development expense; and $4.4 million in cost of revenue.</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Cumulative charges incurred to date include employee separation costs comprised of approximately $5.5 million related to salaries, wages and other employee benefits paid to terminated employees pursuant to the Worker Adjustment and Retraining Notification (WARN) Act and approximately $4.5 million of severance costs.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Other costs in cumulative charges incurred to date are primarily related to accelerated amortization and depreciation of $8.1 million for the right-of-use asset, leasehold improvements, and furniture and fixtures relating to the abandonment of the San Diego office. We also incurred cumulative charges to date for excess inventory of $3.6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planned to abandon the San Diego office. The lease liability pertaining to the San Diego office was also remeasured during the three months ended June 30, 2024 resulting in a reduction in the operating lease liability balance of $4.4 million, which was offset against the right-of-use asset on the condensed consolidated balance sheets. We fully exited our San Diego office in September 2024.</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liabilities related to the restructuring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Other Costs</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Total</w:t>
            </w:r>
          </w:p>
        </w:tc>
      </w:tr>
      <w:tr>
        <w:trPr>
          <w:trHeight w:val="238"/>
        </w:trPr>
        <w:tc>
          <w:tcPr>
            <w:tcW w:w="7160" w:type="dxa"/>
            <w:vAlign w:val="bottom"/>
          </w:tcPr>
          <w:p>
            <w:pPr>
              <w:ind w:left="20"/>
              <w:spacing w:after="0"/>
              <w:rPr>
                <w:sz w:val="20"/>
                <w:szCs w:val="20"/>
                <w:color w:val="auto"/>
              </w:rPr>
            </w:pPr>
            <w:r>
              <w:rPr>
                <w:rFonts w:ascii="Arial" w:cs="Arial" w:eastAsia="Arial" w:hAnsi="Arial"/>
                <w:sz w:val="17"/>
                <w:szCs w:val="17"/>
                <w:color w:val="auto"/>
              </w:rPr>
              <w:t>Amount recorded in current liabilities as of December 31, 2024</w:t>
            </w:r>
          </w:p>
        </w:tc>
        <w:tc>
          <w:tcPr>
            <w:tcW w:w="5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170</w:t>
            </w:r>
          </w:p>
        </w:tc>
        <w:tc>
          <w:tcPr>
            <w:tcW w:w="200" w:type="dxa"/>
            <w:vAlign w:val="bottom"/>
          </w:tcPr>
          <w:p>
            <w:pPr>
              <w:spacing w:after="0"/>
              <w:rPr>
                <w:sz w:val="20"/>
                <w:szCs w:val="20"/>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2"/>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8"/>
        </w:trPr>
        <w:tc>
          <w:tcPr>
            <w:tcW w:w="7160" w:type="dxa"/>
            <w:vAlign w:val="bottom"/>
            <w:shd w:val="clear" w:color="auto" w:fill="E7F2F9"/>
          </w:tcPr>
          <w:p>
            <w:pPr>
              <w:ind w:left="20"/>
              <w:spacing w:after="0"/>
              <w:rPr>
                <w:sz w:val="20"/>
                <w:szCs w:val="20"/>
                <w:color w:val="auto"/>
              </w:rPr>
            </w:pPr>
            <w:r>
              <w:rPr>
                <w:rFonts w:ascii="Arial" w:cs="Arial" w:eastAsia="Arial" w:hAnsi="Arial"/>
                <w:sz w:val="17"/>
                <w:szCs w:val="17"/>
                <w:color w:val="1383C6"/>
              </w:rPr>
              <w:t>Additional expense recorded</w:t>
            </w:r>
          </w:p>
        </w:tc>
        <w:tc>
          <w:tcPr>
            <w:tcW w:w="200" w:type="dxa"/>
            <w:vAlign w:val="bottom"/>
            <w:shd w:val="clear" w:color="auto" w:fill="E7F2F9"/>
          </w:tcPr>
          <w:p>
            <w:pPr>
              <w:spacing w:after="0"/>
              <w:rPr>
                <w:sz w:val="20"/>
                <w:szCs w:val="20"/>
                <w:color w:val="auto"/>
              </w:rPr>
            </w:pPr>
          </w:p>
        </w:tc>
        <w:tc>
          <w:tcPr>
            <w:tcW w:w="300" w:type="dxa"/>
            <w:vAlign w:val="bottom"/>
            <w:shd w:val="clear" w:color="auto" w:fill="E7F2F9"/>
          </w:tcPr>
          <w:p>
            <w:pPr>
              <w:spacing w:after="0"/>
              <w:rPr>
                <w:sz w:val="20"/>
                <w:szCs w:val="20"/>
                <w:color w:val="auto"/>
              </w:rPr>
            </w:pPr>
          </w:p>
        </w:tc>
        <w:tc>
          <w:tcPr>
            <w:tcW w:w="154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888</w:t>
            </w:r>
          </w:p>
        </w:tc>
        <w:tc>
          <w:tcPr>
            <w:tcW w:w="200" w:type="dxa"/>
            <w:vAlign w:val="bottom"/>
            <w:shd w:val="clear" w:color="auto" w:fill="E7F2F9"/>
          </w:tcPr>
          <w:p>
            <w:pPr>
              <w:spacing w:after="0"/>
              <w:rPr>
                <w:sz w:val="20"/>
                <w:szCs w:val="20"/>
                <w:color w:val="auto"/>
              </w:rPr>
            </w:pPr>
          </w:p>
        </w:tc>
        <w:tc>
          <w:tcPr>
            <w:tcW w:w="440" w:type="dxa"/>
            <w:vAlign w:val="bottom"/>
            <w:shd w:val="clear" w:color="auto" w:fill="E7F2F9"/>
          </w:tcPr>
          <w:p>
            <w:pPr>
              <w:spacing w:after="0"/>
              <w:rPr>
                <w:sz w:val="20"/>
                <w:szCs w:val="20"/>
                <w:color w:val="auto"/>
              </w:rPr>
            </w:pPr>
          </w:p>
        </w:tc>
        <w:tc>
          <w:tcPr>
            <w:tcW w:w="140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888</w:t>
            </w:r>
          </w:p>
        </w:tc>
      </w:tr>
      <w:tr>
        <w:trPr>
          <w:trHeight w:val="287"/>
        </w:trPr>
        <w:tc>
          <w:tcPr>
            <w:tcW w:w="716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7"/>
                <w:szCs w:val="17"/>
                <w:color w:val="1383C6"/>
              </w:rPr>
              <w:t>Cash payments</w:t>
            </w:r>
          </w:p>
        </w:tc>
        <w:tc>
          <w:tcPr>
            <w:tcW w:w="200" w:type="dxa"/>
            <w:vAlign w:val="bottom"/>
            <w:tcBorders>
              <w:bottom w:val="single" w:sz="8" w:color="E7F2F9"/>
            </w:tcBorders>
            <w:shd w:val="clear" w:color="auto" w:fill="E7F2F9"/>
          </w:tcPr>
          <w:p>
            <w:pPr>
              <w:spacing w:after="0"/>
              <w:rPr>
                <w:sz w:val="24"/>
                <w:szCs w:val="24"/>
                <w:color w:val="auto"/>
              </w:rPr>
            </w:pPr>
          </w:p>
        </w:tc>
        <w:tc>
          <w:tcPr>
            <w:tcW w:w="300" w:type="dxa"/>
            <w:vAlign w:val="bottom"/>
            <w:tcBorders>
              <w:bottom w:val="single" w:sz="8" w:color="E7F2F9"/>
            </w:tcBorders>
            <w:shd w:val="clear" w:color="auto" w:fill="E7F2F9"/>
          </w:tcPr>
          <w:p>
            <w:pPr>
              <w:spacing w:after="0"/>
              <w:rPr>
                <w:sz w:val="24"/>
                <w:szCs w:val="24"/>
                <w:color w:val="auto"/>
              </w:rPr>
            </w:pPr>
          </w:p>
        </w:tc>
        <w:tc>
          <w:tcPr>
            <w:tcW w:w="15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7"/>
                <w:szCs w:val="17"/>
                <w:color w:val="1383C6"/>
              </w:rPr>
              <w:t>(1,058)</w:t>
            </w:r>
          </w:p>
        </w:tc>
        <w:tc>
          <w:tcPr>
            <w:tcW w:w="200" w:type="dxa"/>
            <w:vAlign w:val="bottom"/>
            <w:tcBorders>
              <w:bottom w:val="single" w:sz="8" w:color="E7F2F9"/>
            </w:tcBorders>
            <w:shd w:val="clear" w:color="auto" w:fill="E7F2F9"/>
          </w:tcPr>
          <w:p>
            <w:pPr>
              <w:spacing w:after="0"/>
              <w:rPr>
                <w:sz w:val="24"/>
                <w:szCs w:val="24"/>
                <w:color w:val="auto"/>
              </w:rPr>
            </w:pPr>
          </w:p>
        </w:tc>
        <w:tc>
          <w:tcPr>
            <w:tcW w:w="440" w:type="dxa"/>
            <w:vAlign w:val="bottom"/>
            <w:tcBorders>
              <w:bottom w:val="single" w:sz="8" w:color="E7F2F9"/>
            </w:tcBorders>
            <w:shd w:val="clear" w:color="auto" w:fill="E7F2F9"/>
          </w:tcPr>
          <w:p>
            <w:pPr>
              <w:spacing w:after="0"/>
              <w:rPr>
                <w:sz w:val="24"/>
                <w:szCs w:val="24"/>
                <w:color w:val="auto"/>
              </w:rPr>
            </w:pPr>
          </w:p>
        </w:tc>
        <w:tc>
          <w:tcPr>
            <w:tcW w:w="14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7"/>
                <w:szCs w:val="17"/>
                <w:color w:val="1383C6"/>
              </w:rPr>
              <w:t>(1,058)</w:t>
            </w:r>
          </w:p>
        </w:tc>
      </w:tr>
      <w:tr>
        <w:trPr>
          <w:trHeight w:val="278"/>
        </w:trPr>
        <w:tc>
          <w:tcPr>
            <w:tcW w:w="7160" w:type="dxa"/>
            <w:vAlign w:val="bottom"/>
            <w:tcBorders>
              <w:top w:val="single" w:sz="8" w:color="E7F2F9"/>
              <w:bottom w:val="single" w:sz="8" w:color="E7F2F9"/>
            </w:tcBorders>
            <w:shd w:val="clear" w:color="auto" w:fill="E7F2F9"/>
          </w:tcPr>
          <w:p>
            <w:pPr>
              <w:ind w:left="20"/>
              <w:spacing w:after="0"/>
              <w:rPr>
                <w:sz w:val="20"/>
                <w:szCs w:val="20"/>
                <w:color w:val="auto"/>
              </w:rPr>
            </w:pPr>
            <w:r>
              <w:rPr>
                <w:rFonts w:ascii="Arial" w:cs="Arial" w:eastAsia="Arial" w:hAnsi="Arial"/>
                <w:sz w:val="17"/>
                <w:szCs w:val="17"/>
                <w:color w:val="1383C6"/>
              </w:rPr>
              <w:t>Amount recorded in current liabilities as of June 30, 2025</w:t>
            </w:r>
          </w:p>
        </w:tc>
        <w:tc>
          <w:tcPr>
            <w:tcW w:w="200" w:type="dxa"/>
            <w:vAlign w:val="bottom"/>
            <w:tcBorders>
              <w:top w:val="single" w:sz="8" w:color="E7F2F9"/>
              <w:bottom w:val="single" w:sz="8" w:color="E7F2F9"/>
            </w:tcBorders>
            <w:shd w:val="clear" w:color="auto" w:fill="E7F2F9"/>
          </w:tcPr>
          <w:p>
            <w:pPr>
              <w:spacing w:after="0"/>
              <w:rPr>
                <w:sz w:val="23"/>
                <w:szCs w:val="23"/>
                <w:color w:val="auto"/>
              </w:rPr>
            </w:pPr>
          </w:p>
        </w:tc>
        <w:tc>
          <w:tcPr>
            <w:tcW w:w="300" w:type="dxa"/>
            <w:vAlign w:val="bottom"/>
            <w:tcBorders>
              <w:top w:val="single" w:sz="8" w:color="auto"/>
              <w:bottom w:val="single" w:sz="8" w:color="auto"/>
            </w:tcBorders>
            <w:shd w:val="clear" w:color="auto" w:fill="E7F2F9"/>
          </w:tcPr>
          <w:p>
            <w:pPr>
              <w:jc w:val="right"/>
              <w:ind w:right="93"/>
              <w:spacing w:after="0"/>
              <w:rPr>
                <w:sz w:val="20"/>
                <w:szCs w:val="20"/>
                <w:color w:val="auto"/>
              </w:rPr>
            </w:pPr>
            <w:r>
              <w:rPr>
                <w:rFonts w:ascii="Arial" w:cs="Arial" w:eastAsia="Arial" w:hAnsi="Arial"/>
                <w:sz w:val="17"/>
                <w:szCs w:val="17"/>
                <w:color w:val="1383C6"/>
              </w:rPr>
              <w:t>$</w:t>
            </w:r>
          </w:p>
        </w:tc>
        <w:tc>
          <w:tcPr>
            <w:tcW w:w="154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7"/>
                <w:szCs w:val="17"/>
                <w:color w:val="1383C6"/>
              </w:rPr>
              <w:t>—</w:t>
            </w:r>
          </w:p>
        </w:tc>
        <w:tc>
          <w:tcPr>
            <w:tcW w:w="200" w:type="dxa"/>
            <w:vAlign w:val="bottom"/>
            <w:tcBorders>
              <w:top w:val="single" w:sz="8" w:color="E7F2F9"/>
              <w:bottom w:val="single" w:sz="8" w:color="E7F2F9"/>
            </w:tcBorders>
            <w:shd w:val="clear" w:color="auto" w:fill="E7F2F9"/>
          </w:tcPr>
          <w:p>
            <w:pPr>
              <w:spacing w:after="0"/>
              <w:rPr>
                <w:sz w:val="23"/>
                <w:szCs w:val="23"/>
                <w:color w:val="auto"/>
              </w:rPr>
            </w:pPr>
          </w:p>
        </w:tc>
        <w:tc>
          <w:tcPr>
            <w:tcW w:w="440" w:type="dxa"/>
            <w:vAlign w:val="bottom"/>
            <w:tcBorders>
              <w:top w:val="single" w:sz="8" w:color="auto"/>
              <w:bottom w:val="single" w:sz="8" w:color="auto"/>
            </w:tcBorders>
            <w:shd w:val="clear" w:color="auto" w:fill="E7F2F9"/>
          </w:tcPr>
          <w:p>
            <w:pPr>
              <w:jc w:val="right"/>
              <w:ind w:right="233"/>
              <w:spacing w:after="0"/>
              <w:rPr>
                <w:sz w:val="20"/>
                <w:szCs w:val="20"/>
                <w:color w:val="auto"/>
              </w:rPr>
            </w:pPr>
            <w:r>
              <w:rPr>
                <w:rFonts w:ascii="Arial" w:cs="Arial" w:eastAsia="Arial" w:hAnsi="Arial"/>
                <w:sz w:val="17"/>
                <w:szCs w:val="17"/>
                <w:color w:val="1383C6"/>
              </w:rPr>
              <w:t>$</w:t>
            </w:r>
          </w:p>
        </w:tc>
        <w:tc>
          <w:tcPr>
            <w:tcW w:w="140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7"/>
                <w:szCs w:val="17"/>
                <w:color w:val="1383C6"/>
              </w:rPr>
              <w:t>—</w:t>
            </w:r>
          </w:p>
        </w:tc>
      </w:tr>
      <w:tr>
        <w:trPr>
          <w:trHeight w:val="20"/>
        </w:trPr>
        <w:tc>
          <w:tcPr>
            <w:tcW w:w="7160" w:type="dxa"/>
            <w:vAlign w:val="bottom"/>
            <w:tcBorders>
              <w:top w:val="single" w:sz="8" w:color="E7F2F9"/>
            </w:tcBorders>
          </w:tcPr>
          <w:p>
            <w:pPr>
              <w:spacing w:after="0" w:line="20" w:lineRule="exact"/>
              <w:rPr>
                <w:sz w:val="1"/>
                <w:szCs w:val="1"/>
                <w:color w:val="auto"/>
              </w:rPr>
            </w:pPr>
          </w:p>
        </w:tc>
        <w:tc>
          <w:tcPr>
            <w:tcW w:w="200" w:type="dxa"/>
            <w:vAlign w:val="bottom"/>
            <w:tcBorders>
              <w:top w:val="single" w:sz="8" w:color="E7F2F9"/>
            </w:tcBorders>
          </w:tcPr>
          <w:p>
            <w:pPr>
              <w:spacing w:after="0" w:line="20" w:lineRule="exact"/>
              <w:rPr>
                <w:sz w:val="1"/>
                <w:szCs w:val="1"/>
                <w:color w:val="auto"/>
              </w:rPr>
            </w:pPr>
          </w:p>
        </w:tc>
        <w:tc>
          <w:tcPr>
            <w:tcW w:w="300" w:type="dxa"/>
            <w:vAlign w:val="bottom"/>
            <w:tcBorders>
              <w:top w:val="single" w:sz="8" w:color="E7F2F9"/>
              <w:bottom w:val="single" w:sz="8" w:color="auto"/>
            </w:tcBorders>
          </w:tcPr>
          <w:p>
            <w:pPr>
              <w:spacing w:after="0" w:line="20" w:lineRule="exact"/>
              <w:rPr>
                <w:sz w:val="1"/>
                <w:szCs w:val="1"/>
                <w:color w:val="auto"/>
              </w:rPr>
            </w:pPr>
          </w:p>
        </w:tc>
        <w:tc>
          <w:tcPr>
            <w:tcW w:w="1540" w:type="dxa"/>
            <w:vAlign w:val="bottom"/>
            <w:tcBorders>
              <w:top w:val="single" w:sz="8" w:color="E7F2F9"/>
              <w:bottom w:val="single" w:sz="8" w:color="auto"/>
            </w:tcBorders>
          </w:tcPr>
          <w:p>
            <w:pPr>
              <w:spacing w:after="0" w:line="20" w:lineRule="exact"/>
              <w:rPr>
                <w:sz w:val="1"/>
                <w:szCs w:val="1"/>
                <w:color w:val="auto"/>
              </w:rPr>
            </w:pPr>
          </w:p>
        </w:tc>
        <w:tc>
          <w:tcPr>
            <w:tcW w:w="200" w:type="dxa"/>
            <w:vAlign w:val="bottom"/>
            <w:tcBorders>
              <w:top w:val="single" w:sz="8" w:color="E7F2F9"/>
            </w:tcBorders>
          </w:tcPr>
          <w:p>
            <w:pPr>
              <w:spacing w:after="0" w:line="20" w:lineRule="exact"/>
              <w:rPr>
                <w:sz w:val="1"/>
                <w:szCs w:val="1"/>
                <w:color w:val="auto"/>
              </w:rPr>
            </w:pPr>
          </w:p>
        </w:tc>
        <w:tc>
          <w:tcPr>
            <w:tcW w:w="440" w:type="dxa"/>
            <w:vAlign w:val="bottom"/>
            <w:tcBorders>
              <w:top w:val="single" w:sz="8" w:color="E7F2F9"/>
              <w:bottom w:val="single" w:sz="8" w:color="auto"/>
            </w:tcBorders>
          </w:tcPr>
          <w:p>
            <w:pPr>
              <w:spacing w:after="0" w:line="20" w:lineRule="exact"/>
              <w:rPr>
                <w:sz w:val="1"/>
                <w:szCs w:val="1"/>
                <w:color w:val="auto"/>
              </w:rPr>
            </w:pPr>
          </w:p>
        </w:tc>
        <w:tc>
          <w:tcPr>
            <w:tcW w:w="1400" w:type="dxa"/>
            <w:vAlign w:val="bottom"/>
            <w:tcBorders>
              <w:top w:val="single" w:sz="8" w:color="E7F2F9"/>
              <w:bottom w:val="single" w:sz="8" w:color="auto"/>
            </w:tcBorders>
          </w:tcPr>
          <w:p>
            <w:pPr>
              <w:spacing w:after="0" w:line="20" w:lineRule="exact"/>
              <w:rPr>
                <w:sz w:val="1"/>
                <w:szCs w:val="1"/>
                <w:color w:val="auto"/>
              </w:rPr>
            </w:pPr>
          </w:p>
        </w:tc>
      </w:tr>
      <w:tr>
        <w:trPr>
          <w:trHeight w:val="362"/>
        </w:trPr>
        <w:tc>
          <w:tcPr>
            <w:tcW w:w="7160" w:type="dxa"/>
            <w:vAlign w:val="bottom"/>
          </w:tcPr>
          <w:p>
            <w:pPr>
              <w:ind w:left="20"/>
              <w:spacing w:after="0"/>
              <w:rPr>
                <w:sz w:val="20"/>
                <w:szCs w:val="20"/>
                <w:color w:val="auto"/>
              </w:rPr>
            </w:pPr>
            <w:r>
              <w:rPr>
                <w:rFonts w:ascii="Arial" w:cs="Arial" w:eastAsia="Arial" w:hAnsi="Arial"/>
                <w:sz w:val="17"/>
                <w:szCs w:val="17"/>
                <w:color w:val="auto"/>
              </w:rPr>
              <w:t>Estimated total restructuring costs to still be incurred</w:t>
            </w:r>
          </w:p>
        </w:tc>
        <w:tc>
          <w:tcPr>
            <w:tcW w:w="5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table above excludes noncash activities and amounts incurred relating to the San Diego office lease liability. The ending balance of the San Diego office lease liability as of June 30, 2025 is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137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564515</wp:posOffset>
            </wp:positionV>
            <wp:extent cx="7137400" cy="2476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6. COMMITMENTS AND CONTINGENCIES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Company has entered into various operating lease agreements, primarily relating to our corporate offices. On March 7, 2025, we amended our existing lease covering our corporate headquarters, as well as our research and development, manufacturing, and distribution facilities in Menlo Park, California. The lease amendment extends the term to April 30, 2034. See </w:t>
      </w:r>
      <w:r>
        <w:rPr>
          <w:rFonts w:ascii="Arial" w:cs="Arial" w:eastAsia="Arial" w:hAnsi="Arial"/>
          <w:sz w:val="17"/>
          <w:szCs w:val="17"/>
          <w:i w:val="1"/>
          <w:iCs w:val="1"/>
          <w:color w:val="auto"/>
        </w:rPr>
        <w:t>Note 6 – Commitments and Contingencies</w:t>
      </w:r>
      <w:r>
        <w:rPr>
          <w:rFonts w:ascii="Arial" w:cs="Arial" w:eastAsia="Arial" w:hAnsi="Arial"/>
          <w:sz w:val="17"/>
          <w:szCs w:val="17"/>
          <w:color w:val="auto"/>
        </w:rPr>
        <w:t>, subsection titled “Leases”, in Part I, Item 1 of the Quarterly Report on Form 10-Q for the quarter ended March 31, 2025 for information regarding the Company’s maturity of lease liabilities under its lease agreements.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u w:val="single" w:color="auto"/>
          <w:color w:val="0000FF"/>
        </w:rPr>
        <w:t>Legal Proceedings, in Part II, Item 1</w:t>
      </w:r>
      <w:r>
        <w:rPr>
          <w:rFonts w:ascii="Arial" w:cs="Arial" w:eastAsia="Arial" w:hAnsi="Arial"/>
          <w:sz w:val="17"/>
          <w:szCs w:val="17"/>
          <w:color w:val="auto"/>
        </w:rPr>
        <w:t xml:space="preserve"> of this Quarterly Report on Form 10-Q.</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137400" cy="2476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7. EQUITY PLANS AND SHARE-BASED COMPENSATION</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2025,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On June 4, 2025, our stockholders approved an amendment to the 2020 Plan to reserve an additional 23 million shares of our common stock for issuance pursuant to equity awards granted under the 2020 Plan.</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2025, we had 13.5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374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9 – Stockholders' Equity</w:t>
      </w:r>
      <w:r>
        <w:rPr>
          <w:rFonts w:ascii="Arial" w:cs="Arial" w:eastAsia="Arial" w:hAnsi="Arial"/>
          <w:sz w:val="17"/>
          <w:szCs w:val="17"/>
          <w:color w:val="auto"/>
        </w:rPr>
        <w:t>, in Part II, Item 8 of our 2024 Annual Report for more information on the Company's equity plans.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time-based awards: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7"/>
              </w:rPr>
              <w:t>Weighted</w:t>
            </w:r>
          </w:p>
        </w:tc>
      </w:tr>
      <w:tr>
        <w:trPr>
          <w:trHeight w:val="182"/>
        </w:trPr>
        <w:tc>
          <w:tcPr>
            <w:tcW w:w="8180" w:type="dxa"/>
            <w:vAlign w:val="bottom"/>
          </w:tcPr>
          <w:p>
            <w:pPr>
              <w:spacing w:after="0"/>
              <w:rPr>
                <w:sz w:val="15"/>
                <w:szCs w:val="15"/>
                <w:color w:val="auto"/>
              </w:rPr>
            </w:pPr>
          </w:p>
        </w:tc>
        <w:tc>
          <w:tcPr>
            <w:tcW w:w="1480" w:type="dxa"/>
            <w:vAlign w:val="bottom"/>
          </w:tcPr>
          <w:p>
            <w:pPr>
              <w:jc w:val="right"/>
              <w:ind w:right="362"/>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82"/>
              <w:spacing w:after="0" w:line="182" w:lineRule="exact"/>
              <w:rPr>
                <w:sz w:val="20"/>
                <w:szCs w:val="20"/>
                <w:color w:val="auto"/>
              </w:rPr>
            </w:pPr>
            <w:r>
              <w:rPr>
                <w:rFonts w:ascii="Arial" w:cs="Arial" w:eastAsia="Arial" w:hAnsi="Arial"/>
                <w:sz w:val="16"/>
                <w:szCs w:val="16"/>
                <w:b w:val="1"/>
                <w:bCs w:val="1"/>
                <w:color w:val="auto"/>
                <w:w w:val="99"/>
              </w:rPr>
              <w:t>average</w:t>
            </w:r>
          </w:p>
        </w:tc>
      </w:tr>
      <w:tr>
        <w:trPr>
          <w:trHeight w:val="228"/>
        </w:trPr>
        <w:tc>
          <w:tcPr>
            <w:tcW w:w="8180" w:type="dxa"/>
            <w:vAlign w:val="bottom"/>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4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of shares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97"/>
              </w:rPr>
              <w:t>exercise price</w:t>
            </w:r>
          </w:p>
        </w:tc>
      </w:tr>
      <w:tr>
        <w:trPr>
          <w:trHeight w:val="227"/>
        </w:trPr>
        <w:tc>
          <w:tcPr>
            <w:tcW w:w="8180" w:type="dxa"/>
            <w:vAlign w:val="bottom"/>
          </w:tcPr>
          <w:p>
            <w:pPr>
              <w:ind w:left="20"/>
              <w:spacing w:after="0"/>
              <w:rPr>
                <w:sz w:val="20"/>
                <w:szCs w:val="20"/>
                <w:color w:val="auto"/>
              </w:rPr>
            </w:pPr>
            <w:r>
              <w:rPr>
                <w:rFonts w:ascii="Arial" w:cs="Arial" w:eastAsia="Arial" w:hAnsi="Arial"/>
                <w:sz w:val="16"/>
                <w:szCs w:val="16"/>
                <w:color w:val="auto"/>
              </w:rPr>
              <w:t>Outstanding at December 31, 2024</w:t>
            </w:r>
          </w:p>
        </w:tc>
        <w:tc>
          <w:tcPr>
            <w:tcW w:w="1480" w:type="dxa"/>
            <w:vAlign w:val="bottom"/>
          </w:tcPr>
          <w:p>
            <w:pPr>
              <w:jc w:val="right"/>
              <w:spacing w:after="0"/>
              <w:rPr>
                <w:sz w:val="20"/>
                <w:szCs w:val="20"/>
                <w:color w:val="auto"/>
              </w:rPr>
            </w:pPr>
            <w:r>
              <w:rPr>
                <w:rFonts w:ascii="Arial" w:cs="Arial" w:eastAsia="Arial" w:hAnsi="Arial"/>
                <w:sz w:val="16"/>
                <w:szCs w:val="16"/>
                <w:color w:val="auto"/>
              </w:rPr>
              <w:t>10,509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227"/>
        </w:trPr>
        <w:tc>
          <w:tcPr>
            <w:tcW w:w="818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Granted</w:t>
            </w: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8,290</w:t>
            </w: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1.22</w:t>
            </w:r>
          </w:p>
        </w:tc>
      </w:tr>
      <w:tr>
        <w:trPr>
          <w:trHeight w:val="234"/>
        </w:trPr>
        <w:tc>
          <w:tcPr>
            <w:tcW w:w="818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Canceled</w:t>
            </w: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(1,892)</w:t>
            </w:r>
          </w:p>
        </w:tc>
        <w:tc>
          <w:tcPr>
            <w:tcW w:w="80" w:type="dxa"/>
            <w:vAlign w:val="bottom"/>
            <w:shd w:val="clear" w:color="auto" w:fill="E7F2F9"/>
          </w:tcPr>
          <w:p>
            <w:pPr>
              <w:spacing w:after="0"/>
              <w:rPr>
                <w:sz w:val="20"/>
                <w:szCs w:val="20"/>
                <w:color w:val="auto"/>
              </w:rPr>
            </w:pPr>
          </w:p>
        </w:tc>
        <w:tc>
          <w:tcPr>
            <w:tcW w:w="18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8.31</w:t>
            </w:r>
          </w:p>
        </w:tc>
      </w:tr>
      <w:tr>
        <w:trPr>
          <w:trHeight w:val="242"/>
        </w:trPr>
        <w:tc>
          <w:tcPr>
            <w:tcW w:w="8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Expired</w:t>
            </w:r>
          </w:p>
        </w:tc>
        <w:tc>
          <w:tcPr>
            <w:tcW w:w="14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(358)</w:t>
            </w:r>
          </w:p>
        </w:tc>
        <w:tc>
          <w:tcPr>
            <w:tcW w:w="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spacing w:after="0"/>
              <w:rPr>
                <w:sz w:val="21"/>
                <w:szCs w:val="21"/>
                <w:color w:val="auto"/>
              </w:rPr>
            </w:pPr>
          </w:p>
        </w:tc>
        <w:tc>
          <w:tcPr>
            <w:tcW w:w="13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6"/>
                <w:szCs w:val="16"/>
                <w:color w:val="1383C6"/>
              </w:rPr>
              <w:t>6.52</w:t>
            </w:r>
          </w:p>
        </w:tc>
      </w:tr>
      <w:tr>
        <w:trPr>
          <w:trHeight w:val="259"/>
        </w:trPr>
        <w:tc>
          <w:tcPr>
            <w:tcW w:w="8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Outstanding at June 30, 2025</w:t>
            </w:r>
          </w:p>
        </w:tc>
        <w:tc>
          <w:tcPr>
            <w:tcW w:w="14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16,549</w:t>
            </w:r>
          </w:p>
        </w:tc>
        <w:tc>
          <w:tcPr>
            <w:tcW w:w="80" w:type="dxa"/>
            <w:vAlign w:val="bottom"/>
            <w:tcBorders>
              <w:bottom w:val="single" w:sz="8" w:color="E7F2F9"/>
            </w:tcBorders>
            <w:shd w:val="clear" w:color="auto" w:fill="E7F2F9"/>
          </w:tcPr>
          <w:p>
            <w:pPr>
              <w:spacing w:after="0"/>
              <w:rPr>
                <w:sz w:val="22"/>
                <w:szCs w:val="22"/>
                <w:color w:val="auto"/>
              </w:rPr>
            </w:pPr>
          </w:p>
        </w:tc>
        <w:tc>
          <w:tcPr>
            <w:tcW w:w="1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3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6"/>
                <w:szCs w:val="16"/>
                <w:color w:val="1383C6"/>
              </w:rPr>
              <w:t>6.57</w:t>
            </w:r>
          </w:p>
        </w:tc>
      </w:tr>
      <w:tr>
        <w:trPr>
          <w:trHeight w:val="20"/>
        </w:trPr>
        <w:tc>
          <w:tcPr>
            <w:tcW w:w="8180" w:type="dxa"/>
            <w:vAlign w:val="bottom"/>
            <w:tcBorders>
              <w:top w:val="single" w:sz="8" w:color="E7F2F9"/>
            </w:tcBorders>
          </w:tcPr>
          <w:p>
            <w:pPr>
              <w:spacing w:after="0" w:line="20" w:lineRule="exact"/>
              <w:rPr>
                <w:sz w:val="1"/>
                <w:szCs w:val="1"/>
                <w:color w:val="auto"/>
              </w:rPr>
            </w:pPr>
          </w:p>
        </w:tc>
        <w:tc>
          <w:tcPr>
            <w:tcW w:w="1480" w:type="dxa"/>
            <w:vAlign w:val="bottom"/>
            <w:tcBorders>
              <w:top w:val="single" w:sz="8" w:color="E7F2F9"/>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E7F2F9"/>
            </w:tcBorders>
          </w:tcPr>
          <w:p>
            <w:pPr>
              <w:spacing w:after="0" w:line="20" w:lineRule="exact"/>
              <w:rPr>
                <w:sz w:val="1"/>
                <w:szCs w:val="1"/>
                <w:color w:val="auto"/>
              </w:rPr>
            </w:pPr>
          </w:p>
        </w:tc>
        <w:tc>
          <w:tcPr>
            <w:tcW w:w="1320" w:type="dxa"/>
            <w:vAlign w:val="bottom"/>
            <w:tcBorders>
              <w:top w:val="single" w:sz="8" w:color="E7F2F9"/>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Restricted Stock Units ("RSU") and Performance Stock Units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issue RSUs for which the respective shares vest when the requisite service period is achieved. We issue PSUs for which the number of shares issuable is based on performance relative to specified revenue targets and continued employment through the vesting period. The PSUs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rPr>
              <w:t>Weighted average grant date</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158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Restricted Stock</w:t>
            </w:r>
          </w:p>
        </w:tc>
        <w:tc>
          <w:tcPr>
            <w:tcW w:w="80" w:type="dxa"/>
            <w:vAlign w:val="bottom"/>
          </w:tcPr>
          <w:p>
            <w:pPr>
              <w:spacing w:after="0"/>
              <w:rPr>
                <w:sz w:val="18"/>
                <w:szCs w:val="18"/>
                <w:color w:val="auto"/>
              </w:rPr>
            </w:pPr>
          </w:p>
        </w:tc>
        <w:tc>
          <w:tcPr>
            <w:tcW w:w="160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Performance Stock</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3"/>
          </w:tcPr>
          <w:p>
            <w:pPr>
              <w:jc w:val="right"/>
              <w:ind w:right="62"/>
              <w:spacing w:after="0"/>
              <w:rPr>
                <w:sz w:val="20"/>
                <w:szCs w:val="20"/>
                <w:color w:val="auto"/>
              </w:rPr>
            </w:pPr>
            <w:r>
              <w:rPr>
                <w:rFonts w:ascii="Arial" w:cs="Arial" w:eastAsia="Arial" w:hAnsi="Arial"/>
                <w:sz w:val="16"/>
                <w:szCs w:val="16"/>
                <w:b w:val="1"/>
                <w:bCs w:val="1"/>
                <w:color w:val="auto"/>
              </w:rPr>
              <w:t>fair value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i w:val="1"/>
                <w:iCs w:val="1"/>
                <w:color w:val="auto"/>
              </w:rPr>
              <w:t>(shares in thousands)</w:t>
            </w:r>
          </w:p>
        </w:tc>
        <w:tc>
          <w:tcPr>
            <w:tcW w:w="15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Units (RSU)</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Units (PSU)</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RSU</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PSU</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Arial" w:cs="Arial" w:eastAsia="Arial" w:hAnsi="Arial"/>
                <w:sz w:val="16"/>
                <w:szCs w:val="16"/>
                <w:color w:val="auto"/>
              </w:rPr>
              <w:t>Outstanding at December 31, 2024</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14,211</w:t>
            </w:r>
          </w:p>
        </w:tc>
        <w:tc>
          <w:tcPr>
            <w:tcW w:w="1680" w:type="dxa"/>
            <w:vAlign w:val="bottom"/>
            <w:gridSpan w:val="2"/>
          </w:tcPr>
          <w:p>
            <w:pPr>
              <w:jc w:val="right"/>
              <w:ind w:right="2"/>
              <w:spacing w:after="0"/>
              <w:rPr>
                <w:sz w:val="20"/>
                <w:szCs w:val="20"/>
                <w:color w:val="auto"/>
              </w:rPr>
            </w:pPr>
            <w:r>
              <w:rPr>
                <w:rFonts w:ascii="Arial" w:cs="Arial" w:eastAsia="Arial" w:hAnsi="Arial"/>
                <w:sz w:val="16"/>
                <w:szCs w:val="16"/>
                <w:color w:val="auto"/>
              </w:rPr>
              <w:t>392</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19"/>
                <w:szCs w:val="19"/>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27"/>
        </w:trPr>
        <w:tc>
          <w:tcPr>
            <w:tcW w:w="48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Granted</w:t>
            </w:r>
          </w:p>
        </w:tc>
        <w:tc>
          <w:tcPr>
            <w:tcW w:w="158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11,814</w:t>
            </w:r>
          </w:p>
        </w:tc>
        <w:tc>
          <w:tcPr>
            <w:tcW w:w="80" w:type="dxa"/>
            <w:vAlign w:val="bottom"/>
            <w:shd w:val="clear" w:color="auto" w:fill="E7F2F9"/>
          </w:tcPr>
          <w:p>
            <w:pPr>
              <w:spacing w:after="0"/>
              <w:rPr>
                <w:sz w:val="19"/>
                <w:szCs w:val="19"/>
                <w:color w:val="auto"/>
              </w:rPr>
            </w:pPr>
          </w:p>
        </w:tc>
        <w:tc>
          <w:tcPr>
            <w:tcW w:w="160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w:t>
            </w:r>
          </w:p>
        </w:tc>
        <w:tc>
          <w:tcPr>
            <w:tcW w:w="80" w:type="dxa"/>
            <w:vAlign w:val="bottom"/>
            <w:shd w:val="clear" w:color="auto" w:fill="E7F2F9"/>
          </w:tcPr>
          <w:p>
            <w:pPr>
              <w:spacing w:after="0"/>
              <w:rPr>
                <w:sz w:val="19"/>
                <w:szCs w:val="19"/>
                <w:color w:val="auto"/>
              </w:rPr>
            </w:pPr>
          </w:p>
        </w:tc>
        <w:tc>
          <w:tcPr>
            <w:tcW w:w="300" w:type="dxa"/>
            <w:vAlign w:val="bottom"/>
            <w:shd w:val="clear" w:color="auto" w:fill="E7F2F9"/>
          </w:tcPr>
          <w:p>
            <w:pPr>
              <w:spacing w:after="0"/>
              <w:rPr>
                <w:sz w:val="19"/>
                <w:szCs w:val="19"/>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1.25</w:t>
            </w:r>
          </w:p>
        </w:tc>
        <w:tc>
          <w:tcPr>
            <w:tcW w:w="100" w:type="dxa"/>
            <w:vAlign w:val="bottom"/>
            <w:shd w:val="clear" w:color="auto" w:fill="E7F2F9"/>
          </w:tcPr>
          <w:p>
            <w:pPr>
              <w:spacing w:after="0"/>
              <w:rPr>
                <w:sz w:val="19"/>
                <w:szCs w:val="19"/>
                <w:color w:val="auto"/>
              </w:rPr>
            </w:pPr>
          </w:p>
        </w:tc>
        <w:tc>
          <w:tcPr>
            <w:tcW w:w="440" w:type="dxa"/>
            <w:vAlign w:val="bottom"/>
            <w:shd w:val="clear" w:color="auto" w:fill="E7F2F9"/>
          </w:tcPr>
          <w:p>
            <w:pPr>
              <w:spacing w:after="0"/>
              <w:rPr>
                <w:sz w:val="19"/>
                <w:szCs w:val="19"/>
                <w:color w:val="auto"/>
              </w:rPr>
            </w:pPr>
          </w:p>
        </w:tc>
        <w:tc>
          <w:tcPr>
            <w:tcW w:w="10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0" w:type="dxa"/>
            <w:vAlign w:val="bottom"/>
          </w:tcPr>
          <w:p>
            <w:pPr>
              <w:spacing w:after="0"/>
              <w:rPr>
                <w:sz w:val="1"/>
                <w:szCs w:val="1"/>
                <w:color w:val="auto"/>
              </w:rPr>
            </w:pPr>
          </w:p>
        </w:tc>
      </w:tr>
      <w:tr>
        <w:trPr>
          <w:trHeight w:val="234"/>
        </w:trPr>
        <w:tc>
          <w:tcPr>
            <w:tcW w:w="48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Vested</w:t>
            </w:r>
          </w:p>
        </w:tc>
        <w:tc>
          <w:tcPr>
            <w:tcW w:w="15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(4,179)</w:t>
            </w:r>
          </w:p>
        </w:tc>
        <w:tc>
          <w:tcPr>
            <w:tcW w:w="80" w:type="dxa"/>
            <w:vAlign w:val="bottom"/>
            <w:shd w:val="clear" w:color="auto" w:fill="E7F2F9"/>
          </w:tcPr>
          <w:p>
            <w:pPr>
              <w:spacing w:after="0"/>
              <w:rPr>
                <w:sz w:val="20"/>
                <w:szCs w:val="20"/>
                <w:color w:val="auto"/>
              </w:rPr>
            </w:pPr>
          </w:p>
        </w:tc>
        <w:tc>
          <w:tcPr>
            <w:tcW w:w="160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w:t>
            </w:r>
          </w:p>
        </w:tc>
        <w:tc>
          <w:tcPr>
            <w:tcW w:w="80" w:type="dxa"/>
            <w:vAlign w:val="bottom"/>
            <w:shd w:val="clear" w:color="auto" w:fill="E7F2F9"/>
          </w:tcPr>
          <w:p>
            <w:pPr>
              <w:spacing w:after="0"/>
              <w:rPr>
                <w:sz w:val="20"/>
                <w:szCs w:val="20"/>
                <w:color w:val="auto"/>
              </w:rPr>
            </w:pPr>
          </w:p>
        </w:tc>
        <w:tc>
          <w:tcPr>
            <w:tcW w:w="30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9.34</w:t>
            </w:r>
          </w:p>
        </w:tc>
        <w:tc>
          <w:tcPr>
            <w:tcW w:w="100" w:type="dxa"/>
            <w:vAlign w:val="bottom"/>
            <w:shd w:val="clear" w:color="auto" w:fill="E7F2F9"/>
          </w:tcPr>
          <w:p>
            <w:pPr>
              <w:spacing w:after="0"/>
              <w:rPr>
                <w:sz w:val="20"/>
                <w:szCs w:val="20"/>
                <w:color w:val="auto"/>
              </w:rPr>
            </w:pPr>
          </w:p>
        </w:tc>
        <w:tc>
          <w:tcPr>
            <w:tcW w:w="440" w:type="dxa"/>
            <w:vAlign w:val="bottom"/>
            <w:shd w:val="clear" w:color="auto" w:fill="E7F2F9"/>
          </w:tcPr>
          <w:p>
            <w:pPr>
              <w:spacing w:after="0"/>
              <w:rPr>
                <w:sz w:val="20"/>
                <w:szCs w:val="20"/>
                <w:color w:val="auto"/>
              </w:rPr>
            </w:pPr>
          </w:p>
        </w:tc>
        <w:tc>
          <w:tcPr>
            <w:tcW w:w="10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0" w:type="dxa"/>
            <w:vAlign w:val="bottom"/>
          </w:tcPr>
          <w:p>
            <w:pPr>
              <w:spacing w:after="0"/>
              <w:rPr>
                <w:sz w:val="1"/>
                <w:szCs w:val="1"/>
                <w:color w:val="auto"/>
              </w:rPr>
            </w:pPr>
          </w:p>
        </w:tc>
      </w:tr>
      <w:tr>
        <w:trPr>
          <w:trHeight w:val="242"/>
        </w:trPr>
        <w:tc>
          <w:tcPr>
            <w:tcW w:w="48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6"/>
                <w:szCs w:val="16"/>
                <w:color w:val="1383C6"/>
              </w:rPr>
              <w:t>Forfeited</w:t>
            </w:r>
          </w:p>
        </w:tc>
        <w:tc>
          <w:tcPr>
            <w:tcW w:w="15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(2,939)</w:t>
            </w:r>
          </w:p>
        </w:tc>
        <w:tc>
          <w:tcPr>
            <w:tcW w:w="80" w:type="dxa"/>
            <w:vAlign w:val="bottom"/>
            <w:tcBorders>
              <w:bottom w:val="single" w:sz="8" w:color="E7F2F9"/>
            </w:tcBorders>
            <w:shd w:val="clear" w:color="auto" w:fill="E7F2F9"/>
          </w:tcPr>
          <w:p>
            <w:pPr>
              <w:spacing w:after="0"/>
              <w:rPr>
                <w:sz w:val="21"/>
                <w:szCs w:val="21"/>
                <w:color w:val="auto"/>
              </w:rPr>
            </w:pPr>
          </w:p>
        </w:tc>
        <w:tc>
          <w:tcPr>
            <w:tcW w:w="1600" w:type="dxa"/>
            <w:vAlign w:val="bottom"/>
            <w:tcBorders>
              <w:bottom w:val="single" w:sz="8" w:color="auto"/>
            </w:tcBorders>
            <w:shd w:val="clear" w:color="auto" w:fill="E7F2F9"/>
          </w:tcPr>
          <w:p>
            <w:pPr>
              <w:jc w:val="right"/>
              <w:ind w:right="2"/>
              <w:spacing w:after="0"/>
              <w:rPr>
                <w:sz w:val="20"/>
                <w:szCs w:val="20"/>
                <w:color w:val="auto"/>
              </w:rPr>
            </w:pPr>
            <w:r>
              <w:rPr>
                <w:rFonts w:ascii="Arial" w:cs="Arial" w:eastAsia="Arial" w:hAnsi="Arial"/>
                <w:sz w:val="16"/>
                <w:szCs w:val="16"/>
                <w:color w:val="1383C6"/>
              </w:rPr>
              <w:t>—</w:t>
            </w:r>
          </w:p>
        </w:tc>
        <w:tc>
          <w:tcPr>
            <w:tcW w:w="80" w:type="dxa"/>
            <w:vAlign w:val="bottom"/>
            <w:tcBorders>
              <w:bottom w:val="single" w:sz="8" w:color="E7F2F9"/>
            </w:tcBorders>
            <w:shd w:val="clear" w:color="auto" w:fill="E7F2F9"/>
          </w:tcPr>
          <w:p>
            <w:pPr>
              <w:spacing w:after="0"/>
              <w:rPr>
                <w:sz w:val="21"/>
                <w:szCs w:val="21"/>
                <w:color w:val="auto"/>
              </w:rPr>
            </w:pPr>
          </w:p>
        </w:tc>
        <w:tc>
          <w:tcPr>
            <w:tcW w:w="300" w:type="dxa"/>
            <w:vAlign w:val="bottom"/>
            <w:tcBorders>
              <w:bottom w:val="single" w:sz="8" w:color="E7F2F9"/>
            </w:tcBorders>
            <w:shd w:val="clear" w:color="auto" w:fill="E7F2F9"/>
          </w:tcPr>
          <w:p>
            <w:pPr>
              <w:spacing w:after="0"/>
              <w:rPr>
                <w:sz w:val="21"/>
                <w:szCs w:val="21"/>
                <w:color w:val="auto"/>
              </w:rPr>
            </w:pPr>
          </w:p>
        </w:tc>
        <w:tc>
          <w:tcPr>
            <w:tcW w:w="11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6"/>
                <w:szCs w:val="16"/>
                <w:color w:val="1383C6"/>
              </w:rPr>
              <w:t>4.01</w:t>
            </w:r>
          </w:p>
        </w:tc>
        <w:tc>
          <w:tcPr>
            <w:tcW w:w="100" w:type="dxa"/>
            <w:vAlign w:val="bottom"/>
            <w:tcBorders>
              <w:bottom w:val="single" w:sz="8" w:color="E7F2F9"/>
            </w:tcBorders>
            <w:shd w:val="clear" w:color="auto" w:fill="E7F2F9"/>
          </w:tcPr>
          <w:p>
            <w:pPr>
              <w:spacing w:after="0"/>
              <w:rPr>
                <w:sz w:val="21"/>
                <w:szCs w:val="21"/>
                <w:color w:val="auto"/>
              </w:rPr>
            </w:pPr>
          </w:p>
        </w:tc>
        <w:tc>
          <w:tcPr>
            <w:tcW w:w="440" w:type="dxa"/>
            <w:vAlign w:val="bottom"/>
            <w:tcBorders>
              <w:bottom w:val="single" w:sz="8" w:color="E7F2F9"/>
            </w:tcBorders>
            <w:shd w:val="clear" w:color="auto" w:fill="E7F2F9"/>
          </w:tcPr>
          <w:p>
            <w:pPr>
              <w:spacing w:after="0"/>
              <w:rPr>
                <w:sz w:val="21"/>
                <w:szCs w:val="21"/>
                <w:color w:val="auto"/>
              </w:rPr>
            </w:pPr>
          </w:p>
        </w:tc>
        <w:tc>
          <w:tcPr>
            <w:tcW w:w="10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0" w:type="dxa"/>
            <w:vAlign w:val="bottom"/>
          </w:tcPr>
          <w:p>
            <w:pPr>
              <w:spacing w:after="0"/>
              <w:rPr>
                <w:sz w:val="1"/>
                <w:szCs w:val="1"/>
                <w:color w:val="auto"/>
              </w:rPr>
            </w:pPr>
          </w:p>
        </w:tc>
      </w:tr>
      <w:tr>
        <w:trPr>
          <w:trHeight w:val="254"/>
        </w:trPr>
        <w:tc>
          <w:tcPr>
            <w:tcW w:w="484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Outstanding at June 30, 2025</w:t>
            </w:r>
          </w:p>
        </w:tc>
        <w:tc>
          <w:tcPr>
            <w:tcW w:w="1580" w:type="dxa"/>
            <w:vAlign w:val="bottom"/>
            <w:shd w:val="clear" w:color="auto" w:fill="E7F2F9"/>
          </w:tcPr>
          <w:p>
            <w:pPr>
              <w:jc w:val="right"/>
              <w:ind w:right="2"/>
              <w:spacing w:after="0"/>
              <w:rPr>
                <w:sz w:val="20"/>
                <w:szCs w:val="20"/>
                <w:color w:val="auto"/>
              </w:rPr>
            </w:pPr>
            <w:r>
              <w:rPr>
                <w:rFonts w:ascii="Arial" w:cs="Arial" w:eastAsia="Arial" w:hAnsi="Arial"/>
                <w:sz w:val="16"/>
                <w:szCs w:val="16"/>
                <w:color w:val="1383C6"/>
              </w:rPr>
              <w:t>18,907</w:t>
            </w:r>
          </w:p>
        </w:tc>
        <w:tc>
          <w:tcPr>
            <w:tcW w:w="1680" w:type="dxa"/>
            <w:vAlign w:val="bottom"/>
            <w:gridSpan w:val="2"/>
            <w:shd w:val="clear" w:color="auto" w:fill="E7F2F9"/>
          </w:tcPr>
          <w:p>
            <w:pPr>
              <w:jc w:val="right"/>
              <w:ind w:right="2"/>
              <w:spacing w:after="0"/>
              <w:rPr>
                <w:sz w:val="20"/>
                <w:szCs w:val="20"/>
                <w:color w:val="auto"/>
              </w:rPr>
            </w:pPr>
            <w:r>
              <w:rPr>
                <w:rFonts w:ascii="Arial" w:cs="Arial" w:eastAsia="Arial" w:hAnsi="Arial"/>
                <w:sz w:val="16"/>
                <w:szCs w:val="16"/>
                <w:color w:val="1383C6"/>
              </w:rPr>
              <w:t>392</w:t>
            </w:r>
          </w:p>
        </w:tc>
        <w:tc>
          <w:tcPr>
            <w:tcW w:w="380" w:type="dxa"/>
            <w:vAlign w:val="bottom"/>
            <w:gridSpan w:val="2"/>
            <w:shd w:val="clear" w:color="auto" w:fill="E7F2F9"/>
          </w:tcPr>
          <w:p>
            <w:pPr>
              <w:jc w:val="right"/>
              <w:ind w:right="180"/>
              <w:spacing w:after="0"/>
              <w:rPr>
                <w:sz w:val="20"/>
                <w:szCs w:val="20"/>
                <w:color w:val="auto"/>
              </w:rPr>
            </w:pPr>
            <w:r>
              <w:rPr>
                <w:rFonts w:ascii="Arial" w:cs="Arial" w:eastAsia="Arial" w:hAnsi="Arial"/>
                <w:sz w:val="16"/>
                <w:szCs w:val="16"/>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3.67</w:t>
            </w:r>
          </w:p>
        </w:tc>
        <w:tc>
          <w:tcPr>
            <w:tcW w:w="100" w:type="dxa"/>
            <w:vAlign w:val="bottom"/>
            <w:shd w:val="clear" w:color="auto" w:fill="E7F2F9"/>
          </w:tcPr>
          <w:p>
            <w:pPr>
              <w:spacing w:after="0"/>
              <w:rPr>
                <w:sz w:val="22"/>
                <w:szCs w:val="22"/>
                <w:color w:val="auto"/>
              </w:rPr>
            </w:pPr>
          </w:p>
        </w:tc>
        <w:tc>
          <w:tcPr>
            <w:tcW w:w="440" w:type="dxa"/>
            <w:vAlign w:val="bottom"/>
            <w:shd w:val="clear" w:color="auto" w:fill="E7F2F9"/>
          </w:tcPr>
          <w:p>
            <w:pPr>
              <w:jc w:val="right"/>
              <w:ind w:right="262"/>
              <w:spacing w:after="0"/>
              <w:rPr>
                <w:sz w:val="20"/>
                <w:szCs w:val="20"/>
                <w:color w:val="auto"/>
              </w:rPr>
            </w:pPr>
            <w:r>
              <w:rPr>
                <w:rFonts w:ascii="Arial" w:cs="Arial" w:eastAsia="Arial" w:hAnsi="Arial"/>
                <w:sz w:val="16"/>
                <w:szCs w:val="16"/>
                <w:color w:val="1383C6"/>
                <w:w w:val="89"/>
              </w:rPr>
              <w:t>$</w:t>
            </w:r>
          </w:p>
        </w:tc>
        <w:tc>
          <w:tcPr>
            <w:tcW w:w="10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9.43</w:t>
            </w:r>
          </w:p>
        </w:tc>
        <w:tc>
          <w:tcPr>
            <w:tcW w:w="0" w:type="dxa"/>
            <w:vAlign w:val="bottom"/>
          </w:tcPr>
          <w:p>
            <w:pPr>
              <w:spacing w:after="0"/>
              <w:rPr>
                <w:sz w:val="1"/>
                <w:szCs w:val="1"/>
                <w:color w:val="auto"/>
              </w:rPr>
            </w:pPr>
          </w:p>
        </w:tc>
      </w:tr>
      <w:tr>
        <w:trPr>
          <w:trHeight w:val="20"/>
        </w:trPr>
        <w:tc>
          <w:tcPr>
            <w:tcW w:w="4840" w:type="dxa"/>
            <w:vAlign w:val="bottom"/>
            <w:tcBorders>
              <w:top w:val="single" w:sz="8" w:color="E7F2F9"/>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300" w:type="dxa"/>
            <w:vAlign w:val="bottom"/>
            <w:tcBorders>
              <w:top w:val="single" w:sz="8" w:color="E7F2F9"/>
            </w:tcBorders>
          </w:tcPr>
          <w:p>
            <w:pPr>
              <w:spacing w:after="0" w:line="20" w:lineRule="exact"/>
              <w:rPr>
                <w:sz w:val="1"/>
                <w:szCs w:val="1"/>
                <w:color w:val="auto"/>
              </w:rPr>
            </w:pPr>
          </w:p>
        </w:tc>
        <w:tc>
          <w:tcPr>
            <w:tcW w:w="118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440" w:type="dxa"/>
            <w:vAlign w:val="bottom"/>
            <w:tcBorders>
              <w:top w:val="single" w:sz="8" w:color="E7F2F9"/>
            </w:tcBorders>
          </w:tcPr>
          <w:p>
            <w:pPr>
              <w:spacing w:after="0" w:line="20" w:lineRule="exact"/>
              <w:rPr>
                <w:sz w:val="1"/>
                <w:szCs w:val="1"/>
                <w:color w:val="auto"/>
              </w:rPr>
            </w:pPr>
          </w:p>
        </w:tc>
        <w:tc>
          <w:tcPr>
            <w:tcW w:w="1040" w:type="dxa"/>
            <w:vAlign w:val="bottom"/>
            <w:tcBorders>
              <w:top w:val="single" w:sz="8" w:color="E7F2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Employee Stock Purchase Plan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Shares issued under our ESPP were 1,752,417 and 1,194,436 during the six months ended June 30, 2025 and 2024, respectively. In the first quarter of 2025, an additional 4.0 million shares were reserved under the ESPP. As of June 30, 2025, 16.5 million shares of our common stock remain available for issuance under our ESPP.</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share-based compensation expense: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9"/>
                <w:szCs w:val="19"/>
                <w:color w:val="auto"/>
              </w:rPr>
            </w:pPr>
          </w:p>
        </w:tc>
        <w:tc>
          <w:tcPr>
            <w:tcW w:w="2660" w:type="dxa"/>
            <w:vAlign w:val="bottom"/>
            <w:gridSpan w:val="4"/>
          </w:tcPr>
          <w:p>
            <w:pPr>
              <w:jc w:val="right"/>
              <w:ind w:right="382"/>
              <w:spacing w:after="0"/>
              <w:rPr>
                <w:sz w:val="20"/>
                <w:szCs w:val="20"/>
                <w:color w:val="auto"/>
              </w:rPr>
            </w:pPr>
            <w:r>
              <w:rPr>
                <w:rFonts w:ascii="Arial" w:cs="Arial" w:eastAsia="Arial" w:hAnsi="Arial"/>
                <w:sz w:val="16"/>
                <w:szCs w:val="16"/>
                <w:b w:val="1"/>
                <w:bCs w:val="1"/>
                <w:color w:val="auto"/>
              </w:rPr>
              <w:t>Six Months Ended June 30,</w:t>
            </w:r>
          </w:p>
        </w:tc>
      </w:tr>
      <w:tr>
        <w:trPr>
          <w:trHeight w:val="227"/>
        </w:trPr>
        <w:tc>
          <w:tcPr>
            <w:tcW w:w="5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shd w:val="clear" w:color="auto" w:fill="E7F2F9"/>
          </w:tcPr>
          <w:p>
            <w:pPr>
              <w:spacing w:after="0"/>
              <w:rPr>
                <w:sz w:val="19"/>
                <w:szCs w:val="19"/>
                <w:color w:val="auto"/>
              </w:rPr>
            </w:pPr>
          </w:p>
        </w:tc>
        <w:tc>
          <w:tcPr>
            <w:tcW w:w="1220" w:type="dxa"/>
            <w:vAlign w:val="bottom"/>
            <w:tcBorders>
              <w:top w:val="single" w:sz="8" w:color="auto"/>
              <w:bottom w:val="single" w:sz="8" w:color="auto"/>
            </w:tcBorders>
            <w:shd w:val="clear" w:color="auto" w:fill="E7F2F9"/>
          </w:tcPr>
          <w:p>
            <w:pPr>
              <w:jc w:val="right"/>
              <w:ind w:right="48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shd w:val="clear" w:color="auto" w:fill="E7F2F9"/>
          </w:tcPr>
          <w:p>
            <w:pPr>
              <w:spacing w:after="0"/>
              <w:rPr>
                <w:sz w:val="19"/>
                <w:szCs w:val="19"/>
                <w:color w:val="auto"/>
              </w:rPr>
            </w:pPr>
          </w:p>
        </w:tc>
        <w:tc>
          <w:tcPr>
            <w:tcW w:w="1140" w:type="dxa"/>
            <w:vAlign w:val="bottom"/>
            <w:tcBorders>
              <w:top w:val="single" w:sz="8" w:color="auto"/>
              <w:bottom w:val="single" w:sz="8" w:color="auto"/>
            </w:tcBorders>
            <w:shd w:val="clear" w:color="auto" w:fill="E7F2F9"/>
          </w:tcPr>
          <w:p>
            <w:pPr>
              <w:jc w:val="right"/>
              <w:ind w:right="462"/>
              <w:spacing w:after="0"/>
              <w:rPr>
                <w:sz w:val="20"/>
                <w:szCs w:val="20"/>
                <w:color w:val="auto"/>
              </w:rPr>
            </w:pPr>
            <w:r>
              <w:rPr>
                <w:rFonts w:ascii="Arial" w:cs="Arial" w:eastAsia="Arial" w:hAnsi="Arial"/>
                <w:sz w:val="16"/>
                <w:szCs w:val="16"/>
                <w:b w:val="1"/>
                <w:bCs w:val="1"/>
                <w:color w:val="1383C6"/>
              </w:rPr>
              <w:t>2025</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2024</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925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28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2,090</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3,237</w:t>
            </w:r>
          </w:p>
        </w:tc>
      </w:tr>
      <w:tr>
        <w:trPr>
          <w:trHeight w:val="234"/>
        </w:trPr>
        <w:tc>
          <w:tcPr>
            <w:tcW w:w="51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E7F2F9"/>
          </w:tcPr>
          <w:p>
            <w:pPr>
              <w:spacing w:after="0"/>
              <w:rPr>
                <w:sz w:val="20"/>
                <w:szCs w:val="20"/>
                <w:color w:val="auto"/>
              </w:rPr>
            </w:pPr>
          </w:p>
        </w:tc>
        <w:tc>
          <w:tcPr>
            <w:tcW w:w="12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3,307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4,591</w:t>
            </w:r>
          </w:p>
        </w:tc>
        <w:tc>
          <w:tcPr>
            <w:tcW w:w="100" w:type="dxa"/>
            <w:vAlign w:val="bottom"/>
          </w:tcPr>
          <w:p>
            <w:pPr>
              <w:spacing w:after="0"/>
              <w:rPr>
                <w:sz w:val="20"/>
                <w:szCs w:val="20"/>
                <w:color w:val="auto"/>
              </w:rPr>
            </w:pPr>
          </w:p>
        </w:tc>
        <w:tc>
          <w:tcPr>
            <w:tcW w:w="28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5,914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10,379</w:t>
            </w:r>
          </w:p>
        </w:tc>
      </w:tr>
      <w:tr>
        <w:trPr>
          <w:trHeight w:val="242"/>
        </w:trPr>
        <w:tc>
          <w:tcPr>
            <w:tcW w:w="5120" w:type="dxa"/>
            <w:vAlign w:val="bottom"/>
          </w:tcPr>
          <w:p>
            <w:pPr>
              <w:spacing w:after="0"/>
              <w:rPr>
                <w:sz w:val="20"/>
                <w:szCs w:val="20"/>
                <w:color w:val="auto"/>
              </w:rPr>
            </w:pPr>
            <w:r>
              <w:rPr>
                <w:rFonts w:ascii="Arial" w:cs="Arial" w:eastAsia="Arial" w:hAnsi="Arial"/>
                <w:sz w:val="16"/>
                <w:szCs w:val="16"/>
                <w:color w:val="auto"/>
              </w:rPr>
              <w:t>Sales, general and administrative</w:t>
            </w:r>
          </w:p>
        </w:tc>
        <w:tc>
          <w:tcPr>
            <w:tcW w:w="260" w:type="dxa"/>
            <w:vAlign w:val="bottom"/>
            <w:tcBorders>
              <w:bottom w:val="single" w:sz="8" w:color="auto"/>
            </w:tcBorders>
            <w:shd w:val="clear" w:color="auto" w:fill="E7F2F9"/>
          </w:tcPr>
          <w:p>
            <w:pPr>
              <w:spacing w:after="0"/>
              <w:rPr>
                <w:sz w:val="21"/>
                <w:szCs w:val="21"/>
                <w:color w:val="auto"/>
              </w:rPr>
            </w:pPr>
          </w:p>
        </w:tc>
        <w:tc>
          <w:tcPr>
            <w:tcW w:w="12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7,663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13,092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23,128</w:t>
            </w:r>
          </w:p>
        </w:tc>
      </w:tr>
      <w:tr>
        <w:trPr>
          <w:trHeight w:val="254"/>
        </w:trPr>
        <w:tc>
          <w:tcPr>
            <w:tcW w:w="5120" w:type="dxa"/>
            <w:vAlign w:val="bottom"/>
          </w:tcPr>
          <w:p>
            <w:pPr>
              <w:ind w:left="200"/>
              <w:spacing w:after="0"/>
              <w:rPr>
                <w:sz w:val="20"/>
                <w:szCs w:val="20"/>
                <w:color w:val="auto"/>
              </w:rPr>
            </w:pPr>
            <w:r>
              <w:rPr>
                <w:rFonts w:ascii="Arial" w:cs="Arial" w:eastAsia="Arial" w:hAnsi="Arial"/>
                <w:sz w:val="16"/>
                <w:szCs w:val="16"/>
                <w:color w:val="auto"/>
              </w:rPr>
              <w:t>Total share-based compensation expense</w:t>
            </w:r>
          </w:p>
        </w:tc>
        <w:tc>
          <w:tcPr>
            <w:tcW w:w="260" w:type="dxa"/>
            <w:vAlign w:val="bottom"/>
            <w:shd w:val="clear" w:color="auto" w:fill="E7F2F9"/>
          </w:tcPr>
          <w:p>
            <w:pPr>
              <w:jc w:val="right"/>
              <w:ind w:right="82"/>
              <w:spacing w:after="0"/>
              <w:rPr>
                <w:sz w:val="20"/>
                <w:szCs w:val="20"/>
                <w:color w:val="auto"/>
              </w:rPr>
            </w:pPr>
            <w:r>
              <w:rPr>
                <w:rFonts w:ascii="Arial" w:cs="Arial" w:eastAsia="Arial" w:hAnsi="Arial"/>
                <w:sz w:val="16"/>
                <w:szCs w:val="16"/>
                <w:color w:val="1383C6"/>
                <w:w w:val="89"/>
              </w:rPr>
              <w:t>$</w:t>
            </w:r>
          </w:p>
        </w:tc>
        <w:tc>
          <w:tcPr>
            <w:tcW w:w="12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11,895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17,219</w:t>
            </w:r>
          </w:p>
        </w:tc>
        <w:tc>
          <w:tcPr>
            <w:tcW w:w="100" w:type="dxa"/>
            <w:vAlign w:val="bottom"/>
          </w:tcPr>
          <w:p>
            <w:pPr>
              <w:spacing w:after="0"/>
              <w:rPr>
                <w:sz w:val="22"/>
                <w:szCs w:val="22"/>
                <w:color w:val="auto"/>
              </w:rPr>
            </w:pPr>
          </w:p>
        </w:tc>
        <w:tc>
          <w:tcPr>
            <w:tcW w:w="280" w:type="dxa"/>
            <w:vAlign w:val="bottom"/>
            <w:shd w:val="clear" w:color="auto" w:fill="E7F2F9"/>
          </w:tcPr>
          <w:p>
            <w:pPr>
              <w:jc w:val="right"/>
              <w:ind w:right="10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21,096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36,744</w:t>
            </w: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71374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Determining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1" w:lineRule="exact"/>
        <w:rPr>
          <w:sz w:val="20"/>
          <w:szCs w:val="20"/>
          <w:color w:val="auto"/>
        </w:rPr>
      </w:pPr>
    </w:p>
    <w:p>
      <w:pPr>
        <w:jc w:val="both"/>
        <w:ind w:left="620" w:hanging="304"/>
        <w:spacing w:after="0" w:line="276" w:lineRule="auto"/>
        <w:tabs>
          <w:tab w:leader="none" w:pos="615"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spacing w:after="0" w:line="54"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employee stock options was estimated using the following assumptions:</w:t>
      </w:r>
    </w:p>
    <w:p>
      <w:pPr>
        <w:spacing w:after="0" w:line="171"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Six Months Ended June 30,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p>
        </w:tc>
        <w:tc>
          <w:tcPr>
            <w:tcW w:w="1700" w:type="dxa"/>
            <w:vAlign w:val="bottom"/>
            <w:tcBorders>
              <w:top w:val="single" w:sz="8" w:color="auto"/>
              <w:bottom w:val="single" w:sz="8" w:color="auto"/>
            </w:tcBorders>
            <w:gridSpan w:val="3"/>
            <w:shd w:val="clear" w:color="auto" w:fill="E7F2F9"/>
          </w:tcPr>
          <w:p>
            <w:pPr>
              <w:jc w:val="center"/>
              <w:spacing w:after="0"/>
              <w:rPr>
                <w:sz w:val="20"/>
                <w:szCs w:val="20"/>
                <w:color w:val="auto"/>
              </w:rPr>
            </w:pPr>
            <w:r>
              <w:rPr>
                <w:rFonts w:ascii="Arial" w:cs="Arial" w:eastAsia="Arial" w:hAnsi="Arial"/>
                <w:sz w:val="16"/>
                <w:szCs w:val="16"/>
                <w:b w:val="1"/>
                <w:bCs w:val="1"/>
                <w:color w:val="1383C6"/>
              </w:rPr>
              <w:t>2025</w:t>
            </w:r>
          </w:p>
        </w:tc>
        <w:tc>
          <w:tcPr>
            <w:tcW w:w="1800" w:type="dxa"/>
            <w:vAlign w:val="bottom"/>
            <w:tcBorders>
              <w:top w:val="single" w:sz="8" w:color="auto"/>
              <w:bottom w:val="single" w:sz="8" w:color="auto"/>
            </w:tcBorders>
            <w:gridSpan w:val="2"/>
          </w:tcPr>
          <w:p>
            <w:pPr>
              <w:jc w:val="center"/>
              <w:ind w:left="22"/>
              <w:spacing w:after="0"/>
              <w:rPr>
                <w:sz w:val="20"/>
                <w:szCs w:val="20"/>
                <w:color w:val="auto"/>
              </w:rPr>
            </w:pPr>
            <w:r>
              <w:rPr>
                <w:rFonts w:ascii="Arial" w:cs="Arial" w:eastAsia="Arial" w:hAnsi="Arial"/>
                <w:sz w:val="16"/>
                <w:szCs w:val="16"/>
                <w:b w:val="1"/>
                <w:bCs w:val="1"/>
                <w:color w:val="auto"/>
                <w:w w:val="95"/>
              </w:rPr>
              <w:t>2024</w:t>
            </w:r>
          </w:p>
        </w:tc>
      </w:tr>
      <w:tr>
        <w:trPr>
          <w:trHeight w:val="216"/>
        </w:trPr>
        <w:tc>
          <w:tcPr>
            <w:tcW w:w="7720" w:type="dxa"/>
            <w:vAlign w:val="bottom"/>
          </w:tcPr>
          <w:p>
            <w:pPr>
              <w:spacing w:after="0"/>
              <w:rPr>
                <w:sz w:val="20"/>
                <w:szCs w:val="20"/>
                <w:color w:val="auto"/>
              </w:rPr>
            </w:pPr>
            <w:r>
              <w:rPr>
                <w:rFonts w:ascii="Arial" w:cs="Arial" w:eastAsia="Arial" w:hAnsi="Arial"/>
                <w:sz w:val="16"/>
                <w:szCs w:val="16"/>
                <w:color w:val="auto"/>
              </w:rPr>
              <w:t>Expected term in years</w:t>
            </w:r>
          </w:p>
        </w:tc>
        <w:tc>
          <w:tcPr>
            <w:tcW w:w="980" w:type="dxa"/>
            <w:vAlign w:val="bottom"/>
            <w:gridSpan w:val="2"/>
            <w:shd w:val="clear" w:color="auto" w:fill="E7F2F9"/>
          </w:tcPr>
          <w:p>
            <w:pPr>
              <w:jc w:val="center"/>
              <w:ind w:left="642"/>
              <w:spacing w:after="0"/>
              <w:rPr>
                <w:sz w:val="20"/>
                <w:szCs w:val="20"/>
                <w:color w:val="auto"/>
              </w:rPr>
            </w:pPr>
            <w:r>
              <w:rPr>
                <w:rFonts w:ascii="Arial" w:cs="Arial" w:eastAsia="Arial" w:hAnsi="Arial"/>
                <w:sz w:val="16"/>
                <w:szCs w:val="16"/>
                <w:color w:val="1383C6"/>
                <w:w w:val="98"/>
              </w:rPr>
              <w:t>4.9</w:t>
            </w:r>
          </w:p>
        </w:tc>
        <w:tc>
          <w:tcPr>
            <w:tcW w:w="720" w:type="dxa"/>
            <w:vAlign w:val="bottom"/>
            <w:shd w:val="clear" w:color="auto" w:fill="E7F2F9"/>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jc w:val="center"/>
              <w:ind w:right="662"/>
              <w:spacing w:after="0"/>
              <w:rPr>
                <w:sz w:val="20"/>
                <w:szCs w:val="20"/>
                <w:color w:val="auto"/>
              </w:rPr>
            </w:pPr>
            <w:r>
              <w:rPr>
                <w:rFonts w:ascii="Arial" w:cs="Arial" w:eastAsia="Arial" w:hAnsi="Arial"/>
                <w:sz w:val="16"/>
                <w:szCs w:val="16"/>
                <w:color w:val="auto"/>
                <w:w w:val="98"/>
              </w:rPr>
              <w:t>4.9</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Expected volatility</w:t>
            </w:r>
          </w:p>
        </w:tc>
        <w:tc>
          <w:tcPr>
            <w:tcW w:w="7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95%</w:t>
            </w:r>
          </w:p>
        </w:tc>
        <w:tc>
          <w:tcPr>
            <w:tcW w:w="220" w:type="dxa"/>
            <w:vAlign w:val="bottom"/>
            <w:shd w:val="clear" w:color="auto" w:fill="E7F2F9"/>
          </w:tcPr>
          <w:p>
            <w:pPr>
              <w:ind w:left="40"/>
              <w:spacing w:after="0"/>
              <w:rPr>
                <w:sz w:val="20"/>
                <w:szCs w:val="20"/>
                <w:color w:val="auto"/>
              </w:rPr>
            </w:pPr>
            <w:r>
              <w:rPr>
                <w:rFonts w:ascii="Arial" w:cs="Arial" w:eastAsia="Arial" w:hAnsi="Arial"/>
                <w:sz w:val="16"/>
                <w:szCs w:val="16"/>
                <w:color w:val="1383C6"/>
                <w:w w:val="99"/>
              </w:rPr>
              <w:t>—</w:t>
            </w:r>
          </w:p>
        </w:tc>
        <w:tc>
          <w:tcPr>
            <w:tcW w:w="72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96%</w:t>
            </w: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960" w:type="dxa"/>
            <w:vAlign w:val="bottom"/>
          </w:tcPr>
          <w:p>
            <w:pPr>
              <w:ind w:left="40"/>
              <w:spacing w:after="0"/>
              <w:rPr>
                <w:sz w:val="20"/>
                <w:szCs w:val="20"/>
                <w:color w:val="auto"/>
              </w:rPr>
            </w:pPr>
            <w:r>
              <w:rPr>
                <w:rFonts w:ascii="Arial" w:cs="Arial" w:eastAsia="Arial" w:hAnsi="Arial"/>
                <w:sz w:val="16"/>
                <w:szCs w:val="16"/>
                <w:color w:val="auto"/>
              </w:rPr>
              <w:t>— 89%</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3.89%</w:t>
            </w:r>
          </w:p>
        </w:tc>
        <w:tc>
          <w:tcPr>
            <w:tcW w:w="220" w:type="dxa"/>
            <w:vAlign w:val="bottom"/>
            <w:shd w:val="clear" w:color="auto" w:fill="E7F2F9"/>
          </w:tcPr>
          <w:p>
            <w:pPr>
              <w:ind w:left="40"/>
              <w:spacing w:after="0"/>
              <w:rPr>
                <w:sz w:val="20"/>
                <w:szCs w:val="20"/>
                <w:color w:val="auto"/>
              </w:rPr>
            </w:pPr>
            <w:r>
              <w:rPr>
                <w:rFonts w:ascii="Arial" w:cs="Arial" w:eastAsia="Arial" w:hAnsi="Arial"/>
                <w:sz w:val="16"/>
                <w:szCs w:val="16"/>
                <w:color w:val="1383C6"/>
                <w:w w:val="99"/>
              </w:rPr>
              <w:t>—</w:t>
            </w:r>
          </w:p>
        </w:tc>
        <w:tc>
          <w:tcPr>
            <w:tcW w:w="720" w:type="dxa"/>
            <w:vAlign w:val="bottom"/>
            <w:shd w:val="clear" w:color="auto" w:fill="E7F2F9"/>
          </w:tcPr>
          <w:p>
            <w:pPr>
              <w:ind w:left="20"/>
              <w:spacing w:after="0"/>
              <w:rPr>
                <w:sz w:val="20"/>
                <w:szCs w:val="20"/>
                <w:color w:val="auto"/>
              </w:rPr>
            </w:pPr>
            <w:r>
              <w:rPr>
                <w:rFonts w:ascii="Arial" w:cs="Arial" w:eastAsia="Arial" w:hAnsi="Arial"/>
                <w:sz w:val="16"/>
                <w:szCs w:val="16"/>
                <w:color w:val="1383C6"/>
              </w:rPr>
              <w:t>4.29%</w:t>
            </w:r>
          </w:p>
        </w:tc>
        <w:tc>
          <w:tcPr>
            <w:tcW w:w="840" w:type="dxa"/>
            <w:vAlign w:val="bottom"/>
          </w:tcPr>
          <w:p>
            <w:pPr>
              <w:jc w:val="right"/>
              <w:spacing w:after="0"/>
              <w:rPr>
                <w:sz w:val="20"/>
                <w:szCs w:val="20"/>
                <w:color w:val="auto"/>
              </w:rPr>
            </w:pPr>
            <w:r>
              <w:rPr>
                <w:rFonts w:ascii="Arial" w:cs="Arial" w:eastAsia="Arial" w:hAnsi="Arial"/>
                <w:sz w:val="16"/>
                <w:szCs w:val="16"/>
                <w:color w:val="auto"/>
              </w:rPr>
              <w:t>4.20%</w:t>
            </w:r>
          </w:p>
        </w:tc>
        <w:tc>
          <w:tcPr>
            <w:tcW w:w="960" w:type="dxa"/>
            <w:vAlign w:val="bottom"/>
          </w:tcPr>
          <w:p>
            <w:pPr>
              <w:ind w:left="40"/>
              <w:spacing w:after="0"/>
              <w:rPr>
                <w:sz w:val="20"/>
                <w:szCs w:val="20"/>
                <w:color w:val="auto"/>
              </w:rPr>
            </w:pPr>
            <w:r>
              <w:rPr>
                <w:rFonts w:ascii="Arial" w:cs="Arial" w:eastAsia="Arial" w:hAnsi="Arial"/>
                <w:sz w:val="16"/>
                <w:szCs w:val="16"/>
                <w:color w:val="auto"/>
              </w:rPr>
              <w:t>— 4.32%</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Dividend yield</w:t>
            </w:r>
          </w:p>
        </w:tc>
        <w:tc>
          <w:tcPr>
            <w:tcW w:w="760" w:type="dxa"/>
            <w:vAlign w:val="bottom"/>
            <w:shd w:val="clear" w:color="auto" w:fill="E7F2F9"/>
          </w:tcPr>
          <w:p>
            <w:pPr>
              <w:spacing w:after="0"/>
              <w:rPr>
                <w:sz w:val="20"/>
                <w:szCs w:val="20"/>
                <w:color w:val="auto"/>
              </w:rPr>
            </w:pPr>
          </w:p>
        </w:tc>
        <w:tc>
          <w:tcPr>
            <w:tcW w:w="220" w:type="dxa"/>
            <w:vAlign w:val="bottom"/>
            <w:shd w:val="clear" w:color="auto" w:fill="E7F2F9"/>
          </w:tcPr>
          <w:p>
            <w:pPr>
              <w:jc w:val="center"/>
              <w:spacing w:after="0"/>
              <w:rPr>
                <w:sz w:val="20"/>
                <w:szCs w:val="20"/>
                <w:color w:val="auto"/>
              </w:rPr>
            </w:pPr>
            <w:r>
              <w:rPr>
                <w:rFonts w:ascii="Arial" w:cs="Arial" w:eastAsia="Arial" w:hAnsi="Arial"/>
                <w:sz w:val="16"/>
                <w:szCs w:val="16"/>
                <w:color w:val="1383C6"/>
                <w:w w:val="99"/>
              </w:rPr>
              <w:t>—</w:t>
            </w:r>
          </w:p>
        </w:tc>
        <w:tc>
          <w:tcPr>
            <w:tcW w:w="720" w:type="dxa"/>
            <w:vAlign w:val="bottom"/>
            <w:shd w:val="clear" w:color="auto" w:fill="E7F2F9"/>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center"/>
              <w:ind w:right="662"/>
              <w:spacing w:after="0"/>
              <w:rPr>
                <w:sz w:val="20"/>
                <w:szCs w:val="20"/>
                <w:color w:val="auto"/>
              </w:rPr>
            </w:pPr>
            <w:r>
              <w:rPr>
                <w:rFonts w:ascii="Arial" w:cs="Arial" w:eastAsia="Arial" w:hAnsi="Arial"/>
                <w:sz w:val="16"/>
                <w:szCs w:val="16"/>
                <w:color w:val="auto"/>
                <w:w w:val="87"/>
              </w:rPr>
              <w:t>—</w:t>
            </w:r>
          </w:p>
        </w:tc>
      </w:tr>
      <w:tr>
        <w:trPr>
          <w:trHeight w:val="249"/>
        </w:trPr>
        <w:tc>
          <w:tcPr>
            <w:tcW w:w="7720" w:type="dxa"/>
            <w:vAlign w:val="bottom"/>
          </w:tcPr>
          <w:p>
            <w:pPr>
              <w:spacing w:after="0"/>
              <w:rPr>
                <w:sz w:val="20"/>
                <w:szCs w:val="20"/>
                <w:color w:val="auto"/>
              </w:rPr>
            </w:pPr>
            <w:r>
              <w:rPr>
                <w:rFonts w:ascii="Arial" w:cs="Arial" w:eastAsia="Arial" w:hAnsi="Arial"/>
                <w:sz w:val="16"/>
                <w:szCs w:val="16"/>
                <w:color w:val="auto"/>
              </w:rPr>
              <w:t>Weighted average grant date fair value per share</w:t>
            </w:r>
          </w:p>
        </w:tc>
        <w:tc>
          <w:tcPr>
            <w:tcW w:w="1700" w:type="dxa"/>
            <w:vAlign w:val="bottom"/>
            <w:gridSpan w:val="3"/>
            <w:shd w:val="clear" w:color="auto" w:fill="E7F2F9"/>
          </w:tcPr>
          <w:p>
            <w:pPr>
              <w:jc w:val="center"/>
              <w:spacing w:after="0"/>
              <w:rPr>
                <w:sz w:val="20"/>
                <w:szCs w:val="20"/>
                <w:color w:val="auto"/>
              </w:rPr>
            </w:pPr>
            <w:r>
              <w:rPr>
                <w:rFonts w:ascii="Arial" w:cs="Arial" w:eastAsia="Arial" w:hAnsi="Arial"/>
                <w:sz w:val="16"/>
                <w:szCs w:val="16"/>
                <w:color w:val="1383C6"/>
                <w:w w:val="99"/>
              </w:rPr>
              <w:t>$0.90</w:t>
            </w:r>
          </w:p>
        </w:tc>
        <w:tc>
          <w:tcPr>
            <w:tcW w:w="1800" w:type="dxa"/>
            <w:vAlign w:val="bottom"/>
            <w:gridSpan w:val="2"/>
          </w:tcPr>
          <w:p>
            <w:pPr>
              <w:jc w:val="center"/>
              <w:ind w:left="22"/>
              <w:spacing w:after="0"/>
              <w:rPr>
                <w:sz w:val="20"/>
                <w:szCs w:val="20"/>
                <w:color w:val="auto"/>
              </w:rPr>
            </w:pPr>
            <w:r>
              <w:rPr>
                <w:rFonts w:ascii="Arial" w:cs="Arial" w:eastAsia="Arial" w:hAnsi="Arial"/>
                <w:sz w:val="16"/>
                <w:szCs w:val="16"/>
                <w:color w:val="auto"/>
                <w:w w:val="94"/>
              </w:rPr>
              <w:t>$1.43</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to be issued under the ESPP was estimated using the following assumptions: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77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6"/>
              </w:rPr>
              <w:t>Six Months Ended June 30,</w:t>
            </w:r>
          </w:p>
        </w:tc>
        <w:tc>
          <w:tcPr>
            <w:tcW w:w="740" w:type="dxa"/>
            <w:vAlign w:val="bottom"/>
            <w:tcBorders>
              <w:bottom w:val="single" w:sz="8" w:color="auto"/>
            </w:tcBorders>
          </w:tcPr>
          <w:p>
            <w:pPr>
              <w:spacing w:after="0"/>
              <w:rPr>
                <w:sz w:val="19"/>
                <w:szCs w:val="19"/>
                <w:color w:val="auto"/>
              </w:rPr>
            </w:pPr>
          </w:p>
        </w:tc>
      </w:tr>
      <w:tr>
        <w:trPr>
          <w:trHeight w:val="224"/>
        </w:trPr>
        <w:tc>
          <w:tcPr>
            <w:tcW w:w="7720" w:type="dxa"/>
            <w:vAlign w:val="bottom"/>
          </w:tcPr>
          <w:p>
            <w:pPr>
              <w:spacing w:after="0"/>
              <w:rPr>
                <w:sz w:val="19"/>
                <w:szCs w:val="19"/>
                <w:color w:val="auto"/>
              </w:rPr>
            </w:pPr>
          </w:p>
        </w:tc>
        <w:tc>
          <w:tcPr>
            <w:tcW w:w="1700" w:type="dxa"/>
            <w:vAlign w:val="bottom"/>
            <w:tcBorders>
              <w:bottom w:val="single" w:sz="8" w:color="auto"/>
            </w:tcBorders>
            <w:gridSpan w:val="2"/>
            <w:shd w:val="clear" w:color="auto" w:fill="E7F2F9"/>
          </w:tcPr>
          <w:p>
            <w:pPr>
              <w:jc w:val="center"/>
              <w:spacing w:after="0"/>
              <w:rPr>
                <w:sz w:val="20"/>
                <w:szCs w:val="20"/>
                <w:color w:val="auto"/>
              </w:rPr>
            </w:pPr>
            <w:r>
              <w:rPr>
                <w:rFonts w:ascii="Arial" w:cs="Arial" w:eastAsia="Arial" w:hAnsi="Arial"/>
                <w:sz w:val="16"/>
                <w:szCs w:val="16"/>
                <w:b w:val="1"/>
                <w:bCs w:val="1"/>
                <w:color w:val="1383C6"/>
              </w:rPr>
              <w:t>2025</w:t>
            </w:r>
          </w:p>
        </w:tc>
        <w:tc>
          <w:tcPr>
            <w:tcW w:w="100" w:type="dxa"/>
            <w:vAlign w:val="bottom"/>
          </w:tcPr>
          <w:p>
            <w:pPr>
              <w:spacing w:after="0"/>
              <w:rPr>
                <w:sz w:val="19"/>
                <w:szCs w:val="19"/>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1383C6"/>
                <w:w w:val="95"/>
              </w:rPr>
              <w:t>2024</w:t>
            </w:r>
          </w:p>
        </w:tc>
      </w:tr>
      <w:tr>
        <w:trPr>
          <w:trHeight w:val="219"/>
        </w:trPr>
        <w:tc>
          <w:tcPr>
            <w:tcW w:w="772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0.5</w:t>
            </w:r>
          </w:p>
        </w:tc>
        <w:tc>
          <w:tcPr>
            <w:tcW w:w="960" w:type="dxa"/>
            <w:vAlign w:val="bottom"/>
            <w:shd w:val="clear" w:color="auto" w:fill="E7F2F9"/>
          </w:tcPr>
          <w:p>
            <w:pPr>
              <w:ind w:left="40"/>
              <w:spacing w:after="0"/>
              <w:rPr>
                <w:sz w:val="20"/>
                <w:szCs w:val="20"/>
                <w:color w:val="auto"/>
              </w:rPr>
            </w:pPr>
            <w:r>
              <w:rPr>
                <w:rFonts w:ascii="Arial" w:cs="Arial" w:eastAsia="Arial" w:hAnsi="Arial"/>
                <w:sz w:val="16"/>
                <w:szCs w:val="16"/>
                <w:color w:val="1383C6"/>
              </w:rPr>
              <w:t>— 2.0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2.0</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Expected volatility</w:t>
            </w:r>
          </w:p>
        </w:tc>
        <w:tc>
          <w:tcPr>
            <w:tcW w:w="1700" w:type="dxa"/>
            <w:vAlign w:val="bottom"/>
            <w:gridSpan w:val="2"/>
            <w:shd w:val="clear" w:color="auto" w:fill="E7F2F9"/>
          </w:tcPr>
          <w:p>
            <w:pPr>
              <w:jc w:val="center"/>
              <w:spacing w:after="0"/>
              <w:rPr>
                <w:sz w:val="20"/>
                <w:szCs w:val="20"/>
                <w:color w:val="auto"/>
              </w:rPr>
            </w:pPr>
            <w:r>
              <w:rPr>
                <w:rFonts w:ascii="Arial" w:cs="Arial" w:eastAsia="Arial" w:hAnsi="Arial"/>
                <w:sz w:val="16"/>
                <w:szCs w:val="16"/>
                <w:color w:val="1383C6"/>
                <w:w w:val="97"/>
              </w:rPr>
              <w:t>113%</w:t>
            </w:r>
          </w:p>
        </w:tc>
        <w:tc>
          <w:tcPr>
            <w:tcW w:w="1800" w:type="dxa"/>
            <w:vAlign w:val="bottom"/>
            <w:gridSpan w:val="4"/>
          </w:tcPr>
          <w:p>
            <w:pPr>
              <w:jc w:val="center"/>
              <w:ind w:left="22"/>
              <w:spacing w:after="0"/>
              <w:rPr>
                <w:sz w:val="20"/>
                <w:szCs w:val="20"/>
                <w:color w:val="auto"/>
              </w:rPr>
            </w:pPr>
            <w:r>
              <w:rPr>
                <w:rFonts w:ascii="Arial" w:cs="Arial" w:eastAsia="Arial" w:hAnsi="Arial"/>
                <w:sz w:val="16"/>
                <w:szCs w:val="16"/>
                <w:color w:val="auto"/>
                <w:w w:val="93"/>
              </w:rPr>
              <w:t>81%</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7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3.96%</w:t>
            </w:r>
          </w:p>
        </w:tc>
        <w:tc>
          <w:tcPr>
            <w:tcW w:w="960" w:type="dxa"/>
            <w:vAlign w:val="bottom"/>
            <w:shd w:val="clear" w:color="auto" w:fill="E7F2F9"/>
          </w:tcPr>
          <w:p>
            <w:pPr>
              <w:ind w:left="40"/>
              <w:spacing w:after="0"/>
              <w:rPr>
                <w:sz w:val="20"/>
                <w:szCs w:val="20"/>
                <w:color w:val="auto"/>
              </w:rPr>
            </w:pPr>
            <w:r>
              <w:rPr>
                <w:rFonts w:ascii="Arial" w:cs="Arial" w:eastAsia="Arial" w:hAnsi="Arial"/>
                <w:sz w:val="16"/>
                <w:szCs w:val="16"/>
                <w:color w:val="1383C6"/>
              </w:rPr>
              <w:t>— 4.31%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4.54%</w:t>
            </w:r>
          </w:p>
        </w:tc>
        <w:tc>
          <w:tcPr>
            <w:tcW w:w="2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5.27%</w:t>
            </w:r>
          </w:p>
        </w:tc>
      </w:tr>
      <w:tr>
        <w:trPr>
          <w:trHeight w:val="234"/>
        </w:trPr>
        <w:tc>
          <w:tcPr>
            <w:tcW w:w="7720" w:type="dxa"/>
            <w:vAlign w:val="bottom"/>
          </w:tcPr>
          <w:p>
            <w:pPr>
              <w:spacing w:after="0"/>
              <w:rPr>
                <w:sz w:val="20"/>
                <w:szCs w:val="20"/>
                <w:color w:val="auto"/>
              </w:rPr>
            </w:pPr>
            <w:r>
              <w:rPr>
                <w:rFonts w:ascii="Arial" w:cs="Arial" w:eastAsia="Arial" w:hAnsi="Arial"/>
                <w:sz w:val="16"/>
                <w:szCs w:val="16"/>
                <w:color w:val="auto"/>
              </w:rPr>
              <w:t>Dividend yield</w:t>
            </w:r>
          </w:p>
        </w:tc>
        <w:tc>
          <w:tcPr>
            <w:tcW w:w="740" w:type="dxa"/>
            <w:vAlign w:val="bottom"/>
            <w:shd w:val="clear" w:color="auto" w:fill="E7F2F9"/>
          </w:tcPr>
          <w:p>
            <w:pPr>
              <w:spacing w:after="0"/>
              <w:rPr>
                <w:sz w:val="20"/>
                <w:szCs w:val="20"/>
                <w:color w:val="auto"/>
              </w:rPr>
            </w:pPr>
          </w:p>
        </w:tc>
        <w:tc>
          <w:tcPr>
            <w:tcW w:w="960" w:type="dxa"/>
            <w:vAlign w:val="bottom"/>
            <w:shd w:val="clear" w:color="auto" w:fill="E7F2F9"/>
          </w:tcPr>
          <w:p>
            <w:pPr>
              <w:jc w:val="center"/>
              <w:ind w:right="642"/>
              <w:spacing w:after="0"/>
              <w:rPr>
                <w:sz w:val="20"/>
                <w:szCs w:val="20"/>
                <w:color w:val="auto"/>
              </w:rPr>
            </w:pPr>
            <w:r>
              <w:rPr>
                <w:rFonts w:ascii="Arial" w:cs="Arial" w:eastAsia="Arial" w:hAnsi="Arial"/>
                <w:sz w:val="16"/>
                <w:szCs w:val="16"/>
                <w:color w:val="1383C6"/>
                <w:w w:val="99"/>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w w:val="87"/>
              </w:rPr>
              <w:t>—</w:t>
            </w:r>
          </w:p>
        </w:tc>
        <w:tc>
          <w:tcPr>
            <w:tcW w:w="740" w:type="dxa"/>
            <w:vAlign w:val="bottom"/>
          </w:tcPr>
          <w:p>
            <w:pPr>
              <w:spacing w:after="0"/>
              <w:rPr>
                <w:sz w:val="20"/>
                <w:szCs w:val="20"/>
                <w:color w:val="auto"/>
              </w:rPr>
            </w:pPr>
          </w:p>
        </w:tc>
      </w:tr>
      <w:tr>
        <w:trPr>
          <w:trHeight w:val="249"/>
        </w:trPr>
        <w:tc>
          <w:tcPr>
            <w:tcW w:w="7720" w:type="dxa"/>
            <w:vAlign w:val="bottom"/>
          </w:tcPr>
          <w:p>
            <w:pPr>
              <w:spacing w:after="0"/>
              <w:rPr>
                <w:sz w:val="20"/>
                <w:szCs w:val="20"/>
                <w:color w:val="auto"/>
              </w:rPr>
            </w:pPr>
            <w:r>
              <w:rPr>
                <w:rFonts w:ascii="Arial" w:cs="Arial" w:eastAsia="Arial" w:hAnsi="Arial"/>
                <w:sz w:val="16"/>
                <w:szCs w:val="16"/>
                <w:color w:val="auto"/>
              </w:rPr>
              <w:t>Weighted average grant date fair value per share</w:t>
            </w:r>
          </w:p>
        </w:tc>
        <w:tc>
          <w:tcPr>
            <w:tcW w:w="1700" w:type="dxa"/>
            <w:vAlign w:val="bottom"/>
            <w:gridSpan w:val="2"/>
            <w:shd w:val="clear" w:color="auto" w:fill="E7F2F9"/>
          </w:tcPr>
          <w:p>
            <w:pPr>
              <w:jc w:val="center"/>
              <w:spacing w:after="0"/>
              <w:rPr>
                <w:sz w:val="20"/>
                <w:szCs w:val="20"/>
                <w:color w:val="auto"/>
              </w:rPr>
            </w:pPr>
            <w:r>
              <w:rPr>
                <w:rFonts w:ascii="Arial" w:cs="Arial" w:eastAsia="Arial" w:hAnsi="Arial"/>
                <w:sz w:val="16"/>
                <w:szCs w:val="16"/>
                <w:color w:val="1383C6"/>
                <w:w w:val="99"/>
              </w:rPr>
              <w:t>$0.93</w:t>
            </w:r>
          </w:p>
        </w:tc>
        <w:tc>
          <w:tcPr>
            <w:tcW w:w="1800" w:type="dxa"/>
            <w:vAlign w:val="bottom"/>
            <w:gridSpan w:val="4"/>
          </w:tcPr>
          <w:p>
            <w:pPr>
              <w:jc w:val="center"/>
              <w:ind w:left="22"/>
              <w:spacing w:after="0"/>
              <w:rPr>
                <w:sz w:val="20"/>
                <w:szCs w:val="20"/>
                <w:color w:val="auto"/>
              </w:rPr>
            </w:pPr>
            <w:r>
              <w:rPr>
                <w:rFonts w:ascii="Arial" w:cs="Arial" w:eastAsia="Arial" w:hAnsi="Arial"/>
                <w:sz w:val="16"/>
                <w:szCs w:val="16"/>
                <w:color w:val="auto"/>
                <w:w w:val="94"/>
              </w:rPr>
              <w:t>$2.78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7137400" cy="2476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8. NET LOSS PER SHARE</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Notes, using the if-converted method, and outstanding equity awards using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table presents the calculation of the basic and diluted net loss per share amounts presented in the condensed consolidated statements of operations and comprehensive loss: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6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08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top w:val="single" w:sz="8" w:color="auto"/>
              <w:bottom w:val="single" w:sz="8" w:color="auto"/>
            </w:tcBorders>
            <w:shd w:val="clear" w:color="auto" w:fill="E7F2F9"/>
          </w:tcPr>
          <w:p>
            <w:pPr>
              <w:spacing w:after="0"/>
              <w:rPr>
                <w:sz w:val="18"/>
                <w:szCs w:val="18"/>
                <w:color w:val="auto"/>
              </w:rPr>
            </w:pPr>
          </w:p>
        </w:tc>
        <w:tc>
          <w:tcPr>
            <w:tcW w:w="1160" w:type="dxa"/>
            <w:vAlign w:val="bottom"/>
            <w:tcBorders>
              <w:top w:val="single" w:sz="8" w:color="auto"/>
              <w:bottom w:val="single" w:sz="8" w:color="auto"/>
            </w:tcBorders>
            <w:shd w:val="clear" w:color="auto" w:fill="E7F2F9"/>
          </w:tcPr>
          <w:p>
            <w:pPr>
              <w:jc w:val="right"/>
              <w:ind w:right="524"/>
              <w:spacing w:after="0"/>
              <w:rPr>
                <w:sz w:val="20"/>
                <w:szCs w:val="20"/>
                <w:color w:val="auto"/>
              </w:rPr>
            </w:pPr>
            <w:r>
              <w:rPr>
                <w:rFonts w:ascii="Arial" w:cs="Arial" w:eastAsia="Arial" w:hAnsi="Arial"/>
                <w:sz w:val="14"/>
                <w:szCs w:val="14"/>
                <w:b w:val="1"/>
                <w:bCs w:val="1"/>
                <w:color w:val="1383C6"/>
              </w:rPr>
              <w:t>2025</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shd w:val="clear" w:color="auto" w:fill="E7F2F9"/>
          </w:tcPr>
          <w:p>
            <w:pPr>
              <w:spacing w:after="0"/>
              <w:rPr>
                <w:sz w:val="18"/>
                <w:szCs w:val="18"/>
                <w:color w:val="auto"/>
              </w:rPr>
            </w:pPr>
          </w:p>
        </w:tc>
        <w:tc>
          <w:tcPr>
            <w:tcW w:w="1120" w:type="dxa"/>
            <w:vAlign w:val="bottom"/>
            <w:tcBorders>
              <w:top w:val="single" w:sz="8" w:color="auto"/>
              <w:bottom w:val="single" w:sz="8" w:color="auto"/>
            </w:tcBorders>
            <w:shd w:val="clear" w:color="auto" w:fill="E7F2F9"/>
          </w:tcPr>
          <w:p>
            <w:pPr>
              <w:jc w:val="right"/>
              <w:ind w:right="504"/>
              <w:spacing w:after="0"/>
              <w:rPr>
                <w:sz w:val="20"/>
                <w:szCs w:val="20"/>
                <w:color w:val="auto"/>
              </w:rPr>
            </w:pPr>
            <w:r>
              <w:rPr>
                <w:rFonts w:ascii="Arial" w:cs="Arial" w:eastAsia="Arial" w:hAnsi="Arial"/>
                <w:sz w:val="14"/>
                <w:szCs w:val="14"/>
                <w:b w:val="1"/>
                <w:bCs w:val="1"/>
                <w:color w:val="1383C6"/>
              </w:rPr>
              <w:t>2025</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E7F2F9"/>
          </w:tcPr>
          <w:p>
            <w:pPr>
              <w:spacing w:after="0"/>
              <w:rPr>
                <w:sz w:val="17"/>
                <w:szCs w:val="17"/>
                <w:color w:val="auto"/>
              </w:rPr>
            </w:pPr>
          </w:p>
        </w:tc>
        <w:tc>
          <w:tcPr>
            <w:tcW w:w="116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shd w:val="clear" w:color="auto" w:fill="E7F2F9"/>
          </w:tcPr>
          <w:p>
            <w:pPr>
              <w:spacing w:after="0"/>
              <w:rPr>
                <w:sz w:val="17"/>
                <w:szCs w:val="17"/>
                <w:color w:val="auto"/>
              </w:rPr>
            </w:pPr>
          </w:p>
        </w:tc>
        <w:tc>
          <w:tcPr>
            <w:tcW w:w="112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88"/>
        </w:trPr>
        <w:tc>
          <w:tcPr>
            <w:tcW w:w="50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(41,930)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(173,319)</w:t>
            </w:r>
          </w:p>
        </w:tc>
        <w:tc>
          <w:tcPr>
            <w:tcW w:w="100" w:type="dxa"/>
            <w:vAlign w:val="bottom"/>
          </w:tcPr>
          <w:p>
            <w:pPr>
              <w:spacing w:after="0"/>
              <w:rPr>
                <w:sz w:val="24"/>
                <w:szCs w:val="24"/>
                <w:color w:val="auto"/>
              </w:rPr>
            </w:pPr>
          </w:p>
        </w:tc>
        <w:tc>
          <w:tcPr>
            <w:tcW w:w="34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w w:val="89"/>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(468,005)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(251,497)</w:t>
            </w:r>
          </w:p>
        </w:tc>
      </w:tr>
      <w:tr>
        <w:trPr>
          <w:trHeight w:val="290"/>
        </w:trPr>
        <w:tc>
          <w:tcPr>
            <w:tcW w:w="5080" w:type="dxa"/>
            <w:vAlign w:val="bottom"/>
          </w:tcPr>
          <w:p>
            <w:pPr>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auto"/>
            </w:tcBorders>
            <w:shd w:val="clear" w:color="auto" w:fill="E7F2F9"/>
          </w:tcPr>
          <w:p>
            <w:pPr>
              <w:spacing w:after="0"/>
              <w:rPr>
                <w:sz w:val="24"/>
                <w:szCs w:val="24"/>
                <w:color w:val="auto"/>
              </w:rPr>
            </w:pPr>
          </w:p>
        </w:tc>
        <w:tc>
          <w:tcPr>
            <w:tcW w:w="116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shd w:val="clear" w:color="auto" w:fill="E7F2F9"/>
          </w:tcPr>
          <w:p>
            <w:pPr>
              <w:spacing w:after="0"/>
              <w:rPr>
                <w:sz w:val="24"/>
                <w:szCs w:val="24"/>
                <w:color w:val="auto"/>
              </w:rPr>
            </w:pPr>
          </w:p>
        </w:tc>
        <w:tc>
          <w:tcPr>
            <w:tcW w:w="112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E7F2F9"/>
          </w:tcPr>
          <w:p>
            <w:pPr>
              <w:spacing w:after="0"/>
              <w:rPr>
                <w:sz w:val="20"/>
                <w:szCs w:val="20"/>
                <w:color w:val="auto"/>
              </w:rPr>
            </w:pPr>
          </w:p>
        </w:tc>
        <w:tc>
          <w:tcPr>
            <w:tcW w:w="1160" w:type="dxa"/>
            <w:vAlign w:val="bottom"/>
            <w:shd w:val="clear" w:color="auto" w:fill="E7F2F9"/>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shd w:val="clear" w:color="auto" w:fill="E7F2F9"/>
          </w:tcPr>
          <w:p>
            <w:pPr>
              <w:spacing w:after="0"/>
              <w:rPr>
                <w:sz w:val="20"/>
                <w:szCs w:val="20"/>
                <w:color w:val="auto"/>
              </w:rPr>
            </w:pPr>
          </w:p>
        </w:tc>
        <w:tc>
          <w:tcPr>
            <w:tcW w:w="1120" w:type="dxa"/>
            <w:vAlign w:val="bottom"/>
            <w:shd w:val="clear" w:color="auto" w:fill="E7F2F9"/>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1"/>
        </w:trPr>
        <w:tc>
          <w:tcPr>
            <w:tcW w:w="5080" w:type="dxa"/>
            <w:vAlign w:val="bottom"/>
          </w:tcPr>
          <w:p>
            <w:pPr>
              <w:ind w:left="240"/>
              <w:spacing w:after="0"/>
              <w:rPr>
                <w:sz w:val="20"/>
                <w:szCs w:val="20"/>
                <w:color w:val="auto"/>
              </w:rPr>
            </w:pPr>
            <w:r>
              <w:rPr>
                <w:rFonts w:ascii="Arial" w:cs="Arial" w:eastAsia="Arial" w:hAnsi="Arial"/>
                <w:sz w:val="16"/>
                <w:szCs w:val="16"/>
                <w:color w:val="auto"/>
              </w:rPr>
              <w:t>Weighted average shares used in computing</w:t>
            </w:r>
          </w:p>
        </w:tc>
        <w:tc>
          <w:tcPr>
            <w:tcW w:w="320" w:type="dxa"/>
            <w:vAlign w:val="bottom"/>
            <w:shd w:val="clear" w:color="auto" w:fill="E7F2F9"/>
          </w:tcPr>
          <w:p>
            <w:pPr>
              <w:spacing w:after="0"/>
              <w:rPr>
                <w:sz w:val="18"/>
                <w:szCs w:val="18"/>
                <w:color w:val="auto"/>
              </w:rPr>
            </w:pPr>
          </w:p>
        </w:tc>
        <w:tc>
          <w:tcPr>
            <w:tcW w:w="1160" w:type="dxa"/>
            <w:vAlign w:val="bottom"/>
            <w:shd w:val="clear" w:color="auto" w:fill="E7F2F9"/>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E7F2F9"/>
          </w:tcPr>
          <w:p>
            <w:pPr>
              <w:spacing w:after="0"/>
              <w:rPr>
                <w:sz w:val="18"/>
                <w:szCs w:val="18"/>
                <w:color w:val="auto"/>
              </w:rPr>
            </w:pPr>
          </w:p>
        </w:tc>
        <w:tc>
          <w:tcPr>
            <w:tcW w:w="1120" w:type="dxa"/>
            <w:vAlign w:val="bottom"/>
            <w:shd w:val="clear" w:color="auto" w:fill="E7F2F9"/>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080" w:type="dxa"/>
            <w:vAlign w:val="bottom"/>
          </w:tcPr>
          <w:p>
            <w:pPr>
              <w:ind w:left="240"/>
              <w:spacing w:after="0"/>
              <w:rPr>
                <w:sz w:val="20"/>
                <w:szCs w:val="20"/>
                <w:color w:val="auto"/>
              </w:rPr>
            </w:pPr>
            <w:r>
              <w:rPr>
                <w:rFonts w:ascii="Arial" w:cs="Arial" w:eastAsia="Arial" w:hAnsi="Arial"/>
                <w:sz w:val="16"/>
                <w:szCs w:val="16"/>
                <w:color w:val="auto"/>
              </w:rPr>
              <w:t>basic net loss per share</w:t>
            </w:r>
          </w:p>
        </w:tc>
        <w:tc>
          <w:tcPr>
            <w:tcW w:w="320" w:type="dxa"/>
            <w:vAlign w:val="bottom"/>
            <w:tcBorders>
              <w:bottom w:val="single" w:sz="8" w:color="auto"/>
            </w:tcBorders>
            <w:shd w:val="clear" w:color="auto" w:fill="E7F2F9"/>
          </w:tcPr>
          <w:p>
            <w:pPr>
              <w:spacing w:after="0"/>
              <w:rPr>
                <w:sz w:val="19"/>
                <w:szCs w:val="19"/>
                <w:color w:val="auto"/>
              </w:rPr>
            </w:pPr>
          </w:p>
        </w:tc>
        <w:tc>
          <w:tcPr>
            <w:tcW w:w="11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300,162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272,385</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E7F2F9"/>
          </w:tcPr>
          <w:p>
            <w:pPr>
              <w:spacing w:after="0"/>
              <w:rPr>
                <w:sz w:val="19"/>
                <w:szCs w:val="19"/>
                <w:color w:val="auto"/>
              </w:rPr>
            </w:pPr>
          </w:p>
        </w:tc>
        <w:tc>
          <w:tcPr>
            <w:tcW w:w="1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298,519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270,982</w:t>
            </w:r>
          </w:p>
        </w:tc>
      </w:tr>
      <w:tr>
        <w:trPr>
          <w:trHeight w:val="273"/>
        </w:trPr>
        <w:tc>
          <w:tcPr>
            <w:tcW w:w="5080" w:type="dxa"/>
            <w:vAlign w:val="bottom"/>
          </w:tcPr>
          <w:p>
            <w:pPr>
              <w:spacing w:after="0"/>
              <w:rPr>
                <w:sz w:val="20"/>
                <w:szCs w:val="20"/>
                <w:color w:val="auto"/>
              </w:rPr>
            </w:pPr>
            <w:r>
              <w:rPr>
                <w:rFonts w:ascii="Arial" w:cs="Arial" w:eastAsia="Arial" w:hAnsi="Arial"/>
                <w:sz w:val="16"/>
                <w:szCs w:val="16"/>
                <w:color w:val="auto"/>
              </w:rPr>
              <w:t>Basic net loss per share</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(0.14)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3"/>
                <w:szCs w:val="23"/>
                <w:color w:val="auto"/>
              </w:rPr>
            </w:pPr>
          </w:p>
        </w:tc>
        <w:tc>
          <w:tcPr>
            <w:tcW w:w="34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w w:val="89"/>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290"/>
        </w:trPr>
        <w:tc>
          <w:tcPr>
            <w:tcW w:w="5080" w:type="dxa"/>
            <w:vAlign w:val="bottom"/>
          </w:tcPr>
          <w:p>
            <w:pPr>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tcBorders>
            <w:shd w:val="clear" w:color="auto" w:fill="E7F2F9"/>
          </w:tcPr>
          <w:p>
            <w:pPr>
              <w:spacing w:after="0"/>
              <w:rPr>
                <w:sz w:val="24"/>
                <w:szCs w:val="24"/>
                <w:color w:val="auto"/>
              </w:rPr>
            </w:pPr>
          </w:p>
        </w:tc>
        <w:tc>
          <w:tcPr>
            <w:tcW w:w="116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shd w:val="clear" w:color="auto" w:fill="E7F2F9"/>
          </w:tcPr>
          <w:p>
            <w:pPr>
              <w:spacing w:after="0"/>
              <w:rPr>
                <w:sz w:val="24"/>
                <w:szCs w:val="24"/>
                <w:color w:val="auto"/>
              </w:rPr>
            </w:pPr>
          </w:p>
        </w:tc>
        <w:tc>
          <w:tcPr>
            <w:tcW w:w="112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11"/>
        </w:trPr>
        <w:tc>
          <w:tcPr>
            <w:tcW w:w="5080" w:type="dxa"/>
            <w:vAlign w:val="bottom"/>
          </w:tcPr>
          <w:p>
            <w:pPr>
              <w:ind w:left="240"/>
              <w:spacing w:after="0"/>
              <w:rPr>
                <w:sz w:val="20"/>
                <w:szCs w:val="20"/>
                <w:color w:val="auto"/>
              </w:rPr>
            </w:pPr>
            <w:r>
              <w:rPr>
                <w:rFonts w:ascii="Arial" w:cs="Arial" w:eastAsia="Arial" w:hAnsi="Arial"/>
                <w:sz w:val="16"/>
                <w:szCs w:val="16"/>
                <w:color w:val="auto"/>
              </w:rPr>
              <w:t>Weighted average shares used in computing</w:t>
            </w:r>
          </w:p>
        </w:tc>
        <w:tc>
          <w:tcPr>
            <w:tcW w:w="320" w:type="dxa"/>
            <w:vAlign w:val="bottom"/>
            <w:shd w:val="clear" w:color="auto" w:fill="E7F2F9"/>
          </w:tcPr>
          <w:p>
            <w:pPr>
              <w:spacing w:after="0"/>
              <w:rPr>
                <w:sz w:val="18"/>
                <w:szCs w:val="18"/>
                <w:color w:val="auto"/>
              </w:rPr>
            </w:pPr>
          </w:p>
        </w:tc>
        <w:tc>
          <w:tcPr>
            <w:tcW w:w="1160" w:type="dxa"/>
            <w:vAlign w:val="bottom"/>
            <w:shd w:val="clear" w:color="auto" w:fill="E7F2F9"/>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E7F2F9"/>
          </w:tcPr>
          <w:p>
            <w:pPr>
              <w:spacing w:after="0"/>
              <w:rPr>
                <w:sz w:val="18"/>
                <w:szCs w:val="18"/>
                <w:color w:val="auto"/>
              </w:rPr>
            </w:pPr>
          </w:p>
        </w:tc>
        <w:tc>
          <w:tcPr>
            <w:tcW w:w="1120" w:type="dxa"/>
            <w:vAlign w:val="bottom"/>
            <w:shd w:val="clear" w:color="auto" w:fill="E7F2F9"/>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080" w:type="dxa"/>
            <w:vAlign w:val="bottom"/>
          </w:tcPr>
          <w:p>
            <w:pPr>
              <w:ind w:left="240"/>
              <w:spacing w:after="0"/>
              <w:rPr>
                <w:sz w:val="20"/>
                <w:szCs w:val="20"/>
                <w:color w:val="auto"/>
              </w:rPr>
            </w:pPr>
            <w:r>
              <w:rPr>
                <w:rFonts w:ascii="Arial" w:cs="Arial" w:eastAsia="Arial" w:hAnsi="Arial"/>
                <w:sz w:val="16"/>
                <w:szCs w:val="16"/>
                <w:color w:val="auto"/>
              </w:rPr>
              <w:t>diluted net loss per share</w:t>
            </w:r>
          </w:p>
        </w:tc>
        <w:tc>
          <w:tcPr>
            <w:tcW w:w="320" w:type="dxa"/>
            <w:vAlign w:val="bottom"/>
            <w:tcBorders>
              <w:bottom w:val="single" w:sz="8" w:color="auto"/>
            </w:tcBorders>
            <w:shd w:val="clear" w:color="auto" w:fill="E7F2F9"/>
          </w:tcPr>
          <w:p>
            <w:pPr>
              <w:spacing w:after="0"/>
              <w:rPr>
                <w:sz w:val="19"/>
                <w:szCs w:val="19"/>
                <w:color w:val="auto"/>
              </w:rPr>
            </w:pPr>
          </w:p>
        </w:tc>
        <w:tc>
          <w:tcPr>
            <w:tcW w:w="11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300,162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272,385</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E7F2F9"/>
          </w:tcPr>
          <w:p>
            <w:pPr>
              <w:spacing w:after="0"/>
              <w:rPr>
                <w:sz w:val="19"/>
                <w:szCs w:val="19"/>
                <w:color w:val="auto"/>
              </w:rPr>
            </w:pPr>
          </w:p>
        </w:tc>
        <w:tc>
          <w:tcPr>
            <w:tcW w:w="1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298,519</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270,982</w:t>
            </w:r>
          </w:p>
        </w:tc>
      </w:tr>
      <w:tr>
        <w:trPr>
          <w:trHeight w:val="247"/>
        </w:trPr>
        <w:tc>
          <w:tcPr>
            <w:tcW w:w="5080" w:type="dxa"/>
            <w:vAlign w:val="bottom"/>
          </w:tcPr>
          <w:p>
            <w:pPr>
              <w:spacing w:after="0"/>
              <w:rPr>
                <w:sz w:val="20"/>
                <w:szCs w:val="20"/>
                <w:color w:val="auto"/>
              </w:rPr>
            </w:pPr>
            <w:r>
              <w:rPr>
                <w:rFonts w:ascii="Arial" w:cs="Arial" w:eastAsia="Arial" w:hAnsi="Arial"/>
                <w:sz w:val="16"/>
                <w:szCs w:val="16"/>
                <w:color w:val="auto"/>
              </w:rPr>
              <w:t>Diluted net loss per share</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(0.14)</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1"/>
                <w:szCs w:val="21"/>
                <w:color w:val="auto"/>
              </w:rPr>
            </w:pPr>
          </w:p>
        </w:tc>
        <w:tc>
          <w:tcPr>
            <w:tcW w:w="34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w w:val="89"/>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(0.93)</w:t>
            </w: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shares issuable upon conversion of the Notes and outstanding equity awards were excluded from the computation of diluted net loss per share for the periods presented because the effect of including such shares would have been antidilutive:</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10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1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4"/>
                <w:szCs w:val="14"/>
                <w:b w:val="1"/>
                <w:bCs w:val="1"/>
                <w:color w:val="1383C6"/>
              </w:rPr>
              <w:t>2025</w:t>
            </w:r>
          </w:p>
        </w:tc>
        <w:tc>
          <w:tcPr>
            <w:tcW w:w="540" w:type="dxa"/>
            <w:vAlign w:val="bottom"/>
            <w:tcBorders>
              <w:bottom w:val="single" w:sz="8" w:color="auto"/>
            </w:tcBorders>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shd w:val="clear" w:color="auto" w:fill="E7F2F9"/>
          </w:tcPr>
          <w:p>
            <w:pPr>
              <w:jc w:val="right"/>
              <w:ind w:right="486"/>
              <w:spacing w:after="0"/>
              <w:rPr>
                <w:sz w:val="20"/>
                <w:szCs w:val="20"/>
                <w:color w:val="auto"/>
              </w:rPr>
            </w:pPr>
            <w:r>
              <w:rPr>
                <w:rFonts w:ascii="Arial" w:cs="Arial" w:eastAsia="Arial" w:hAnsi="Arial"/>
                <w:sz w:val="14"/>
                <w:szCs w:val="14"/>
                <w:b w:val="1"/>
                <w:bCs w:val="1"/>
                <w:color w:val="1383C6"/>
              </w:rPr>
              <w:t>2025</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19"/>
        </w:trPr>
        <w:tc>
          <w:tcPr>
            <w:tcW w:w="5100" w:type="dxa"/>
            <w:vAlign w:val="bottom"/>
          </w:tcPr>
          <w:p>
            <w:pPr>
              <w:spacing w:after="0"/>
              <w:rPr>
                <w:sz w:val="20"/>
                <w:szCs w:val="20"/>
                <w:color w:val="auto"/>
              </w:rPr>
            </w:pPr>
            <w:r>
              <w:rPr>
                <w:rFonts w:ascii="Arial" w:cs="Arial" w:eastAsia="Arial" w:hAnsi="Arial"/>
                <w:sz w:val="16"/>
                <w:szCs w:val="16"/>
                <w:color w:val="auto"/>
              </w:rPr>
              <w:t>Shares issuable upon conversion of convertible senior notes</w:t>
            </w:r>
          </w:p>
        </w:tc>
        <w:tc>
          <w:tcPr>
            <w:tcW w:w="940" w:type="dxa"/>
            <w:vAlign w:val="bottom"/>
            <w:shd w:val="clear" w:color="auto" w:fill="E7F2F9"/>
          </w:tcPr>
          <w:p>
            <w:pPr>
              <w:spacing w:after="0"/>
              <w:rPr>
                <w:sz w:val="19"/>
                <w:szCs w:val="19"/>
                <w:color w:val="auto"/>
              </w:rPr>
            </w:pPr>
          </w:p>
        </w:tc>
        <w:tc>
          <w:tcPr>
            <w:tcW w:w="5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61,415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31,063</w:t>
            </w:r>
          </w:p>
        </w:tc>
        <w:tc>
          <w:tcPr>
            <w:tcW w:w="80" w:type="dxa"/>
            <w:vAlign w:val="bottom"/>
          </w:tcPr>
          <w:p>
            <w:pPr>
              <w:spacing w:after="0"/>
              <w:rPr>
                <w:sz w:val="19"/>
                <w:szCs w:val="19"/>
                <w:color w:val="auto"/>
              </w:rPr>
            </w:pPr>
          </w:p>
        </w:tc>
        <w:tc>
          <w:tcPr>
            <w:tcW w:w="14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61,415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31,063</w:t>
            </w:r>
          </w:p>
        </w:tc>
      </w:tr>
      <w:tr>
        <w:trPr>
          <w:trHeight w:val="249"/>
        </w:trPr>
        <w:tc>
          <w:tcPr>
            <w:tcW w:w="5100" w:type="dxa"/>
            <w:vAlign w:val="bottom"/>
          </w:tcPr>
          <w:p>
            <w:pPr>
              <w:spacing w:after="0"/>
              <w:rPr>
                <w:sz w:val="20"/>
                <w:szCs w:val="20"/>
                <w:color w:val="auto"/>
              </w:rPr>
            </w:pPr>
            <w:r>
              <w:rPr>
                <w:rFonts w:ascii="Arial" w:cs="Arial" w:eastAsia="Arial" w:hAnsi="Arial"/>
                <w:sz w:val="16"/>
                <w:szCs w:val="16"/>
                <w:color w:val="auto"/>
              </w:rPr>
              <w:t>Equity awards</w:t>
            </w:r>
          </w:p>
        </w:tc>
        <w:tc>
          <w:tcPr>
            <w:tcW w:w="940" w:type="dxa"/>
            <w:vAlign w:val="bottom"/>
            <w:shd w:val="clear" w:color="auto" w:fill="E7F2F9"/>
          </w:tcPr>
          <w:p>
            <w:pPr>
              <w:spacing w:after="0"/>
              <w:rPr>
                <w:sz w:val="21"/>
                <w:szCs w:val="21"/>
                <w:color w:val="auto"/>
              </w:rPr>
            </w:pPr>
          </w:p>
        </w:tc>
        <w:tc>
          <w:tcPr>
            <w:tcW w:w="5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44,643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33,370</w:t>
            </w:r>
          </w:p>
        </w:tc>
        <w:tc>
          <w:tcPr>
            <w:tcW w:w="80" w:type="dxa"/>
            <w:vAlign w:val="bottom"/>
          </w:tcPr>
          <w:p>
            <w:pPr>
              <w:spacing w:after="0"/>
              <w:rPr>
                <w:sz w:val="21"/>
                <w:szCs w:val="21"/>
                <w:color w:val="auto"/>
              </w:rPr>
            </w:pPr>
          </w:p>
        </w:tc>
        <w:tc>
          <w:tcPr>
            <w:tcW w:w="14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44,643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33,370</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7. Equity Plans and Share-Based Compensation</w:t>
      </w:r>
      <w:r>
        <w:rPr>
          <w:rFonts w:ascii="Arial" w:cs="Arial" w:eastAsia="Arial" w:hAnsi="Arial"/>
          <w:sz w:val="17"/>
          <w:szCs w:val="17"/>
          <w:color w:val="auto"/>
        </w:rPr>
        <w:t xml:space="preserve"> for detailed information 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7400" cy="2476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9. SEGMENT AND GEOGRAPHIC INFORMATION</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On a regular basis, our CODM reviews:</w:t>
      </w:r>
    </w:p>
    <w:p>
      <w:pPr>
        <w:spacing w:after="0" w:line="65" w:lineRule="exact"/>
        <w:rPr>
          <w:sz w:val="20"/>
          <w:szCs w:val="20"/>
          <w:color w:val="auto"/>
        </w:rPr>
      </w:pPr>
    </w:p>
    <w:p>
      <w:pPr>
        <w:ind w:left="620" w:hanging="304"/>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total revenues by category</w:t>
      </w:r>
    </w:p>
    <w:p>
      <w:pPr>
        <w:spacing w:after="0" w:line="64" w:lineRule="exact"/>
        <w:rPr>
          <w:rFonts w:ascii="Arial" w:cs="Arial" w:eastAsia="Arial" w:hAnsi="Arial"/>
          <w:sz w:val="17"/>
          <w:szCs w:val="17"/>
          <w:b w:val="1"/>
          <w:bCs w:val="1"/>
          <w:color w:val="DF1995"/>
        </w:rPr>
      </w:pPr>
    </w:p>
    <w:p>
      <w:pPr>
        <w:ind w:left="620" w:hanging="304"/>
        <w:spacing w:after="0" w:line="286" w:lineRule="auto"/>
        <w:tabs>
          <w:tab w:leader="none" w:pos="615"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total expenses and expenses by function, including sales and marketing and general and administrative, which include depreciation and share-based compensation</w:t>
      </w:r>
    </w:p>
    <w:p>
      <w:pPr>
        <w:spacing w:after="0" w:line="2" w:lineRule="exact"/>
        <w:rPr>
          <w:rFonts w:ascii="Arial" w:cs="Arial" w:eastAsia="Arial" w:hAnsi="Arial"/>
          <w:sz w:val="17"/>
          <w:szCs w:val="17"/>
          <w:b w:val="1"/>
          <w:bCs w:val="1"/>
          <w:color w:val="DF1995"/>
        </w:rPr>
      </w:pPr>
    </w:p>
    <w:p>
      <w:pPr>
        <w:ind w:left="620" w:hanging="304"/>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net loss per share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segment profit or loss, including significant segment expenses is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040" w:type="dxa"/>
            <w:vAlign w:val="bottom"/>
          </w:tcPr>
          <w:p>
            <w:pPr>
              <w:spacing w:after="0"/>
              <w:rPr>
                <w:sz w:val="17"/>
                <w:szCs w:val="17"/>
                <w:color w:val="auto"/>
              </w:rPr>
            </w:pPr>
          </w:p>
        </w:tc>
        <w:tc>
          <w:tcPr>
            <w:tcW w:w="312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06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148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2024</w:t>
            </w:r>
          </w:p>
        </w:tc>
      </w:tr>
      <w:tr>
        <w:trPr>
          <w:trHeight w:val="219"/>
        </w:trPr>
        <w:tc>
          <w:tcPr>
            <w:tcW w:w="5040" w:type="dxa"/>
            <w:vAlign w:val="bottom"/>
          </w:tcPr>
          <w:p>
            <w:pPr>
              <w:ind w:left="200"/>
              <w:spacing w:after="0"/>
              <w:rPr>
                <w:sz w:val="20"/>
                <w:szCs w:val="20"/>
                <w:color w:val="auto"/>
              </w:rPr>
            </w:pPr>
            <w:r>
              <w:rPr>
                <w:rFonts w:ascii="Arial" w:cs="Arial" w:eastAsia="Arial" w:hAnsi="Arial"/>
                <w:sz w:val="16"/>
                <w:szCs w:val="16"/>
                <w:color w:val="auto"/>
              </w:rPr>
              <w:t>Total revenue</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39,766</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36,013</w:t>
            </w:r>
          </w:p>
        </w:tc>
        <w:tc>
          <w:tcPr>
            <w:tcW w:w="80" w:type="dxa"/>
            <w:vAlign w:val="bottom"/>
          </w:tcPr>
          <w:p>
            <w:pPr>
              <w:spacing w:after="0"/>
              <w:rPr>
                <w:sz w:val="19"/>
                <w:szCs w:val="19"/>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76,919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74,823</w:t>
            </w:r>
          </w:p>
        </w:tc>
      </w:tr>
      <w:tr>
        <w:trPr>
          <w:trHeight w:val="234"/>
        </w:trPr>
        <w:tc>
          <w:tcPr>
            <w:tcW w:w="5040" w:type="dxa"/>
            <w:vAlign w:val="bottom"/>
          </w:tcPr>
          <w:p>
            <w:pPr>
              <w:ind w:left="200"/>
              <w:spacing w:after="0"/>
              <w:rPr>
                <w:sz w:val="20"/>
                <w:szCs w:val="20"/>
                <w:color w:val="auto"/>
              </w:rPr>
            </w:pPr>
            <w:r>
              <w:rPr>
                <w:rFonts w:ascii="Arial" w:cs="Arial" w:eastAsia="Arial" w:hAnsi="Arial"/>
                <w:sz w:val="16"/>
                <w:szCs w:val="16"/>
                <w:color w:val="auto"/>
              </w:rPr>
              <w:t>Less:</w:t>
            </w:r>
          </w:p>
        </w:tc>
        <w:tc>
          <w:tcPr>
            <w:tcW w:w="146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Cost of revenue</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25,082</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30,075</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63,606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57,603</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22,529</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38,485</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51,582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81,940</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Sales and marketing</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19,516</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23,807</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39,592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46,344</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General and administrative</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16,659</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22,070</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36,751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43,286</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Impairment charges</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93,200</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15,000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93,200</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Change in fair value of contingent consideration</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(18,700)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34"/>
        </w:trPr>
        <w:tc>
          <w:tcPr>
            <w:tcW w:w="5040" w:type="dxa"/>
            <w:vAlign w:val="bottom"/>
          </w:tcPr>
          <w:p>
            <w:pPr>
              <w:ind w:left="420"/>
              <w:spacing w:after="0"/>
              <w:rPr>
                <w:sz w:val="20"/>
                <w:szCs w:val="20"/>
                <w:color w:val="auto"/>
              </w:rPr>
            </w:pPr>
            <w:r>
              <w:rPr>
                <w:rFonts w:ascii="Arial" w:cs="Arial" w:eastAsia="Arial" w:hAnsi="Arial"/>
                <w:sz w:val="16"/>
                <w:szCs w:val="16"/>
                <w:color w:val="auto"/>
              </w:rPr>
              <w:t>Amortization of acquired intangible assets</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833</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4,222</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362,875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9,728</w:t>
            </w:r>
          </w:p>
        </w:tc>
      </w:tr>
      <w:tr>
        <w:trPr>
          <w:trHeight w:val="234"/>
        </w:trPr>
        <w:tc>
          <w:tcPr>
            <w:tcW w:w="5040" w:type="dxa"/>
            <w:vAlign w:val="bottom"/>
          </w:tcPr>
          <w:p>
            <w:pPr>
              <w:ind w:left="200"/>
              <w:spacing w:after="0"/>
              <w:rPr>
                <w:sz w:val="20"/>
                <w:szCs w:val="20"/>
                <w:color w:val="auto"/>
              </w:rPr>
            </w:pPr>
            <w:r>
              <w:rPr>
                <w:rFonts w:ascii="Arial" w:cs="Arial" w:eastAsia="Arial" w:hAnsi="Arial"/>
                <w:sz w:val="16"/>
                <w:szCs w:val="16"/>
                <w:color w:val="auto"/>
              </w:rPr>
              <w:t>Other income, net</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2,958</w:t>
            </w:r>
          </w:p>
        </w:tc>
        <w:tc>
          <w:tcPr>
            <w:tcW w:w="1580" w:type="dxa"/>
            <w:vAlign w:val="bottom"/>
            <w:gridSpan w:val="2"/>
          </w:tcPr>
          <w:p>
            <w:pPr>
              <w:jc w:val="right"/>
              <w:ind w:right="5"/>
              <w:spacing w:after="0"/>
              <w:rPr>
                <w:sz w:val="20"/>
                <w:szCs w:val="20"/>
                <w:color w:val="auto"/>
              </w:rPr>
            </w:pPr>
            <w:r>
              <w:rPr>
                <w:rFonts w:ascii="Arial" w:cs="Arial" w:eastAsia="Arial" w:hAnsi="Arial"/>
                <w:sz w:val="16"/>
                <w:szCs w:val="16"/>
                <w:color w:val="auto"/>
              </w:rPr>
              <w:t>2,527</w:t>
            </w:r>
          </w:p>
        </w:tc>
        <w:tc>
          <w:tcPr>
            <w:tcW w:w="80" w:type="dxa"/>
            <w:vAlign w:val="bottom"/>
          </w:tcPr>
          <w:p>
            <w:pPr>
              <w:spacing w:after="0"/>
              <w:rPr>
                <w:sz w:val="20"/>
                <w:szCs w:val="20"/>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5,515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5,711</w:t>
            </w:r>
          </w:p>
        </w:tc>
      </w:tr>
      <w:tr>
        <w:trPr>
          <w:trHeight w:val="242"/>
        </w:trPr>
        <w:tc>
          <w:tcPr>
            <w:tcW w:w="5040" w:type="dxa"/>
            <w:vAlign w:val="bottom"/>
          </w:tcPr>
          <w:p>
            <w:pPr>
              <w:ind w:left="200"/>
              <w:spacing w:after="0"/>
              <w:rPr>
                <w:sz w:val="20"/>
                <w:szCs w:val="20"/>
                <w:color w:val="auto"/>
              </w:rPr>
            </w:pPr>
            <w:r>
              <w:rPr>
                <w:rFonts w:ascii="Arial" w:cs="Arial" w:eastAsia="Arial" w:hAnsi="Arial"/>
                <w:sz w:val="16"/>
                <w:szCs w:val="16"/>
                <w:color w:val="auto"/>
              </w:rPr>
              <w:t>Income tax provision (benefit)</w:t>
            </w:r>
          </w:p>
        </w:tc>
        <w:tc>
          <w:tcPr>
            <w:tcW w:w="14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35</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(267)</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5040" w:type="dxa"/>
            <w:vAlign w:val="bottom"/>
          </w:tcPr>
          <w:p>
            <w:pPr>
              <w:ind w:left="200"/>
              <w:spacing w:after="0"/>
              <w:rPr>
                <w:sz w:val="20"/>
                <w:szCs w:val="20"/>
                <w:color w:val="auto"/>
              </w:rPr>
            </w:pPr>
            <w:r>
              <w:rPr>
                <w:rFonts w:ascii="Arial" w:cs="Arial" w:eastAsia="Arial" w:hAnsi="Arial"/>
                <w:sz w:val="16"/>
                <w:szCs w:val="16"/>
                <w:color w:val="auto"/>
              </w:rPr>
              <w:t>Consolidated net loss</w:t>
            </w:r>
          </w:p>
        </w:tc>
        <w:tc>
          <w:tcPr>
            <w:tcW w:w="14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(41,930)</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(173,319)</w:t>
            </w:r>
          </w:p>
        </w:tc>
        <w:tc>
          <w:tcPr>
            <w:tcW w:w="80" w:type="dxa"/>
            <w:vAlign w:val="bottom"/>
          </w:tcPr>
          <w:p>
            <w:pPr>
              <w:spacing w:after="0"/>
              <w:rPr>
                <w:sz w:val="22"/>
                <w:szCs w:val="22"/>
                <w:color w:val="auto"/>
              </w:rPr>
            </w:pPr>
          </w:p>
        </w:tc>
        <w:tc>
          <w:tcPr>
            <w:tcW w:w="148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(468,005)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(251,497)</w:t>
            </w:r>
          </w:p>
        </w:tc>
      </w:tr>
      <w:tr>
        <w:trPr>
          <w:trHeight w:val="20"/>
        </w:trPr>
        <w:tc>
          <w:tcPr>
            <w:tcW w:w="50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02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4"/>
                <w:szCs w:val="14"/>
                <w:b w:val="1"/>
                <w:bCs w:val="1"/>
                <w:color w:val="1383C6"/>
              </w:rPr>
              <w:t>2025</w:t>
            </w:r>
          </w:p>
        </w:tc>
        <w:tc>
          <w:tcPr>
            <w:tcW w:w="560" w:type="dxa"/>
            <w:vAlign w:val="bottom"/>
            <w:tcBorders>
              <w:bottom w:val="single" w:sz="8" w:color="auto"/>
            </w:tcBorders>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E7F2F9"/>
          </w:tcPr>
          <w:p>
            <w:pPr>
              <w:spacing w:after="0"/>
              <w:rPr>
                <w:sz w:val="18"/>
                <w:szCs w:val="18"/>
                <w:color w:val="auto"/>
              </w:rPr>
            </w:pPr>
          </w:p>
        </w:tc>
        <w:tc>
          <w:tcPr>
            <w:tcW w:w="1120" w:type="dxa"/>
            <w:vAlign w:val="bottom"/>
            <w:tcBorders>
              <w:bottom w:val="single" w:sz="8" w:color="auto"/>
            </w:tcBorders>
            <w:shd w:val="clear" w:color="auto" w:fill="E7F2F9"/>
          </w:tcPr>
          <w:p>
            <w:pPr>
              <w:jc w:val="right"/>
              <w:ind w:right="505"/>
              <w:spacing w:after="0"/>
              <w:rPr>
                <w:sz w:val="20"/>
                <w:szCs w:val="20"/>
                <w:color w:val="auto"/>
              </w:rPr>
            </w:pPr>
            <w:r>
              <w:rPr>
                <w:rFonts w:ascii="Arial" w:cs="Arial" w:eastAsia="Arial" w:hAnsi="Arial"/>
                <w:sz w:val="14"/>
                <w:szCs w:val="14"/>
                <w:b w:val="1"/>
                <w:bCs w:val="1"/>
                <w:color w:val="1383C6"/>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r>
      <w:tr>
        <w:trPr>
          <w:trHeight w:val="219"/>
        </w:trPr>
        <w:tc>
          <w:tcPr>
            <w:tcW w:w="502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shd w:val="clear" w:color="auto" w:fill="E7F2F9"/>
          </w:tcPr>
          <w:p>
            <w:pPr>
              <w:jc w:val="right"/>
              <w:ind w:right="746"/>
              <w:spacing w:after="0"/>
              <w:rPr>
                <w:sz w:val="20"/>
                <w:szCs w:val="20"/>
                <w:color w:val="auto"/>
              </w:rPr>
            </w:pPr>
            <w:r>
              <w:rPr>
                <w:rFonts w:ascii="Arial" w:cs="Arial" w:eastAsia="Arial" w:hAnsi="Arial"/>
                <w:sz w:val="16"/>
                <w:szCs w:val="16"/>
                <w:color w:val="1383C6"/>
                <w:w w:val="89"/>
              </w:rPr>
              <w:t>$</w:t>
            </w: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98"/>
              </w:rPr>
              <w:t>17,687</w:t>
            </w:r>
          </w:p>
        </w:tc>
        <w:tc>
          <w:tcPr>
            <w:tcW w:w="1020" w:type="dxa"/>
            <w:vAlign w:val="bottom"/>
            <w:gridSpan w:val="2"/>
          </w:tcPr>
          <w:p>
            <w:pPr>
              <w:jc w:val="right"/>
              <w:ind w:right="75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20,757</w:t>
            </w:r>
          </w:p>
        </w:tc>
        <w:tc>
          <w:tcPr>
            <w:tcW w:w="80" w:type="dxa"/>
            <w:vAlign w:val="bottom"/>
          </w:tcPr>
          <w:p>
            <w:pPr>
              <w:spacing w:after="0"/>
              <w:rPr>
                <w:sz w:val="19"/>
                <w:szCs w:val="19"/>
                <w:color w:val="auto"/>
              </w:rPr>
            </w:pPr>
          </w:p>
        </w:tc>
        <w:tc>
          <w:tcPr>
            <w:tcW w:w="36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33,990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38,435</w:t>
            </w:r>
          </w:p>
        </w:tc>
      </w:tr>
      <w:tr>
        <w:trPr>
          <w:trHeight w:val="234"/>
        </w:trPr>
        <w:tc>
          <w:tcPr>
            <w:tcW w:w="502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shd w:val="clear" w:color="auto" w:fill="E7F2F9"/>
          </w:tcPr>
          <w:p>
            <w:pPr>
              <w:spacing w:after="0"/>
              <w:rPr>
                <w:sz w:val="20"/>
                <w:szCs w:val="20"/>
                <w:color w:val="auto"/>
              </w:rPr>
            </w:pP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9,467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7,022</w:t>
            </w:r>
          </w:p>
        </w:tc>
        <w:tc>
          <w:tcPr>
            <w:tcW w:w="80" w:type="dxa"/>
            <w:vAlign w:val="bottom"/>
          </w:tcPr>
          <w:p>
            <w:pPr>
              <w:spacing w:after="0"/>
              <w:rPr>
                <w:sz w:val="20"/>
                <w:szCs w:val="20"/>
                <w:color w:val="auto"/>
              </w:rPr>
            </w:pPr>
          </w:p>
        </w:tc>
        <w:tc>
          <w:tcPr>
            <w:tcW w:w="360" w:type="dxa"/>
            <w:vAlign w:val="bottom"/>
            <w:shd w:val="clear" w:color="auto" w:fill="E7F2F9"/>
          </w:tcPr>
          <w:p>
            <w:pPr>
              <w:spacing w:after="0"/>
              <w:rPr>
                <w:sz w:val="20"/>
                <w:szCs w:val="20"/>
                <w:color w:val="auto"/>
              </w:rPr>
            </w:pP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18,707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15,378</w:t>
            </w:r>
          </w:p>
        </w:tc>
      </w:tr>
      <w:tr>
        <w:trPr>
          <w:trHeight w:val="242"/>
        </w:trPr>
        <w:tc>
          <w:tcPr>
            <w:tcW w:w="5020" w:type="dxa"/>
            <w:vAlign w:val="bottom"/>
          </w:tcPr>
          <w:p>
            <w:pPr>
              <w:spacing w:after="0"/>
              <w:rPr>
                <w:sz w:val="20"/>
                <w:szCs w:val="20"/>
                <w:color w:val="auto"/>
              </w:rPr>
            </w:pPr>
            <w:r>
              <w:rPr>
                <w:rFonts w:ascii="Arial" w:cs="Arial" w:eastAsia="Arial" w:hAnsi="Arial"/>
                <w:sz w:val="16"/>
                <w:szCs w:val="16"/>
                <w:color w:val="auto"/>
              </w:rPr>
              <w:t>Asia-Pacific</w:t>
            </w:r>
          </w:p>
        </w:tc>
        <w:tc>
          <w:tcPr>
            <w:tcW w:w="920" w:type="dxa"/>
            <w:vAlign w:val="bottom"/>
            <w:tcBorders>
              <w:bottom w:val="single" w:sz="8" w:color="auto"/>
            </w:tcBorders>
            <w:shd w:val="clear" w:color="auto" w:fill="E7F2F9"/>
          </w:tcPr>
          <w:p>
            <w:pPr>
              <w:spacing w:after="0"/>
              <w:rPr>
                <w:sz w:val="21"/>
                <w:szCs w:val="21"/>
                <w:color w:val="auto"/>
              </w:rPr>
            </w:pPr>
          </w:p>
        </w:tc>
        <w:tc>
          <w:tcPr>
            <w:tcW w:w="5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98"/>
              </w:rPr>
              <w:t>12,612</w:t>
            </w: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8,234</w:t>
            </w:r>
          </w:p>
        </w:tc>
        <w:tc>
          <w:tcPr>
            <w:tcW w:w="80" w:type="dxa"/>
            <w:vAlign w:val="bottom"/>
          </w:tcPr>
          <w:p>
            <w:pPr>
              <w:spacing w:after="0"/>
              <w:rPr>
                <w:sz w:val="21"/>
                <w:szCs w:val="21"/>
                <w:color w:val="auto"/>
              </w:rPr>
            </w:pPr>
          </w:p>
        </w:tc>
        <w:tc>
          <w:tcPr>
            <w:tcW w:w="360" w:type="dxa"/>
            <w:vAlign w:val="bottom"/>
            <w:tcBorders>
              <w:bottom w:val="single" w:sz="8" w:color="auto"/>
            </w:tcBorders>
            <w:shd w:val="clear" w:color="auto" w:fill="E7F2F9"/>
          </w:tcPr>
          <w:p>
            <w:pPr>
              <w:spacing w:after="0"/>
              <w:rPr>
                <w:sz w:val="21"/>
                <w:szCs w:val="21"/>
                <w:color w:val="auto"/>
              </w:rPr>
            </w:pPr>
          </w:p>
        </w:tc>
        <w:tc>
          <w:tcPr>
            <w:tcW w:w="1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24,222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21,010</w:t>
            </w:r>
          </w:p>
        </w:tc>
      </w:tr>
      <w:tr>
        <w:trPr>
          <w:trHeight w:val="247"/>
        </w:trPr>
        <w:tc>
          <w:tcPr>
            <w:tcW w:w="502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E7F2F9"/>
          </w:tcPr>
          <w:p>
            <w:pPr>
              <w:jc w:val="right"/>
              <w:ind w:right="746"/>
              <w:spacing w:after="0"/>
              <w:rPr>
                <w:sz w:val="20"/>
                <w:szCs w:val="20"/>
                <w:color w:val="auto"/>
              </w:rPr>
            </w:pPr>
            <w:r>
              <w:rPr>
                <w:rFonts w:ascii="Arial" w:cs="Arial" w:eastAsia="Arial" w:hAnsi="Arial"/>
                <w:sz w:val="16"/>
                <w:szCs w:val="16"/>
                <w:color w:val="1383C6"/>
                <w:w w:val="89"/>
              </w:rPr>
              <w:t>$</w:t>
            </w: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98"/>
              </w:rPr>
              <w:t>39,766</w:t>
            </w:r>
          </w:p>
        </w:tc>
        <w:tc>
          <w:tcPr>
            <w:tcW w:w="1020" w:type="dxa"/>
            <w:vAlign w:val="bottom"/>
            <w:gridSpan w:val="2"/>
          </w:tcPr>
          <w:p>
            <w:pPr>
              <w:jc w:val="right"/>
              <w:ind w:right="75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36,013</w:t>
            </w:r>
          </w:p>
        </w:tc>
        <w:tc>
          <w:tcPr>
            <w:tcW w:w="80" w:type="dxa"/>
            <w:vAlign w:val="bottom"/>
          </w:tcPr>
          <w:p>
            <w:pPr>
              <w:spacing w:after="0"/>
              <w:rPr>
                <w:sz w:val="21"/>
                <w:szCs w:val="21"/>
                <w:color w:val="auto"/>
              </w:rPr>
            </w:pPr>
          </w:p>
        </w:tc>
        <w:tc>
          <w:tcPr>
            <w:tcW w:w="36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76,919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74,823</w:t>
            </w:r>
          </w:p>
        </w:tc>
      </w:tr>
      <w:tr>
        <w:trPr>
          <w:trHeight w:val="20"/>
        </w:trPr>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02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5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4"/>
                <w:szCs w:val="14"/>
                <w:b w:val="1"/>
                <w:bCs w:val="1"/>
                <w:color w:val="1383C6"/>
              </w:rPr>
              <w:t>2025</w:t>
            </w:r>
          </w:p>
        </w:tc>
        <w:tc>
          <w:tcPr>
            <w:tcW w:w="560" w:type="dxa"/>
            <w:vAlign w:val="bottom"/>
            <w:tcBorders>
              <w:bottom w:val="single" w:sz="8" w:color="auto"/>
            </w:tcBorders>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shd w:val="clear" w:color="auto" w:fill="E7F2F9"/>
          </w:tcPr>
          <w:p>
            <w:pPr>
              <w:spacing w:after="0"/>
              <w:rPr>
                <w:sz w:val="18"/>
                <w:szCs w:val="18"/>
                <w:color w:val="auto"/>
              </w:rPr>
            </w:pPr>
          </w:p>
        </w:tc>
        <w:tc>
          <w:tcPr>
            <w:tcW w:w="1120" w:type="dxa"/>
            <w:vAlign w:val="bottom"/>
            <w:tcBorders>
              <w:bottom w:val="single" w:sz="8" w:color="auto"/>
            </w:tcBorders>
            <w:shd w:val="clear" w:color="auto" w:fill="E7F2F9"/>
          </w:tcPr>
          <w:p>
            <w:pPr>
              <w:jc w:val="right"/>
              <w:ind w:right="504"/>
              <w:spacing w:after="0"/>
              <w:rPr>
                <w:sz w:val="20"/>
                <w:szCs w:val="20"/>
                <w:color w:val="auto"/>
              </w:rPr>
            </w:pPr>
            <w:r>
              <w:rPr>
                <w:rFonts w:ascii="Arial" w:cs="Arial" w:eastAsia="Arial" w:hAnsi="Arial"/>
                <w:sz w:val="14"/>
                <w:szCs w:val="14"/>
                <w:b w:val="1"/>
                <w:bCs w:val="1"/>
                <w:color w:val="1383C6"/>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r>
      <w:tr>
        <w:trPr>
          <w:trHeight w:val="219"/>
        </w:trPr>
        <w:tc>
          <w:tcPr>
            <w:tcW w:w="5020" w:type="dxa"/>
            <w:vAlign w:val="bottom"/>
          </w:tcPr>
          <w:p>
            <w:pPr>
              <w:spacing w:after="0"/>
              <w:rPr>
                <w:sz w:val="20"/>
                <w:szCs w:val="20"/>
                <w:color w:val="auto"/>
              </w:rPr>
            </w:pPr>
            <w:r>
              <w:rPr>
                <w:rFonts w:ascii="Arial" w:cs="Arial" w:eastAsia="Arial" w:hAnsi="Arial"/>
                <w:sz w:val="16"/>
                <w:szCs w:val="16"/>
                <w:color w:val="auto"/>
              </w:rPr>
              <w:t>Instrument revenue</w:t>
            </w:r>
          </w:p>
        </w:tc>
        <w:tc>
          <w:tcPr>
            <w:tcW w:w="920" w:type="dxa"/>
            <w:vAlign w:val="bottom"/>
            <w:shd w:val="clear" w:color="auto" w:fill="E7F2F9"/>
          </w:tcPr>
          <w:p>
            <w:pPr>
              <w:jc w:val="right"/>
              <w:ind w:right="746"/>
              <w:spacing w:after="0"/>
              <w:rPr>
                <w:sz w:val="20"/>
                <w:szCs w:val="20"/>
                <w:color w:val="auto"/>
              </w:rPr>
            </w:pPr>
            <w:r>
              <w:rPr>
                <w:rFonts w:ascii="Arial" w:cs="Arial" w:eastAsia="Arial" w:hAnsi="Arial"/>
                <w:sz w:val="16"/>
                <w:szCs w:val="16"/>
                <w:color w:val="1383C6"/>
                <w:w w:val="89"/>
              </w:rPr>
              <w:t>$</w:t>
            </w: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98"/>
              </w:rPr>
              <w:t>14,150</w:t>
            </w:r>
          </w:p>
        </w:tc>
        <w:tc>
          <w:tcPr>
            <w:tcW w:w="1020" w:type="dxa"/>
            <w:vAlign w:val="bottom"/>
            <w:gridSpan w:val="2"/>
          </w:tcPr>
          <w:p>
            <w:pPr>
              <w:jc w:val="right"/>
              <w:ind w:right="75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14,678</w:t>
            </w:r>
          </w:p>
        </w:tc>
        <w:tc>
          <w:tcPr>
            <w:tcW w:w="80" w:type="dxa"/>
            <w:vAlign w:val="bottom"/>
          </w:tcPr>
          <w:p>
            <w:pPr>
              <w:spacing w:after="0"/>
              <w:rPr>
                <w:sz w:val="19"/>
                <w:szCs w:val="19"/>
                <w:color w:val="auto"/>
              </w:rPr>
            </w:pPr>
          </w:p>
        </w:tc>
        <w:tc>
          <w:tcPr>
            <w:tcW w:w="36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25,166</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33,703</w:t>
            </w:r>
          </w:p>
        </w:tc>
      </w:tr>
      <w:tr>
        <w:trPr>
          <w:trHeight w:val="242"/>
        </w:trPr>
        <w:tc>
          <w:tcPr>
            <w:tcW w:w="5020" w:type="dxa"/>
            <w:vAlign w:val="bottom"/>
          </w:tcPr>
          <w:p>
            <w:pPr>
              <w:spacing w:after="0"/>
              <w:rPr>
                <w:sz w:val="20"/>
                <w:szCs w:val="20"/>
                <w:color w:val="auto"/>
              </w:rPr>
            </w:pPr>
            <w:r>
              <w:rPr>
                <w:rFonts w:ascii="Arial" w:cs="Arial" w:eastAsia="Arial" w:hAnsi="Arial"/>
                <w:sz w:val="16"/>
                <w:szCs w:val="16"/>
                <w:color w:val="auto"/>
              </w:rPr>
              <w:t>Consumable revenue</w:t>
            </w:r>
          </w:p>
        </w:tc>
        <w:tc>
          <w:tcPr>
            <w:tcW w:w="920" w:type="dxa"/>
            <w:vAlign w:val="bottom"/>
            <w:tcBorders>
              <w:bottom w:val="single" w:sz="8" w:color="auto"/>
            </w:tcBorders>
            <w:shd w:val="clear" w:color="auto" w:fill="E7F2F9"/>
          </w:tcPr>
          <w:p>
            <w:pPr>
              <w:spacing w:after="0"/>
              <w:rPr>
                <w:sz w:val="21"/>
                <w:szCs w:val="21"/>
                <w:color w:val="auto"/>
              </w:rPr>
            </w:pPr>
          </w:p>
        </w:tc>
        <w:tc>
          <w:tcPr>
            <w:tcW w:w="5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w w:val="98"/>
              </w:rPr>
              <w:t>18,933</w:t>
            </w: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17,068</w:t>
            </w:r>
          </w:p>
        </w:tc>
        <w:tc>
          <w:tcPr>
            <w:tcW w:w="80" w:type="dxa"/>
            <w:vAlign w:val="bottom"/>
          </w:tcPr>
          <w:p>
            <w:pPr>
              <w:spacing w:after="0"/>
              <w:rPr>
                <w:sz w:val="21"/>
                <w:szCs w:val="21"/>
                <w:color w:val="auto"/>
              </w:rPr>
            </w:pPr>
          </w:p>
        </w:tc>
        <w:tc>
          <w:tcPr>
            <w:tcW w:w="360" w:type="dxa"/>
            <w:vAlign w:val="bottom"/>
            <w:tcBorders>
              <w:bottom w:val="single" w:sz="8" w:color="auto"/>
            </w:tcBorders>
            <w:shd w:val="clear" w:color="auto" w:fill="E7F2F9"/>
          </w:tcPr>
          <w:p>
            <w:pPr>
              <w:spacing w:after="0"/>
              <w:rPr>
                <w:sz w:val="21"/>
                <w:szCs w:val="21"/>
                <w:color w:val="auto"/>
              </w:rPr>
            </w:pPr>
          </w:p>
        </w:tc>
        <w:tc>
          <w:tcPr>
            <w:tcW w:w="1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39,030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33,052</w:t>
            </w:r>
          </w:p>
        </w:tc>
      </w:tr>
      <w:tr>
        <w:trPr>
          <w:trHeight w:val="219"/>
        </w:trPr>
        <w:tc>
          <w:tcPr>
            <w:tcW w:w="5020" w:type="dxa"/>
            <w:vAlign w:val="bottom"/>
          </w:tcPr>
          <w:p>
            <w:pPr>
              <w:ind w:left="80"/>
              <w:spacing w:after="0"/>
              <w:rPr>
                <w:sz w:val="20"/>
                <w:szCs w:val="20"/>
                <w:color w:val="auto"/>
              </w:rPr>
            </w:pPr>
            <w:r>
              <w:rPr>
                <w:rFonts w:ascii="Arial" w:cs="Arial" w:eastAsia="Arial" w:hAnsi="Arial"/>
                <w:sz w:val="16"/>
                <w:szCs w:val="16"/>
                <w:color w:val="auto"/>
              </w:rPr>
              <w:t>Product revenue</w:t>
            </w:r>
          </w:p>
        </w:tc>
        <w:tc>
          <w:tcPr>
            <w:tcW w:w="920" w:type="dxa"/>
            <w:vAlign w:val="bottom"/>
            <w:shd w:val="clear" w:color="auto" w:fill="E7F2F9"/>
          </w:tcPr>
          <w:p>
            <w:pPr>
              <w:spacing w:after="0"/>
              <w:rPr>
                <w:sz w:val="19"/>
                <w:szCs w:val="19"/>
                <w:color w:val="auto"/>
              </w:rPr>
            </w:pP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98"/>
              </w:rPr>
              <w:t>33,083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31,746</w:t>
            </w:r>
          </w:p>
        </w:tc>
        <w:tc>
          <w:tcPr>
            <w:tcW w:w="80" w:type="dxa"/>
            <w:vAlign w:val="bottom"/>
          </w:tcPr>
          <w:p>
            <w:pPr>
              <w:spacing w:after="0"/>
              <w:rPr>
                <w:sz w:val="19"/>
                <w:szCs w:val="19"/>
                <w:color w:val="auto"/>
              </w:rPr>
            </w:pPr>
          </w:p>
        </w:tc>
        <w:tc>
          <w:tcPr>
            <w:tcW w:w="360" w:type="dxa"/>
            <w:vAlign w:val="bottom"/>
            <w:shd w:val="clear" w:color="auto" w:fill="E7F2F9"/>
          </w:tcPr>
          <w:p>
            <w:pPr>
              <w:spacing w:after="0"/>
              <w:rPr>
                <w:sz w:val="19"/>
                <w:szCs w:val="19"/>
                <w:color w:val="auto"/>
              </w:rPr>
            </w:pP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64,196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66,755</w:t>
            </w:r>
          </w:p>
        </w:tc>
      </w:tr>
      <w:tr>
        <w:trPr>
          <w:trHeight w:val="242"/>
        </w:trPr>
        <w:tc>
          <w:tcPr>
            <w:tcW w:w="5020" w:type="dxa"/>
            <w:vAlign w:val="bottom"/>
          </w:tcPr>
          <w:p>
            <w:pPr>
              <w:spacing w:after="0"/>
              <w:rPr>
                <w:sz w:val="20"/>
                <w:szCs w:val="20"/>
                <w:color w:val="auto"/>
              </w:rPr>
            </w:pPr>
            <w:r>
              <w:rPr>
                <w:rFonts w:ascii="Arial" w:cs="Arial" w:eastAsia="Arial" w:hAnsi="Arial"/>
                <w:sz w:val="16"/>
                <w:szCs w:val="16"/>
                <w:color w:val="auto"/>
              </w:rPr>
              <w:t>Service and other revenue</w:t>
            </w:r>
          </w:p>
        </w:tc>
        <w:tc>
          <w:tcPr>
            <w:tcW w:w="920" w:type="dxa"/>
            <w:vAlign w:val="bottom"/>
            <w:tcBorders>
              <w:bottom w:val="single" w:sz="8" w:color="auto"/>
            </w:tcBorders>
            <w:shd w:val="clear" w:color="auto" w:fill="E7F2F9"/>
          </w:tcPr>
          <w:p>
            <w:pPr>
              <w:spacing w:after="0"/>
              <w:rPr>
                <w:sz w:val="21"/>
                <w:szCs w:val="21"/>
                <w:color w:val="auto"/>
              </w:rPr>
            </w:pPr>
          </w:p>
        </w:tc>
        <w:tc>
          <w:tcPr>
            <w:tcW w:w="5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6,683</w:t>
            </w: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4,267</w:t>
            </w:r>
          </w:p>
        </w:tc>
        <w:tc>
          <w:tcPr>
            <w:tcW w:w="80" w:type="dxa"/>
            <w:vAlign w:val="bottom"/>
          </w:tcPr>
          <w:p>
            <w:pPr>
              <w:spacing w:after="0"/>
              <w:rPr>
                <w:sz w:val="21"/>
                <w:szCs w:val="21"/>
                <w:color w:val="auto"/>
              </w:rPr>
            </w:pPr>
          </w:p>
        </w:tc>
        <w:tc>
          <w:tcPr>
            <w:tcW w:w="360" w:type="dxa"/>
            <w:vAlign w:val="bottom"/>
            <w:tcBorders>
              <w:bottom w:val="single" w:sz="8" w:color="auto"/>
            </w:tcBorders>
            <w:shd w:val="clear" w:color="auto" w:fill="E7F2F9"/>
          </w:tcPr>
          <w:p>
            <w:pPr>
              <w:spacing w:after="0"/>
              <w:rPr>
                <w:sz w:val="21"/>
                <w:szCs w:val="21"/>
                <w:color w:val="auto"/>
              </w:rPr>
            </w:pPr>
          </w:p>
        </w:tc>
        <w:tc>
          <w:tcPr>
            <w:tcW w:w="1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12,723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w:t>
            </w:r>
          </w:p>
        </w:tc>
      </w:tr>
      <w:tr>
        <w:trPr>
          <w:trHeight w:val="247"/>
        </w:trPr>
        <w:tc>
          <w:tcPr>
            <w:tcW w:w="502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920" w:type="dxa"/>
            <w:vAlign w:val="bottom"/>
            <w:shd w:val="clear" w:color="auto" w:fill="E7F2F9"/>
          </w:tcPr>
          <w:p>
            <w:pPr>
              <w:jc w:val="right"/>
              <w:ind w:right="746"/>
              <w:spacing w:after="0"/>
              <w:rPr>
                <w:sz w:val="20"/>
                <w:szCs w:val="20"/>
                <w:color w:val="auto"/>
              </w:rPr>
            </w:pPr>
            <w:r>
              <w:rPr>
                <w:rFonts w:ascii="Arial" w:cs="Arial" w:eastAsia="Arial" w:hAnsi="Arial"/>
                <w:sz w:val="16"/>
                <w:szCs w:val="16"/>
                <w:color w:val="1383C6"/>
                <w:w w:val="89"/>
              </w:rPr>
              <w:t>$</w:t>
            </w:r>
          </w:p>
        </w:tc>
        <w:tc>
          <w:tcPr>
            <w:tcW w:w="560" w:type="dxa"/>
            <w:vAlign w:val="bottom"/>
            <w:shd w:val="clear" w:color="auto" w:fill="E7F2F9"/>
          </w:tcPr>
          <w:p>
            <w:pPr>
              <w:jc w:val="right"/>
              <w:spacing w:after="0"/>
              <w:rPr>
                <w:sz w:val="20"/>
                <w:szCs w:val="20"/>
                <w:color w:val="auto"/>
              </w:rPr>
            </w:pPr>
            <w:r>
              <w:rPr>
                <w:rFonts w:ascii="Arial" w:cs="Arial" w:eastAsia="Arial" w:hAnsi="Arial"/>
                <w:sz w:val="16"/>
                <w:szCs w:val="16"/>
                <w:color w:val="1383C6"/>
                <w:w w:val="98"/>
              </w:rPr>
              <w:t>39,766</w:t>
            </w:r>
          </w:p>
        </w:tc>
        <w:tc>
          <w:tcPr>
            <w:tcW w:w="1020" w:type="dxa"/>
            <w:vAlign w:val="bottom"/>
            <w:gridSpan w:val="2"/>
          </w:tcPr>
          <w:p>
            <w:pPr>
              <w:jc w:val="right"/>
              <w:ind w:right="75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36,013</w:t>
            </w:r>
          </w:p>
        </w:tc>
        <w:tc>
          <w:tcPr>
            <w:tcW w:w="80" w:type="dxa"/>
            <w:vAlign w:val="bottom"/>
          </w:tcPr>
          <w:p>
            <w:pPr>
              <w:spacing w:after="0"/>
              <w:rPr>
                <w:sz w:val="21"/>
                <w:szCs w:val="21"/>
                <w:color w:val="auto"/>
              </w:rPr>
            </w:pPr>
          </w:p>
        </w:tc>
        <w:tc>
          <w:tcPr>
            <w:tcW w:w="36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76,919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74,823</w:t>
            </w:r>
          </w:p>
        </w:tc>
      </w:tr>
      <w:tr>
        <w:trPr>
          <w:trHeight w:val="20"/>
        </w:trPr>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137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531495</wp:posOffset>
            </wp:positionV>
            <wp:extent cx="7137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80" w:right="1140" w:hanging="858"/>
        <w:spacing w:after="0" w:line="290" w:lineRule="auto"/>
        <w:rPr>
          <w:sz w:val="20"/>
          <w:szCs w:val="20"/>
          <w:color w:val="auto"/>
        </w:rPr>
      </w:pPr>
      <w:r>
        <w:rPr>
          <w:rFonts w:ascii="Arial" w:cs="Arial" w:eastAsia="Arial" w:hAnsi="Arial"/>
          <w:sz w:val="21"/>
          <w:szCs w:val="21"/>
          <w:b w:val="1"/>
          <w:bCs w:val="1"/>
          <w:color w:val="DF1995"/>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37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(i) our unaudited condensed consolidated financial statements and related notes that are included elsewhere in this Quarterly Report on Form 10-Q and (ii) our 2024 Annual Report filed with the U.S. Securities and Exchange Commission, or the SEC, on March 17, 2025.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Management's Discussion and Analysis ("MD&amp;A"), we presume that readers have access to and have read the MD&amp;A in our 2024 Annual Report on Form 10-K, pursuant to Instruction 2 to paragraph (b) of Item 303 of Regulation S-K.</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MD&amp;A is organized into the following sections:</w:t>
      </w:r>
    </w:p>
    <w:p>
      <w:pPr>
        <w:spacing w:after="0" w:line="117" w:lineRule="exact"/>
        <w:rPr>
          <w:sz w:val="20"/>
          <w:szCs w:val="20"/>
          <w:color w:val="auto"/>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Overview and Outlook</w:t>
      </w:r>
    </w:p>
    <w:p>
      <w:pPr>
        <w:spacing w:after="0" w:line="6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Results of Operations</w:t>
      </w:r>
    </w:p>
    <w:p>
      <w:pPr>
        <w:spacing w:after="0" w:line="6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Liquidity and Capital Resources</w:t>
      </w:r>
    </w:p>
    <w:p>
      <w:pPr>
        <w:spacing w:after="0" w:line="6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Critical Accounting Policies and Estimates</w:t>
      </w:r>
    </w:p>
    <w:p>
      <w:pPr>
        <w:spacing w:after="0" w:line="6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Recent Accounting Pronouncements</w:t>
      </w:r>
    </w:p>
    <w:p>
      <w:pPr>
        <w:spacing w:after="0" w:line="6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6"/>
        </w:numPr>
        <w:rPr>
          <w:rFonts w:ascii="Arial" w:cs="Arial" w:eastAsia="Arial" w:hAnsi="Arial"/>
          <w:sz w:val="17"/>
          <w:szCs w:val="17"/>
          <w:b w:val="1"/>
          <w:bCs w:val="1"/>
          <w:color w:val="DF1995"/>
        </w:rPr>
      </w:pPr>
      <w:r>
        <w:rPr>
          <w:rFonts w:ascii="Arial" w:cs="Arial" w:eastAsia="Arial" w:hAnsi="Arial"/>
          <w:sz w:val="17"/>
          <w:szCs w:val="17"/>
          <w:color w:val="auto"/>
        </w:rPr>
        <w:t>Off 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7137400" cy="2476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OVERVIEW AND OUTLOOK</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About PacBio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products and technology, which include our HiFi long-read sequencing technology, address solutions across a broad set of applications including human germline sequencing, plant and animal sciences, infectious disease and microbiology, oncology, and other emerging applications. Long-read sequencing was recognized by the journal Nature Methods as its “method of the year” for 2022 for its contributions to biological understanding and future potential. Long-read sequencing has been applied to produce telomere-to-telomere genomes of humans, pangenome references, and has been recognized for its ability to provide more complete views of human variation.</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focus on creating some of the world’s most advanced sequencing systems to provide our customers with the most complete and accurate view of genomes, transcriptomes, and epigenomes.</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137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Our 2025 strategic objectives are to grow revenue and expand gross margins through the following four activities:</w:t>
      </w:r>
    </w:p>
    <w:p>
      <w:pPr>
        <w:spacing w:after="0" w:line="167" w:lineRule="exact"/>
        <w:rPr>
          <w:sz w:val="20"/>
          <w:szCs w:val="20"/>
          <w:color w:val="auto"/>
        </w:rPr>
      </w:pPr>
    </w:p>
    <w:p>
      <w:pPr>
        <w:ind w:left="620" w:hanging="304"/>
        <w:spacing w:after="0" w:line="299" w:lineRule="auto"/>
        <w:tabs>
          <w:tab w:leader="none" w:pos="615" w:val="left"/>
        </w:tabs>
        <w:numPr>
          <w:ilvl w:val="0"/>
          <w:numId w:val="7"/>
        </w:numPr>
        <w:rPr>
          <w:rFonts w:ascii="Arial" w:cs="Arial" w:eastAsia="Arial" w:hAnsi="Arial"/>
          <w:sz w:val="17"/>
          <w:szCs w:val="17"/>
          <w:b w:val="1"/>
          <w:bCs w:val="1"/>
          <w:color w:val="DF1995"/>
        </w:rPr>
      </w:pPr>
      <w:r>
        <w:rPr>
          <w:rFonts w:ascii="Arial" w:cs="Arial" w:eastAsia="Arial" w:hAnsi="Arial"/>
          <w:sz w:val="17"/>
          <w:szCs w:val="17"/>
          <w:b w:val="1"/>
          <w:bCs w:val="1"/>
          <w:color w:val="DF1995"/>
        </w:rPr>
        <w:t xml:space="preserve">Enabling the full-scale release of the Vega benchtop platform to broaden our market reach. </w:t>
      </w:r>
      <w:r>
        <w:rPr>
          <w:rFonts w:ascii="Arial" w:cs="Arial" w:eastAsia="Arial" w:hAnsi="Arial"/>
          <w:sz w:val="17"/>
          <w:szCs w:val="17"/>
          <w:color w:val="000000"/>
        </w:rPr>
        <w:t>We believe this platform broadens the</w:t>
      </w:r>
      <w:r>
        <w:rPr>
          <w:rFonts w:ascii="Arial" w:cs="Arial" w:eastAsia="Arial" w:hAnsi="Arial"/>
          <w:sz w:val="17"/>
          <w:szCs w:val="17"/>
          <w:b w:val="1"/>
          <w:bCs w:val="1"/>
          <w:color w:val="DF1995"/>
        </w:rPr>
        <w:t xml:space="preserve"> </w:t>
      </w:r>
      <w:r>
        <w:rPr>
          <w:rFonts w:ascii="Arial" w:cs="Arial" w:eastAsia="Arial" w:hAnsi="Arial"/>
          <w:sz w:val="17"/>
          <w:szCs w:val="17"/>
          <w:color w:val="000000"/>
        </w:rPr>
        <w:t>long-read market opportunity.</w:t>
      </w:r>
    </w:p>
    <w:p>
      <w:pPr>
        <w:spacing w:after="0" w:line="72" w:lineRule="exact"/>
        <w:rPr>
          <w:rFonts w:ascii="Arial" w:cs="Arial" w:eastAsia="Arial" w:hAnsi="Arial"/>
          <w:sz w:val="17"/>
          <w:szCs w:val="17"/>
          <w:b w:val="1"/>
          <w:bCs w:val="1"/>
          <w:color w:val="DF1995"/>
        </w:rPr>
      </w:pPr>
    </w:p>
    <w:p>
      <w:pPr>
        <w:jc w:val="both"/>
        <w:ind w:left="620" w:hanging="304"/>
        <w:spacing w:after="0" w:line="301" w:lineRule="auto"/>
        <w:tabs>
          <w:tab w:leader="none" w:pos="615" w:val="left"/>
        </w:tabs>
        <w:numPr>
          <w:ilvl w:val="0"/>
          <w:numId w:val="7"/>
        </w:numPr>
        <w:rPr>
          <w:rFonts w:ascii="Arial" w:cs="Arial" w:eastAsia="Arial" w:hAnsi="Arial"/>
          <w:sz w:val="17"/>
          <w:szCs w:val="17"/>
          <w:b w:val="1"/>
          <w:bCs w:val="1"/>
          <w:color w:val="DF1995"/>
        </w:rPr>
      </w:pPr>
      <w:r>
        <w:rPr>
          <w:rFonts w:ascii="Arial" w:cs="Arial" w:eastAsia="Arial" w:hAnsi="Arial"/>
          <w:sz w:val="17"/>
          <w:szCs w:val="17"/>
          <w:b w:val="1"/>
          <w:bCs w:val="1"/>
          <w:color w:val="DF1995"/>
        </w:rPr>
        <w:t xml:space="preserve">Accelerating samples onto the Revio platform via SPRQ chemistry and application kits. </w:t>
      </w:r>
      <w:r>
        <w:rPr>
          <w:rFonts w:ascii="Arial" w:cs="Arial" w:eastAsia="Arial" w:hAnsi="Arial"/>
          <w:sz w:val="17"/>
          <w:szCs w:val="17"/>
          <w:color w:val="000000"/>
        </w:rPr>
        <w:t>The SPRQ chemistry enables the sub-$500</w:t>
      </w:r>
      <w:r>
        <w:rPr>
          <w:rFonts w:ascii="Arial" w:cs="Arial" w:eastAsia="Arial" w:hAnsi="Arial"/>
          <w:sz w:val="17"/>
          <w:szCs w:val="17"/>
          <w:b w:val="1"/>
          <w:bCs w:val="1"/>
          <w:color w:val="DF1995"/>
        </w:rPr>
        <w:t xml:space="preserve"> </w:t>
      </w:r>
      <w:r>
        <w:rPr>
          <w:rFonts w:ascii="Arial" w:cs="Arial" w:eastAsia="Arial" w:hAnsi="Arial"/>
          <w:sz w:val="17"/>
          <w:szCs w:val="17"/>
          <w:color w:val="000000"/>
        </w:rPr>
        <w:t>HiFi genome, improves methylation detection capabilities, and achieves a 75% reduction in DNA input requirements for human whole genome sequencing. These features can drive more samples onto HiFi sequencing than ever before.</w:t>
      </w:r>
    </w:p>
    <w:p>
      <w:pPr>
        <w:spacing w:after="0" w:line="32" w:lineRule="exact"/>
        <w:rPr>
          <w:rFonts w:ascii="Arial" w:cs="Arial" w:eastAsia="Arial" w:hAnsi="Arial"/>
          <w:sz w:val="17"/>
          <w:szCs w:val="17"/>
          <w:b w:val="1"/>
          <w:bCs w:val="1"/>
          <w:color w:val="DF1995"/>
        </w:rPr>
      </w:pPr>
    </w:p>
    <w:p>
      <w:pPr>
        <w:jc w:val="both"/>
        <w:ind w:left="620" w:hanging="304"/>
        <w:spacing w:after="0" w:line="270" w:lineRule="auto"/>
        <w:tabs>
          <w:tab w:leader="none" w:pos="615" w:val="left"/>
        </w:tabs>
        <w:numPr>
          <w:ilvl w:val="0"/>
          <w:numId w:val="7"/>
        </w:numPr>
        <w:rPr>
          <w:rFonts w:ascii="Arial" w:cs="Arial" w:eastAsia="Arial" w:hAnsi="Arial"/>
          <w:sz w:val="17"/>
          <w:szCs w:val="17"/>
          <w:b w:val="1"/>
          <w:bCs w:val="1"/>
          <w:color w:val="DF1995"/>
        </w:rPr>
      </w:pPr>
      <w:r>
        <w:rPr>
          <w:rFonts w:ascii="Arial" w:cs="Arial" w:eastAsia="Arial" w:hAnsi="Arial"/>
          <w:sz w:val="17"/>
          <w:szCs w:val="17"/>
          <w:b w:val="1"/>
          <w:bCs w:val="1"/>
          <w:color w:val="DF1995"/>
        </w:rPr>
        <w:t xml:space="preserve">Investing in future product launches to diversify our offerings. </w:t>
      </w:r>
      <w:r>
        <w:rPr>
          <w:rFonts w:ascii="Arial" w:cs="Arial" w:eastAsia="Arial" w:hAnsi="Arial"/>
          <w:sz w:val="17"/>
          <w:szCs w:val="17"/>
          <w:color w:val="000000"/>
        </w:rPr>
        <w:t>We continue to develop sequencing systems designed to increase</w:t>
      </w:r>
      <w:r>
        <w:rPr>
          <w:rFonts w:ascii="Arial" w:cs="Arial" w:eastAsia="Arial" w:hAnsi="Arial"/>
          <w:sz w:val="17"/>
          <w:szCs w:val="17"/>
          <w:b w:val="1"/>
          <w:bCs w:val="1"/>
          <w:color w:val="DF1995"/>
        </w:rPr>
        <w:t xml:space="preserve"> </w:t>
      </w:r>
      <w:r>
        <w:rPr>
          <w:rFonts w:ascii="Arial" w:cs="Arial" w:eastAsia="Arial" w:hAnsi="Arial"/>
          <w:sz w:val="17"/>
          <w:szCs w:val="17"/>
          <w:color w:val="000000"/>
        </w:rPr>
        <w:t>throughput and lower the cost to sequence a genome, which we believe will allow us to address an even larger part of the market. Additionally, we continue to develop kitted-solutions, like our Kinnex Full-length RNA kits and PureTarget, and enhance our on-market sequencers with products like SPRQ chemistry to drive more sequencing volume.</w:t>
      </w:r>
    </w:p>
    <w:p>
      <w:pPr>
        <w:spacing w:after="0" w:line="57" w:lineRule="exact"/>
        <w:rPr>
          <w:rFonts w:ascii="Arial" w:cs="Arial" w:eastAsia="Arial" w:hAnsi="Arial"/>
          <w:sz w:val="17"/>
          <w:szCs w:val="17"/>
          <w:b w:val="1"/>
          <w:bCs w:val="1"/>
          <w:color w:val="DF1995"/>
        </w:rPr>
      </w:pPr>
    </w:p>
    <w:p>
      <w:pPr>
        <w:ind w:left="620" w:hanging="304"/>
        <w:spacing w:after="0" w:line="299" w:lineRule="auto"/>
        <w:tabs>
          <w:tab w:leader="none" w:pos="615" w:val="left"/>
        </w:tabs>
        <w:numPr>
          <w:ilvl w:val="0"/>
          <w:numId w:val="7"/>
        </w:numPr>
        <w:rPr>
          <w:rFonts w:ascii="Arial" w:cs="Arial" w:eastAsia="Arial" w:hAnsi="Arial"/>
          <w:sz w:val="17"/>
          <w:szCs w:val="17"/>
          <w:b w:val="1"/>
          <w:bCs w:val="1"/>
          <w:color w:val="DF1995"/>
        </w:rPr>
      </w:pPr>
      <w:r>
        <w:rPr>
          <w:rFonts w:ascii="Arial" w:cs="Arial" w:eastAsia="Arial" w:hAnsi="Arial"/>
          <w:sz w:val="17"/>
          <w:szCs w:val="17"/>
          <w:b w:val="1"/>
          <w:bCs w:val="1"/>
          <w:color w:val="DF1995"/>
        </w:rPr>
        <w:t xml:space="preserve">Progressing our clinical strategy to improve outcomes and create durability. </w:t>
      </w:r>
      <w:r>
        <w:rPr>
          <w:rFonts w:ascii="Arial" w:cs="Arial" w:eastAsia="Arial" w:hAnsi="Arial"/>
          <w:sz w:val="17"/>
          <w:szCs w:val="17"/>
          <w:color w:val="000000"/>
        </w:rPr>
        <w:t>Revio is increasingly being used in laboratory</w:t>
      </w:r>
      <w:r>
        <w:rPr>
          <w:rFonts w:ascii="Arial" w:cs="Arial" w:eastAsia="Arial" w:hAnsi="Arial"/>
          <w:sz w:val="17"/>
          <w:szCs w:val="17"/>
          <w:b w:val="1"/>
          <w:bCs w:val="1"/>
          <w:color w:val="DF1995"/>
        </w:rPr>
        <w:t xml:space="preserve"> </w:t>
      </w:r>
      <w:r>
        <w:rPr>
          <w:rFonts w:ascii="Arial" w:cs="Arial" w:eastAsia="Arial" w:hAnsi="Arial"/>
          <w:sz w:val="17"/>
          <w:szCs w:val="17"/>
          <w:color w:val="000000"/>
        </w:rPr>
        <w:t>developed tests ("LDT") and clinical research settings to consolidate multiple tests and address complex genetic challenges.</w:t>
      </w:r>
    </w:p>
    <w:p>
      <w:pPr>
        <w:spacing w:after="0" w:line="3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continue to believe that with the capabilities of our HiFi chemistry and SMRT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ectPr>
          <w:pgSz w:w="11900" w:h="16838" w:orient="portrait"/>
          <w:cols w:equalWidth="0" w:num="1">
            <w:col w:w="11240"/>
          </w:cols>
          <w:pgMar w:left="320" w:top="122"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53695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6956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six months ended June 30, 2025 consolidated financial results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101600</wp:posOffset>
            </wp:positionV>
            <wp:extent cx="5253990" cy="900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53990" cy="900430"/>
                    </a:xfrm>
                    <a:prstGeom prst="rect">
                      <a:avLst/>
                    </a:prstGeom>
                    <a:noFill/>
                  </pic:spPr>
                </pic:pic>
              </a:graphicData>
            </a:graphic>
          </wp:anchor>
        </w:drawing>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1840" w:type="dxa"/>
            <w:vAlign w:val="bottom"/>
          </w:tcPr>
          <w:p>
            <w:pPr>
              <w:spacing w:after="0"/>
              <w:rPr>
                <w:sz w:val="20"/>
                <w:szCs w:val="20"/>
                <w:color w:val="auto"/>
              </w:rPr>
            </w:pPr>
            <w:r>
              <w:rPr>
                <w:rFonts w:ascii="Arial" w:cs="Arial" w:eastAsia="Arial" w:hAnsi="Arial"/>
                <w:sz w:val="17"/>
                <w:szCs w:val="17"/>
                <w:color w:val="FFFFFF"/>
              </w:rPr>
              <w:t>Revenue of</w:t>
            </w:r>
          </w:p>
        </w:tc>
        <w:tc>
          <w:tcPr>
            <w:tcW w:w="2900" w:type="dxa"/>
            <w:vAlign w:val="bottom"/>
          </w:tcPr>
          <w:p>
            <w:pPr>
              <w:ind w:left="940"/>
              <w:spacing w:after="0"/>
              <w:rPr>
                <w:sz w:val="20"/>
                <w:szCs w:val="20"/>
                <w:color w:val="auto"/>
              </w:rPr>
            </w:pPr>
            <w:r>
              <w:rPr>
                <w:rFonts w:ascii="Arial" w:cs="Arial" w:eastAsia="Arial" w:hAnsi="Arial"/>
                <w:sz w:val="17"/>
                <w:szCs w:val="17"/>
                <w:color w:val="FFFFFF"/>
              </w:rPr>
              <w:t>Gross profit of</w:t>
            </w:r>
          </w:p>
        </w:tc>
        <w:tc>
          <w:tcPr>
            <w:tcW w:w="2180" w:type="dxa"/>
            <w:vAlign w:val="bottom"/>
          </w:tcPr>
          <w:p>
            <w:pPr>
              <w:ind w:left="880"/>
              <w:spacing w:after="0"/>
              <w:rPr>
                <w:sz w:val="20"/>
                <w:szCs w:val="20"/>
                <w:color w:val="auto"/>
              </w:rPr>
            </w:pPr>
            <w:r>
              <w:rPr>
                <w:rFonts w:ascii="Arial" w:cs="Arial" w:eastAsia="Arial" w:hAnsi="Arial"/>
                <w:sz w:val="17"/>
                <w:szCs w:val="17"/>
                <w:color w:val="FFFFFF"/>
                <w:w w:val="99"/>
              </w:rPr>
              <w:t>Operating loss of</w:t>
            </w:r>
          </w:p>
        </w:tc>
      </w:tr>
    </w:tbl>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431"/>
        </w:trPr>
        <w:tc>
          <w:tcPr>
            <w:tcW w:w="2620" w:type="dxa"/>
            <w:vAlign w:val="bottom"/>
            <w:tcBorders>
              <w:bottom w:val="single" w:sz="8" w:color="009CA2"/>
            </w:tcBorders>
          </w:tcPr>
          <w:p>
            <w:pPr>
              <w:ind w:left="40"/>
              <w:spacing w:after="0"/>
              <w:rPr>
                <w:sz w:val="20"/>
                <w:szCs w:val="20"/>
                <w:color w:val="auto"/>
              </w:rPr>
            </w:pPr>
            <w:r>
              <w:rPr>
                <w:rFonts w:ascii="Arial" w:cs="Arial" w:eastAsia="Arial" w:hAnsi="Arial"/>
                <w:sz w:val="31"/>
                <w:szCs w:val="31"/>
                <w:b w:val="1"/>
                <w:bCs w:val="1"/>
                <w:color w:val="FFFFFF"/>
              </w:rPr>
              <w:t>$76.9 M</w:t>
            </w:r>
          </w:p>
        </w:tc>
        <w:tc>
          <w:tcPr>
            <w:tcW w:w="180" w:type="dxa"/>
            <w:vAlign w:val="bottom"/>
          </w:tcPr>
          <w:p>
            <w:pPr>
              <w:spacing w:after="0"/>
              <w:rPr>
                <w:sz w:val="24"/>
                <w:szCs w:val="24"/>
                <w:color w:val="auto"/>
              </w:rPr>
            </w:pPr>
          </w:p>
        </w:tc>
        <w:tc>
          <w:tcPr>
            <w:tcW w:w="2660" w:type="dxa"/>
            <w:vAlign w:val="bottom"/>
            <w:tcBorders>
              <w:bottom w:val="single" w:sz="8" w:color="009CA2"/>
            </w:tcBorders>
          </w:tcPr>
          <w:p>
            <w:pPr>
              <w:ind w:left="20"/>
              <w:spacing w:after="0"/>
              <w:rPr>
                <w:sz w:val="20"/>
                <w:szCs w:val="20"/>
                <w:color w:val="auto"/>
              </w:rPr>
            </w:pPr>
            <w:r>
              <w:rPr>
                <w:rFonts w:ascii="Arial" w:cs="Arial" w:eastAsia="Arial" w:hAnsi="Arial"/>
                <w:sz w:val="31"/>
                <w:szCs w:val="31"/>
                <w:b w:val="1"/>
                <w:bCs w:val="1"/>
                <w:color w:val="FFFFFF"/>
              </w:rPr>
              <w:t>$13.3 M</w:t>
            </w:r>
          </w:p>
        </w:tc>
        <w:tc>
          <w:tcPr>
            <w:tcW w:w="160" w:type="dxa"/>
            <w:vAlign w:val="bottom"/>
          </w:tcPr>
          <w:p>
            <w:pPr>
              <w:spacing w:after="0"/>
              <w:rPr>
                <w:sz w:val="24"/>
                <w:szCs w:val="24"/>
                <w:color w:val="auto"/>
              </w:rPr>
            </w:pPr>
          </w:p>
        </w:tc>
        <w:tc>
          <w:tcPr>
            <w:tcW w:w="2660" w:type="dxa"/>
            <w:vAlign w:val="bottom"/>
            <w:tcBorders>
              <w:bottom w:val="single" w:sz="8" w:color="009CA2"/>
            </w:tcBorders>
          </w:tcPr>
          <w:p>
            <w:pPr>
              <w:ind w:left="40"/>
              <w:spacing w:after="0"/>
              <w:rPr>
                <w:sz w:val="20"/>
                <w:szCs w:val="20"/>
                <w:color w:val="auto"/>
              </w:rPr>
            </w:pPr>
            <w:r>
              <w:rPr>
                <w:rFonts w:ascii="Arial" w:cs="Arial" w:eastAsia="Arial" w:hAnsi="Arial"/>
                <w:sz w:val="31"/>
                <w:szCs w:val="31"/>
                <w:b w:val="1"/>
                <w:bCs w:val="1"/>
                <w:color w:val="FFFFFF"/>
              </w:rPr>
              <w:t>$473.8 M</w:t>
            </w:r>
          </w:p>
        </w:tc>
      </w:tr>
      <w:tr>
        <w:trPr>
          <w:trHeight w:val="211"/>
        </w:trPr>
        <w:tc>
          <w:tcPr>
            <w:tcW w:w="2800" w:type="dxa"/>
            <w:vAlign w:val="bottom"/>
            <w:gridSpan w:val="2"/>
          </w:tcPr>
          <w:p>
            <w:pPr>
              <w:ind w:left="40"/>
              <w:spacing w:after="0"/>
              <w:rPr>
                <w:sz w:val="20"/>
                <w:szCs w:val="20"/>
                <w:color w:val="auto"/>
              </w:rPr>
            </w:pPr>
            <w:r>
              <w:rPr>
                <w:rFonts w:ascii="Arial" w:cs="Arial" w:eastAsia="Arial" w:hAnsi="Arial"/>
                <w:sz w:val="17"/>
                <w:szCs w:val="17"/>
                <w:color w:val="FFFFFF"/>
              </w:rPr>
              <w:t>compared to $74.8 M during the</w:t>
            </w:r>
          </w:p>
        </w:tc>
        <w:tc>
          <w:tcPr>
            <w:tcW w:w="2820" w:type="dxa"/>
            <w:vAlign w:val="bottom"/>
            <w:gridSpan w:val="2"/>
          </w:tcPr>
          <w:p>
            <w:pPr>
              <w:ind w:left="20"/>
              <w:spacing w:after="0"/>
              <w:rPr>
                <w:sz w:val="20"/>
                <w:szCs w:val="20"/>
                <w:color w:val="auto"/>
              </w:rPr>
            </w:pPr>
            <w:r>
              <w:rPr>
                <w:rFonts w:ascii="Arial" w:cs="Arial" w:eastAsia="Arial" w:hAnsi="Arial"/>
                <w:sz w:val="17"/>
                <w:szCs w:val="17"/>
                <w:color w:val="FFFFFF"/>
              </w:rPr>
              <w:t>compared to $17.2 M during the</w:t>
            </w:r>
          </w:p>
        </w:tc>
        <w:tc>
          <w:tcPr>
            <w:tcW w:w="2660" w:type="dxa"/>
            <w:vAlign w:val="bottom"/>
          </w:tcPr>
          <w:p>
            <w:pPr>
              <w:ind w:left="40"/>
              <w:spacing w:after="0"/>
              <w:rPr>
                <w:sz w:val="20"/>
                <w:szCs w:val="20"/>
                <w:color w:val="auto"/>
              </w:rPr>
            </w:pPr>
            <w:r>
              <w:rPr>
                <w:rFonts w:ascii="Arial" w:cs="Arial" w:eastAsia="Arial" w:hAnsi="Arial"/>
                <w:sz w:val="17"/>
                <w:szCs w:val="17"/>
                <w:color w:val="FFFFFF"/>
              </w:rPr>
              <w:t>compared to $257.2 M during the</w:t>
            </w:r>
          </w:p>
        </w:tc>
      </w:tr>
      <w:tr>
        <w:trPr>
          <w:trHeight w:val="229"/>
        </w:trPr>
        <w:tc>
          <w:tcPr>
            <w:tcW w:w="2800" w:type="dxa"/>
            <w:vAlign w:val="bottom"/>
            <w:gridSpan w:val="2"/>
          </w:tcPr>
          <w:p>
            <w:pPr>
              <w:ind w:left="40"/>
              <w:spacing w:after="0"/>
              <w:rPr>
                <w:sz w:val="20"/>
                <w:szCs w:val="20"/>
                <w:color w:val="auto"/>
              </w:rPr>
            </w:pPr>
            <w:r>
              <w:rPr>
                <w:rFonts w:ascii="Arial" w:cs="Arial" w:eastAsia="Arial" w:hAnsi="Arial"/>
                <w:sz w:val="17"/>
                <w:szCs w:val="17"/>
                <w:color w:val="FFFFFF"/>
              </w:rPr>
              <w:t>same period of 2024</w:t>
            </w:r>
          </w:p>
        </w:tc>
        <w:tc>
          <w:tcPr>
            <w:tcW w:w="2820" w:type="dxa"/>
            <w:vAlign w:val="bottom"/>
            <w:gridSpan w:val="2"/>
          </w:tcPr>
          <w:p>
            <w:pPr>
              <w:ind w:left="20"/>
              <w:spacing w:after="0"/>
              <w:rPr>
                <w:sz w:val="20"/>
                <w:szCs w:val="20"/>
                <w:color w:val="auto"/>
              </w:rPr>
            </w:pPr>
            <w:r>
              <w:rPr>
                <w:rFonts w:ascii="Arial" w:cs="Arial" w:eastAsia="Arial" w:hAnsi="Arial"/>
                <w:sz w:val="17"/>
                <w:szCs w:val="17"/>
                <w:color w:val="FFFFFF"/>
              </w:rPr>
              <w:t>same period of 2024</w:t>
            </w:r>
          </w:p>
        </w:tc>
        <w:tc>
          <w:tcPr>
            <w:tcW w:w="2660" w:type="dxa"/>
            <w:vAlign w:val="bottom"/>
          </w:tcPr>
          <w:p>
            <w:pPr>
              <w:ind w:left="40"/>
              <w:spacing w:after="0"/>
              <w:rPr>
                <w:sz w:val="20"/>
                <w:szCs w:val="20"/>
                <w:color w:val="auto"/>
              </w:rPr>
            </w:pPr>
            <w:r>
              <w:rPr>
                <w:rFonts w:ascii="Arial" w:cs="Arial" w:eastAsia="Arial" w:hAnsi="Arial"/>
                <w:sz w:val="17"/>
                <w:szCs w:val="17"/>
                <w:color w:val="FFFFFF"/>
              </w:rPr>
              <w:t>same period of 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00"/>
        <w:spacing w:after="0" w:line="288" w:lineRule="auto"/>
        <w:rPr>
          <w:sz w:val="20"/>
          <w:szCs w:val="20"/>
          <w:color w:val="auto"/>
        </w:rPr>
      </w:pPr>
      <w:r>
        <w:rPr>
          <w:rFonts w:ascii="Arial" w:cs="Arial" w:eastAsia="Arial" w:hAnsi="Arial"/>
          <w:sz w:val="17"/>
          <w:szCs w:val="17"/>
          <w:color w:val="FFFFFF"/>
        </w:rPr>
        <w:t>Cash, cash equivalents, and investments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-658495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-658495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-658495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-658495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-658495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-658495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-658495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-658495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93345</wp:posOffset>
            </wp:positionH>
            <wp:positionV relativeFrom="paragraph">
              <wp:posOffset>-658495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-658495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-658495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142875</wp:posOffset>
            </wp:positionH>
            <wp:positionV relativeFrom="paragraph">
              <wp:posOffset>-658495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-658495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-658495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-658495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-658495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-658495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-658495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258445</wp:posOffset>
            </wp:positionH>
            <wp:positionV relativeFrom="paragraph">
              <wp:posOffset>-658495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-658495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-658495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-658495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-658495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340995</wp:posOffset>
            </wp:positionH>
            <wp:positionV relativeFrom="paragraph">
              <wp:posOffset>-658495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-658495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-658495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-658495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-658495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-658495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-658495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-658495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-658495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-658495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-658495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-658495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539750</wp:posOffset>
            </wp:positionH>
            <wp:positionV relativeFrom="paragraph">
              <wp:posOffset>-658495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-658495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-658495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-658495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605790</wp:posOffset>
            </wp:positionH>
            <wp:positionV relativeFrom="paragraph">
              <wp:posOffset>-658495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-658495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-658495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-658495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-658495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-658495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-658495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-658495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-658495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-658495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770890</wp:posOffset>
            </wp:positionH>
            <wp:positionV relativeFrom="paragraph">
              <wp:posOffset>-658495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787400</wp:posOffset>
            </wp:positionH>
            <wp:positionV relativeFrom="paragraph">
              <wp:posOffset>-658495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-658495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-658495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-658495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-658495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-658495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-658495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902970</wp:posOffset>
            </wp:positionH>
            <wp:positionV relativeFrom="paragraph">
              <wp:posOffset>-658495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-658495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935990</wp:posOffset>
            </wp:positionH>
            <wp:positionV relativeFrom="paragraph">
              <wp:posOffset>-658495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-658495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969010</wp:posOffset>
            </wp:positionH>
            <wp:positionV relativeFrom="paragraph">
              <wp:posOffset>-658495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-658495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-658495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-658495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-658495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-658495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-658495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-658495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-658495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-658495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-658495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1150620</wp:posOffset>
            </wp:positionH>
            <wp:positionV relativeFrom="paragraph">
              <wp:posOffset>-658495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1167130</wp:posOffset>
            </wp:positionH>
            <wp:positionV relativeFrom="paragraph">
              <wp:posOffset>-658495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1183640</wp:posOffset>
            </wp:positionH>
            <wp:positionV relativeFrom="paragraph">
              <wp:posOffset>-658495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-658495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-658495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1233170</wp:posOffset>
            </wp:positionH>
            <wp:positionV relativeFrom="paragraph">
              <wp:posOffset>-658495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1249680</wp:posOffset>
            </wp:positionH>
            <wp:positionV relativeFrom="paragraph">
              <wp:posOffset>-658495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-658495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-658495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-658495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-658495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1332865</wp:posOffset>
            </wp:positionH>
            <wp:positionV relativeFrom="paragraph">
              <wp:posOffset>-658495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-658495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-658495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-658495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1398905</wp:posOffset>
            </wp:positionH>
            <wp:positionV relativeFrom="paragraph">
              <wp:posOffset>-658495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-658495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1431925</wp:posOffset>
            </wp:positionH>
            <wp:positionV relativeFrom="paragraph">
              <wp:posOffset>-658495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-658495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1464945</wp:posOffset>
            </wp:positionH>
            <wp:positionV relativeFrom="paragraph">
              <wp:posOffset>-658495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1481455</wp:posOffset>
            </wp:positionH>
            <wp:positionV relativeFrom="paragraph">
              <wp:posOffset>-658495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-658495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-658495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-658495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-658495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-658495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-658495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-658495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-658495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1630045</wp:posOffset>
            </wp:positionH>
            <wp:positionV relativeFrom="paragraph">
              <wp:posOffset>-658495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-658495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1663065</wp:posOffset>
            </wp:positionH>
            <wp:positionV relativeFrom="paragraph">
              <wp:posOffset>-658495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1679575</wp:posOffset>
            </wp:positionH>
            <wp:positionV relativeFrom="paragraph">
              <wp:posOffset>-658495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-658495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-311150</wp:posOffset>
            </wp:positionV>
            <wp:extent cx="1685290" cy="900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85290" cy="900430"/>
                    </a:xfrm>
                    <a:prstGeom prst="rect">
                      <a:avLst/>
                    </a:prstGeom>
                    <a:noFill/>
                  </pic:spPr>
                </pic:pic>
              </a:graphicData>
            </a:graphic>
          </wp:anchor>
        </w:drawing>
      </w:r>
    </w:p>
    <w:p>
      <w:pPr>
        <w:spacing w:after="0"/>
        <w:rPr>
          <w:sz w:val="20"/>
          <w:szCs w:val="20"/>
          <w:color w:val="auto"/>
        </w:rPr>
      </w:pPr>
      <w:r>
        <w:rPr>
          <w:rFonts w:ascii="Arial" w:cs="Arial" w:eastAsia="Arial" w:hAnsi="Arial"/>
          <w:sz w:val="31"/>
          <w:szCs w:val="31"/>
          <w:b w:val="1"/>
          <w:bCs w:val="1"/>
          <w:color w:val="FFFFFF"/>
        </w:rPr>
        <w:t>$314.7 M</w:t>
      </w:r>
    </w:p>
    <w:p>
      <w:pPr>
        <w:spacing w:after="0" w:line="97" w:lineRule="exact"/>
        <w:rPr>
          <w:sz w:val="20"/>
          <w:szCs w:val="20"/>
          <w:color w:val="auto"/>
        </w:rPr>
      </w:pPr>
    </w:p>
    <w:p>
      <w:pPr>
        <w:ind w:right="760"/>
        <w:spacing w:after="0" w:line="296" w:lineRule="auto"/>
        <w:rPr>
          <w:sz w:val="20"/>
          <w:szCs w:val="20"/>
          <w:color w:val="auto"/>
        </w:rPr>
      </w:pPr>
      <w:r>
        <w:rPr>
          <w:rFonts w:ascii="Arial" w:cs="Arial" w:eastAsia="Arial" w:hAnsi="Arial"/>
          <w:sz w:val="17"/>
          <w:szCs w:val="17"/>
          <w:color w:val="FFFFFF"/>
        </w:rPr>
        <w:t>compared to $ 389.9 M at December 31, 2024</w:t>
      </w:r>
    </w:p>
    <w:p>
      <w:pPr>
        <w:spacing w:after="0" w:line="155" w:lineRule="exact"/>
        <w:rPr>
          <w:sz w:val="20"/>
          <w:szCs w:val="20"/>
          <w:color w:val="auto"/>
        </w:rPr>
      </w:pPr>
    </w:p>
    <w:p>
      <w:pPr>
        <w:sectPr>
          <w:pgSz w:w="11900" w:h="16838" w:orient="portrait"/>
          <w:cols w:equalWidth="0" w:num="2">
            <w:col w:w="8360" w:space="200"/>
            <w:col w:w="2680"/>
          </w:cols>
          <w:pgMar w:left="320" w:top="122" w:right="339" w:bottom="1440" w:gutter="0" w:footer="0" w:header="0"/>
          <w:type w:val="continuous"/>
        </w:sectPr>
      </w:pPr>
    </w:p>
    <w:p>
      <w:pPr>
        <w:jc w:val="both"/>
        <w:ind w:left="400" w:hanging="240"/>
        <w:spacing w:after="0" w:line="269" w:lineRule="auto"/>
        <w:tabs>
          <w:tab w:leader="none" w:pos="395"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Revenue was comprised of $25.2 million in instrument revenue, $39.0 million in consumables revenue and $12.7 million in service and other revenue during the six months ended June 30, 2025. Revenue was comprised of $33.7 million in instrument revenue, $33.0 million in consumables revenue and $8.1 million in service and other revenue during the six months ended June 30, 2024. The increase was primarily due to higher consumable sales, Vega unit sales, and service and other revenue, partially offset by lower Revio unit sales.</w:t>
      </w:r>
    </w:p>
    <w:p>
      <w:pPr>
        <w:spacing w:after="0" w:line="60" w:lineRule="exact"/>
        <w:rPr>
          <w:rFonts w:ascii="Arial" w:cs="Arial" w:eastAsia="Arial" w:hAnsi="Arial"/>
          <w:sz w:val="17"/>
          <w:szCs w:val="17"/>
          <w:b w:val="1"/>
          <w:bCs w:val="1"/>
          <w:color w:val="DF1995"/>
        </w:rPr>
      </w:pPr>
    </w:p>
    <w:p>
      <w:pPr>
        <w:jc w:val="both"/>
        <w:ind w:left="400" w:hanging="240"/>
        <w:spacing w:after="0" w:line="265" w:lineRule="auto"/>
        <w:tabs>
          <w:tab w:leader="none" w:pos="395"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 xml:space="preserve">Gross profit decreased during the six months ended June 30, 2025 compared to the same period of 2024. Restructuring-related charges of $12.4 million during the six months ended June 30, 2025 compared to $4.6 million for the same period of 2024 were partially offset by an increase in gross profit driven by growth in consumable revenue. 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color w:val="auto"/>
        </w:rPr>
        <w:t xml:space="preserve"> in Part I, Item 1 of this Quarterly Report on Form 10-Q for additional information. Gross margins may be affected by product mix, manufacturing efficiencies, warranty cost improvements, average selling price fluctuations, future product launches, changes to inventory reserves, costs of raw materials, and tariffs.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28</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400" w:hanging="240"/>
        <w:spacing w:after="0" w:line="262" w:lineRule="auto"/>
        <w:tabs>
          <w:tab w:leader="none" w:pos="395"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 from operations increased $216.6 million during the six months ended June 30, 2025, compared with the same period of 2024, primarily due to a $212.7 million increase in operating expenses. This increase included $382.4 million of restructuring-related costs, comprised primarily of $359.3 million in accelerated amortization of acquired intangibles, $15.0 million of impairment charges, and $4.8 million of employee separation costs. By contrast, restructuring-related charges totaled $13.4 million in the prior-year period. These increases in restructuring-related costs were partially offset by a $78.2 million decrease in impairment charges, an $18.6 million change in fair value of contingent consideration, and reductions in research and development and sales, general and administrative expenses due to headcount and related cost savings from the restructuring.</w:t>
      </w:r>
    </w:p>
    <w:p>
      <w:pPr>
        <w:spacing w:after="0" w:line="67" w:lineRule="exact"/>
        <w:rPr>
          <w:rFonts w:ascii="Arial" w:cs="Arial" w:eastAsia="Arial" w:hAnsi="Arial"/>
          <w:sz w:val="17"/>
          <w:szCs w:val="17"/>
          <w:color w:val="auto"/>
        </w:rPr>
      </w:pPr>
    </w:p>
    <w:p>
      <w:pPr>
        <w:ind w:left="400" w:hanging="240"/>
        <w:spacing w:after="0" w:line="296" w:lineRule="auto"/>
        <w:tabs>
          <w:tab w:leader="none" w:pos="395"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Cash, cash equivalents, and short-term investments were $314.7 million at June 30, 2025, which represents a 19% decrease compared to the balance at December 31, 2024.</w:t>
      </w:r>
    </w:p>
    <w:p>
      <w:pPr>
        <w:spacing w:after="0" w:line="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sales cycle for Revio instrument purchases continues to be elongated. We believe this has been caused by, among other reasons, the uncertainty surrounding the funding for new capital equipment, in particular, uncertainty in the United States related to the National Institutes of Health ("NIH") and academic funding; procurement delays; small-to-mid-size existing customers yet to increase their sample volumes to drive an upgrade to Revio; new customers, which have shown they have longer sales cycles compared to existing PacBio customers; and sample volumes materializing slower than expected for some potential Revio customers.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Macroeconomic dynamics impacting the Company in the future may include rising inflation, geopolitical tensions, volatile capital markets, tariffs, uncertainty in the United States related to NIH and academic funding, and fluctuating exchange rates. These factors could continue to impact our revenues and results of operations in future periods; however, the magnitude and duration of these impacts is highly uncertain and inherently unpredictable.</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On an ongoing basis, we evaluate our significant estimates, including those related to the valuation of goodwill and finite-lived assets. However, these estimates could change in future periods based on events or changes in circumstances, which could result in material future impairment charges. We recorded $15.0 million of impairment charges during the six months ended June 30, 2025. See additional discussion below in Results of Operations, as well as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in Part I, Item 1 of this Quarterly Report on Form 10-Q for further information. Additionally, refer to the Critical Accounting Policies and Estimates section of our 2024 Annual Report for further discussion on the Company's asset impairment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531495</wp:posOffset>
            </wp:positionV>
            <wp:extent cx="7137400" cy="2476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RESULTS OF OPERATIONS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Comparison of the Three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shd w:val="clear" w:color="auto" w:fill="E7F2F9"/>
          </w:tcPr>
          <w:p>
            <w:pPr>
              <w:spacing w:after="0"/>
              <w:rPr>
                <w:sz w:val="18"/>
                <w:szCs w:val="18"/>
                <w:color w:val="auto"/>
              </w:rPr>
            </w:pPr>
          </w:p>
        </w:tc>
        <w:tc>
          <w:tcPr>
            <w:tcW w:w="114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 Change</w:t>
            </w:r>
          </w:p>
        </w:tc>
      </w:tr>
      <w:tr>
        <w:trPr>
          <w:trHeight w:val="206"/>
        </w:trPr>
        <w:tc>
          <w:tcPr>
            <w:tcW w:w="492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E7F2F9"/>
          </w:tcPr>
          <w:p>
            <w:pPr>
              <w:spacing w:after="0"/>
              <w:rPr>
                <w:sz w:val="17"/>
                <w:szCs w:val="17"/>
                <w:color w:val="auto"/>
              </w:rPr>
            </w:pPr>
          </w:p>
        </w:tc>
        <w:tc>
          <w:tcPr>
            <w:tcW w:w="114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Product revenue</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33,083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31,746</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42"/>
        </w:trPr>
        <w:tc>
          <w:tcPr>
            <w:tcW w:w="4920" w:type="dxa"/>
            <w:vAlign w:val="bottom"/>
          </w:tcPr>
          <w:p>
            <w:pPr>
              <w:ind w:left="400"/>
              <w:spacing w:after="0"/>
              <w:rPr>
                <w:sz w:val="20"/>
                <w:szCs w:val="20"/>
                <w:color w:val="auto"/>
              </w:rPr>
            </w:pPr>
            <w:r>
              <w:rPr>
                <w:rFonts w:ascii="Arial" w:cs="Arial" w:eastAsia="Arial" w:hAnsi="Arial"/>
                <w:sz w:val="16"/>
                <w:szCs w:val="16"/>
                <w:color w:val="auto"/>
              </w:rPr>
              <w:t>Service and other revenue</w:t>
            </w:r>
          </w:p>
        </w:tc>
        <w:tc>
          <w:tcPr>
            <w:tcW w:w="32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6,683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27"/>
        </w:trPr>
        <w:tc>
          <w:tcPr>
            <w:tcW w:w="4920" w:type="dxa"/>
            <w:vAlign w:val="bottom"/>
          </w:tcPr>
          <w:p>
            <w:pPr>
              <w:ind w:left="70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E7F2F9"/>
          </w:tcPr>
          <w:p>
            <w:pPr>
              <w:spacing w:after="0"/>
              <w:rPr>
                <w:sz w:val="19"/>
                <w:szCs w:val="19"/>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39,766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4920" w:type="dxa"/>
            <w:vAlign w:val="bottom"/>
          </w:tcPr>
          <w:p>
            <w:pPr>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E7F2F9"/>
          </w:tcPr>
          <w:p>
            <w:pPr>
              <w:spacing w:after="0"/>
              <w:rPr>
                <w:sz w:val="17"/>
                <w:szCs w:val="17"/>
                <w:color w:val="auto"/>
              </w:rPr>
            </w:pPr>
          </w:p>
        </w:tc>
        <w:tc>
          <w:tcPr>
            <w:tcW w:w="114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Cost of product revenue</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20,022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(3,061)</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Cost of service and other revenue</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4,853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Amortization of acquired intangible assets</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(93%)</w:t>
            </w:r>
          </w:p>
        </w:tc>
      </w:tr>
      <w:tr>
        <w:trPr>
          <w:trHeight w:val="242"/>
        </w:trPr>
        <w:tc>
          <w:tcPr>
            <w:tcW w:w="4920" w:type="dxa"/>
            <w:vAlign w:val="bottom"/>
          </w:tcPr>
          <w:p>
            <w:pPr>
              <w:ind w:left="400"/>
              <w:spacing w:after="0"/>
              <w:rPr>
                <w:sz w:val="20"/>
                <w:szCs w:val="20"/>
                <w:color w:val="auto"/>
              </w:rPr>
            </w:pPr>
            <w:r>
              <w:rPr>
                <w:rFonts w:ascii="Arial" w:cs="Arial" w:eastAsia="Arial" w:hAnsi="Arial"/>
                <w:sz w:val="16"/>
                <w:szCs w:val="16"/>
                <w:color w:val="auto"/>
              </w:rPr>
              <w:t>Loss on purchase commitment</w:t>
            </w:r>
          </w:p>
        </w:tc>
        <w:tc>
          <w:tcPr>
            <w:tcW w:w="32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(98%)</w:t>
            </w:r>
          </w:p>
        </w:tc>
      </w:tr>
      <w:tr>
        <w:trPr>
          <w:trHeight w:val="227"/>
        </w:trPr>
        <w:tc>
          <w:tcPr>
            <w:tcW w:w="4920" w:type="dxa"/>
            <w:vAlign w:val="bottom"/>
          </w:tcPr>
          <w:p>
            <w:pPr>
              <w:ind w:left="70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shd w:val="clear" w:color="auto" w:fill="E7F2F9"/>
          </w:tcPr>
          <w:p>
            <w:pPr>
              <w:spacing w:after="0"/>
              <w:rPr>
                <w:sz w:val="19"/>
                <w:szCs w:val="19"/>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25,082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27"/>
        </w:trPr>
        <w:tc>
          <w:tcPr>
            <w:tcW w:w="4920" w:type="dxa"/>
            <w:vAlign w:val="bottom"/>
          </w:tcPr>
          <w:p>
            <w:pPr>
              <w:ind w:left="11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E7F2F9"/>
          </w:tcPr>
          <w:p>
            <w:pPr>
              <w:spacing w:after="0"/>
              <w:rPr>
                <w:sz w:val="19"/>
                <w:szCs w:val="19"/>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14,684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147%</w:t>
            </w:r>
          </w:p>
        </w:tc>
      </w:tr>
      <w:tr>
        <w:trPr>
          <w:trHeight w:val="206"/>
        </w:trPr>
        <w:tc>
          <w:tcPr>
            <w:tcW w:w="4920" w:type="dxa"/>
            <w:vAlign w:val="bottom"/>
          </w:tcPr>
          <w:p>
            <w:pPr>
              <w:spacing w:after="0"/>
              <w:rPr>
                <w:sz w:val="20"/>
                <w:szCs w:val="20"/>
                <w:color w:val="auto"/>
              </w:rPr>
            </w:pPr>
            <w:r>
              <w:rPr>
                <w:rFonts w:ascii="Arial" w:cs="Arial" w:eastAsia="Arial" w:hAnsi="Arial"/>
                <w:sz w:val="16"/>
                <w:szCs w:val="16"/>
                <w:color w:val="auto"/>
              </w:rPr>
              <w:t>Operating Expense:</w:t>
            </w:r>
          </w:p>
        </w:tc>
        <w:tc>
          <w:tcPr>
            <w:tcW w:w="320" w:type="dxa"/>
            <w:vAlign w:val="bottom"/>
            <w:shd w:val="clear" w:color="auto" w:fill="E7F2F9"/>
          </w:tcPr>
          <w:p>
            <w:pPr>
              <w:spacing w:after="0"/>
              <w:rPr>
                <w:sz w:val="17"/>
                <w:szCs w:val="17"/>
                <w:color w:val="auto"/>
              </w:rPr>
            </w:pPr>
          </w:p>
        </w:tc>
        <w:tc>
          <w:tcPr>
            <w:tcW w:w="114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22,529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38,485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(15,956)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(41) %</w:t>
            </w: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Sales, general and administrative</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36,175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45,877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(9,702)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(93,200)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42"/>
        </w:trPr>
        <w:tc>
          <w:tcPr>
            <w:tcW w:w="4920" w:type="dxa"/>
            <w:vAlign w:val="bottom"/>
          </w:tcPr>
          <w:p>
            <w:pPr>
              <w:ind w:left="400"/>
              <w:spacing w:after="0"/>
              <w:rPr>
                <w:sz w:val="20"/>
                <w:szCs w:val="20"/>
                <w:color w:val="auto"/>
              </w:rPr>
            </w:pPr>
            <w:r>
              <w:rPr>
                <w:rFonts w:ascii="Arial" w:cs="Arial" w:eastAsia="Arial" w:hAnsi="Arial"/>
                <w:sz w:val="16"/>
                <w:szCs w:val="16"/>
                <w:color w:val="auto"/>
              </w:rPr>
              <w:t>Amortization of acquired intangible assets</w:t>
            </w:r>
          </w:p>
        </w:tc>
        <w:tc>
          <w:tcPr>
            <w:tcW w:w="32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833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(80) %</w:t>
            </w:r>
          </w:p>
        </w:tc>
      </w:tr>
      <w:tr>
        <w:trPr>
          <w:trHeight w:val="227"/>
        </w:trPr>
        <w:tc>
          <w:tcPr>
            <w:tcW w:w="4920" w:type="dxa"/>
            <w:vAlign w:val="bottom"/>
          </w:tcPr>
          <w:p>
            <w:pPr>
              <w:ind w:left="700"/>
              <w:spacing w:after="0"/>
              <w:rPr>
                <w:sz w:val="20"/>
                <w:szCs w:val="20"/>
                <w:color w:val="auto"/>
              </w:rPr>
            </w:pPr>
            <w:r>
              <w:rPr>
                <w:rFonts w:ascii="Arial" w:cs="Arial" w:eastAsia="Arial" w:hAnsi="Arial"/>
                <w:sz w:val="16"/>
                <w:szCs w:val="16"/>
                <w:color w:val="auto"/>
              </w:rPr>
              <w:t>Total operating expense</w:t>
            </w:r>
          </w:p>
        </w:tc>
        <w:tc>
          <w:tcPr>
            <w:tcW w:w="320" w:type="dxa"/>
            <w:vAlign w:val="bottom"/>
            <w:tcBorders>
              <w:bottom w:val="single" w:sz="8" w:color="auto"/>
            </w:tcBorders>
            <w:shd w:val="clear" w:color="auto" w:fill="E7F2F9"/>
          </w:tcPr>
          <w:p>
            <w:pPr>
              <w:spacing w:after="0"/>
              <w:rPr>
                <w:sz w:val="19"/>
                <w:szCs w:val="19"/>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59,537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(122,247)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4920" w:type="dxa"/>
            <w:vAlign w:val="bottom"/>
          </w:tcPr>
          <w:p>
            <w:pPr>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E7F2F9"/>
          </w:tcPr>
          <w:p>
            <w:pPr>
              <w:spacing w:after="0"/>
              <w:rPr>
                <w:sz w:val="19"/>
                <w:szCs w:val="19"/>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(44,853)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130,993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(74) %</w:t>
            </w:r>
          </w:p>
        </w:tc>
      </w:tr>
      <w:tr>
        <w:trPr>
          <w:trHeight w:val="234"/>
        </w:trPr>
        <w:tc>
          <w:tcPr>
            <w:tcW w:w="492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E7F2F9"/>
          </w:tcPr>
          <w:p>
            <w:pPr>
              <w:spacing w:after="0"/>
              <w:rPr>
                <w:sz w:val="20"/>
                <w:szCs w:val="20"/>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(1,738)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(51) %</w:t>
            </w:r>
          </w:p>
        </w:tc>
      </w:tr>
      <w:tr>
        <w:trPr>
          <w:trHeight w:val="242"/>
        </w:trPr>
        <w:tc>
          <w:tcPr>
            <w:tcW w:w="4920" w:type="dxa"/>
            <w:vAlign w:val="bottom"/>
          </w:tcPr>
          <w:p>
            <w:pPr>
              <w:ind w:left="40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4,696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492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E7F2F9"/>
          </w:tcPr>
          <w:p>
            <w:pPr>
              <w:spacing w:after="0"/>
              <w:rPr>
                <w:sz w:val="19"/>
                <w:szCs w:val="19"/>
                <w:color w:val="auto"/>
              </w:rPr>
            </w:pP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131,424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(76%)</w:t>
            </w:r>
          </w:p>
        </w:tc>
      </w:tr>
      <w:tr>
        <w:trPr>
          <w:trHeight w:val="242"/>
        </w:trPr>
        <w:tc>
          <w:tcPr>
            <w:tcW w:w="4920" w:type="dxa"/>
            <w:vAlign w:val="bottom"/>
          </w:tcPr>
          <w:p>
            <w:pPr>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E7F2F9"/>
          </w:tcPr>
          <w:p>
            <w:pPr>
              <w:spacing w:after="0"/>
              <w:rPr>
                <w:sz w:val="21"/>
                <w:szCs w:val="21"/>
                <w:color w:val="auto"/>
              </w:rPr>
            </w:pPr>
          </w:p>
        </w:tc>
        <w:tc>
          <w:tcPr>
            <w:tcW w:w="11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35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1620" w:type="dxa"/>
            <w:vAlign w:val="bottom"/>
          </w:tcPr>
          <w:p>
            <w:pPr>
              <w:jc w:val="right"/>
              <w:ind w:right="166"/>
              <w:spacing w:after="0"/>
              <w:rPr>
                <w:sz w:val="20"/>
                <w:szCs w:val="20"/>
                <w:color w:val="auto"/>
              </w:rPr>
            </w:pPr>
            <w:r>
              <w:rPr>
                <w:rFonts w:ascii="Arial" w:cs="Arial" w:eastAsia="Arial" w:hAnsi="Arial"/>
                <w:sz w:val="16"/>
                <w:szCs w:val="16"/>
                <w:color w:val="auto"/>
              </w:rPr>
              <w:t>—</w:t>
            </w:r>
          </w:p>
        </w:tc>
      </w:tr>
      <w:tr>
        <w:trPr>
          <w:trHeight w:val="254"/>
        </w:trPr>
        <w:tc>
          <w:tcPr>
            <w:tcW w:w="492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4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(41,930)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(173,319)</w:t>
            </w:r>
          </w:p>
        </w:tc>
        <w:tc>
          <w:tcPr>
            <w:tcW w:w="100" w:type="dxa"/>
            <w:vAlign w:val="bottom"/>
          </w:tcPr>
          <w:p>
            <w:pPr>
              <w:spacing w:after="0"/>
              <w:rPr>
                <w:sz w:val="22"/>
                <w:szCs w:val="22"/>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131,389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4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504190</wp:posOffset>
            </wp:positionV>
            <wp:extent cx="71374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3881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7400" cy="1388110"/>
                    </a:xfrm>
                    <a:prstGeom prst="rect">
                      <a:avLst/>
                    </a:prstGeom>
                    <a:noFill/>
                  </pic:spPr>
                </pic:pic>
              </a:graphicData>
            </a:graphic>
          </wp:anchor>
        </w:drawing>
      </w:r>
    </w:p>
    <w:p>
      <w:pPr>
        <w:spacing w:after="0" w:line="318"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Total revenue increased $3.8 million, or 10%, for the second quarter of 2025 compared with the same quarter of 2024.</w:t>
      </w:r>
    </w:p>
    <w:p>
      <w:pPr>
        <w:spacing w:after="0" w:line="38"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Product revenue increased $1.3 million, or 4%, primarily due to an increase of $1.9 million, or 11%, in consumable revenue, partially offset by a decrease of $0.5 million, or 4%, in instrument revenue.</w:t>
      </w:r>
    </w:p>
    <w:p>
      <w:pPr>
        <w:spacing w:after="0" w:line="38" w:lineRule="exact"/>
        <w:rPr>
          <w:sz w:val="20"/>
          <w:szCs w:val="20"/>
          <w:color w:val="auto"/>
        </w:rPr>
      </w:pPr>
    </w:p>
    <w:p>
      <w:pPr>
        <w:jc w:val="both"/>
        <w:ind w:left="3560"/>
        <w:spacing w:after="0" w:line="296" w:lineRule="auto"/>
        <w:rPr>
          <w:sz w:val="20"/>
          <w:szCs w:val="20"/>
          <w:color w:val="auto"/>
        </w:rPr>
      </w:pPr>
      <w:r>
        <w:rPr>
          <w:rFonts w:ascii="Arial" w:cs="Arial" w:eastAsia="Arial" w:hAnsi="Arial"/>
          <w:sz w:val="17"/>
          <w:szCs w:val="17"/>
          <w:color w:val="auto"/>
        </w:rPr>
        <w:t>Service and other revenue increased $2.4 million, or 57%, primarily driven by an increase in Revio service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Instrument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3963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7400" cy="1396365"/>
                    </a:xfrm>
                    <a:prstGeom prst="rect">
                      <a:avLst/>
                    </a:prstGeom>
                    <a:noFill/>
                  </pic:spPr>
                </pic:pic>
              </a:graphicData>
            </a:graphic>
          </wp:anchor>
        </w:drawing>
      </w:r>
    </w:p>
    <w:p>
      <w:pPr>
        <w:spacing w:after="0" w:line="331" w:lineRule="exact"/>
        <w:rPr>
          <w:sz w:val="20"/>
          <w:szCs w:val="20"/>
          <w:color w:val="auto"/>
        </w:rPr>
      </w:pPr>
    </w:p>
    <w:p>
      <w:pPr>
        <w:jc w:val="both"/>
        <w:ind w:left="3560" w:right="20"/>
        <w:spacing w:after="0" w:line="269" w:lineRule="auto"/>
        <w:rPr>
          <w:sz w:val="20"/>
          <w:szCs w:val="20"/>
          <w:color w:val="auto"/>
        </w:rPr>
      </w:pPr>
      <w:r>
        <w:rPr>
          <w:rFonts w:ascii="Arial" w:cs="Arial" w:eastAsia="Arial" w:hAnsi="Arial"/>
          <w:sz w:val="17"/>
          <w:szCs w:val="17"/>
          <w:color w:val="auto"/>
        </w:rPr>
        <w:t>Instrument revenue decreased for the second quarter of 2025, primarily due to a lower number of Revio systems sold—15 units compared to 24 units in the same quarter of 2024. This decline primarily reflects variability in customer purchasing behavior resulting from uncertainty surrounding the funding for new capital equipment, particularly among academic and research institutions.</w:t>
      </w:r>
    </w:p>
    <w:p>
      <w:pPr>
        <w:spacing w:after="0" w:line="60" w:lineRule="exact"/>
        <w:rPr>
          <w:sz w:val="20"/>
          <w:szCs w:val="20"/>
          <w:color w:val="auto"/>
        </w:rPr>
      </w:pPr>
    </w:p>
    <w:p>
      <w:pPr>
        <w:jc w:val="both"/>
        <w:ind w:left="3560"/>
        <w:spacing w:after="0" w:line="296" w:lineRule="auto"/>
        <w:rPr>
          <w:sz w:val="20"/>
          <w:szCs w:val="20"/>
          <w:color w:val="auto"/>
        </w:rPr>
      </w:pPr>
      <w:r>
        <w:rPr>
          <w:rFonts w:ascii="Arial" w:cs="Arial" w:eastAsia="Arial" w:hAnsi="Arial"/>
          <w:sz w:val="17"/>
          <w:szCs w:val="17"/>
          <w:color w:val="auto"/>
        </w:rPr>
        <w:t>The decrease was partially offset by sales of the Vega system, with 38 units sold during the second quarter of 2025 following its commercial launch in the fourth quarter of 2024.</w:t>
      </w:r>
    </w:p>
    <w:p>
      <w:pPr>
        <w:spacing w:after="0" w:line="38"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We expect that instrument revenue may fluctuate quarter-to-quarter based on timing of customer purchasing decisions, sales mix, and funding dynamics.</w:t>
      </w: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Consumables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31" w:lineRule="exact"/>
        <w:rPr>
          <w:sz w:val="20"/>
          <w:szCs w:val="20"/>
          <w:color w:val="auto"/>
        </w:rPr>
      </w:pPr>
    </w:p>
    <w:p>
      <w:pPr>
        <w:jc w:val="both"/>
        <w:ind w:left="3560"/>
        <w:spacing w:after="0" w:line="296" w:lineRule="auto"/>
        <w:rPr>
          <w:sz w:val="20"/>
          <w:szCs w:val="20"/>
          <w:color w:val="auto"/>
        </w:rPr>
      </w:pPr>
      <w:r>
        <w:rPr>
          <w:rFonts w:ascii="Arial" w:cs="Arial" w:eastAsia="Arial" w:hAnsi="Arial"/>
          <w:sz w:val="17"/>
          <w:szCs w:val="17"/>
          <w:color w:val="auto"/>
        </w:rPr>
        <w:t>The increase in consumables revenue for the second quarter of 2025 was primarily driven by higher Revio consumables sales, reflecting the continued expansion of the Revio instrument installed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1421130" cy="13462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21130" cy="1346200"/>
                    </a:xfrm>
                    <a:prstGeom prst="rect">
                      <a:avLst/>
                    </a:prstGeom>
                    <a:noFill/>
                  </pic:spPr>
                </pic:pic>
              </a:graphicData>
            </a:graphic>
          </wp:anchor>
        </w:drawing>
      </w:r>
    </w:p>
    <w:p>
      <w:pPr>
        <w:spacing w:after="0" w:line="18" w:lineRule="exact"/>
        <w:rPr>
          <w:sz w:val="20"/>
          <w:szCs w:val="20"/>
          <w:color w:val="auto"/>
        </w:rPr>
      </w:pPr>
    </w:p>
    <w:p>
      <w:pPr>
        <w:jc w:val="both"/>
        <w:ind w:left="3560"/>
        <w:spacing w:after="0" w:line="276" w:lineRule="auto"/>
        <w:rPr>
          <w:sz w:val="20"/>
          <w:szCs w:val="20"/>
          <w:color w:val="auto"/>
        </w:rPr>
      </w:pPr>
      <w:r>
        <w:rPr>
          <w:rFonts w:ascii="Arial" w:cs="Arial" w:eastAsia="Arial" w:hAnsi="Arial"/>
          <w:sz w:val="17"/>
          <w:szCs w:val="17"/>
          <w:color w:val="auto"/>
        </w:rPr>
        <w:t>Initial shipments of Vega consumables also contributed modestly during the period, and we anticipate increased contributions as customers begin ramping usage of the Vega platform and the installed base expands.</w:t>
      </w:r>
    </w:p>
    <w:p>
      <w:pPr>
        <w:spacing w:after="0" w:line="54" w:lineRule="exact"/>
        <w:rPr>
          <w:sz w:val="20"/>
          <w:szCs w:val="20"/>
          <w:color w:val="auto"/>
        </w:rPr>
      </w:pPr>
    </w:p>
    <w:p>
      <w:pPr>
        <w:jc w:val="both"/>
        <w:ind w:left="3560"/>
        <w:spacing w:after="0" w:line="276" w:lineRule="auto"/>
        <w:rPr>
          <w:sz w:val="20"/>
          <w:szCs w:val="20"/>
          <w:color w:val="auto"/>
        </w:rPr>
      </w:pPr>
      <w:r>
        <w:rPr>
          <w:rFonts w:ascii="Arial" w:cs="Arial" w:eastAsia="Arial" w:hAnsi="Arial"/>
          <w:sz w:val="17"/>
          <w:szCs w:val="17"/>
          <w:color w:val="auto"/>
        </w:rPr>
        <w:t>Looking ahead, we expect continued growth in consumables revenue as adoption of the Revio and Vega platforms expands. This anticipated growth reflects increasing instrument placements, improving consumable utilization, and broadening addressable application for our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1094105</wp:posOffset>
            </wp:positionV>
            <wp:extent cx="71374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Cost of Revenue and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cost of revenue decreased $5.0 million, or 17%, in the second quarter of 2025 compared to the same quarter of 2024 due to a decrease in cost of product revenue and a decrease of $2.4 million in amortization attributable to acquired intangible assets that are related to sales generating activities. Total cost of revenue included share-based compensation expense of $0.9 million and $1.1 million during the second quarter of 2025 and 2024, respectively.</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product revenue decreased $3.1 million, or 13%, in the second quarter of 2025 compared to the same quarter of 2024 primarily due to lower restructuring-related charges. Restructuring charges during the three months ended June 30, 2025 were not significant. During the three months ended June 30, 2024 we incurred restructuring-related charges of $4.6 million, which included charges for excess inventory due to a decrease in internal demand relating to the expense reduction initiatives.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Gross profit increased $8.7 million, or 147%, in the second quarter of 2025 compared to the same quarter of 2024 driven by lower cost of revenue and higher consumables sales. 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color w:val="auto"/>
        </w:rPr>
        <w:t xml:space="preserve"> in Part I, Item 1 of this Quarterly Report on Form 10-Q for additional information about restructuring activities. Gross margins may be affected by product mix, manufacturing efficiencies, warranty cost improvements, average selling price fluctuations, future product launches, changes to inventory reserves, costs of raw materials and tariffs.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expense decreased by $16.0 million, or 41%, for the second quarter of 2025, compared to the same quarter of 2024. The decrease was primarily driven by a decrease in personnel and related expenses due to restructuring activities, as well as the transition of launched products from development to commercialization. Research and development expense included share-based compensation expense of $3.3 million and $4.6 million during the second quarter of 2025 and 2024, respectively.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Sales,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general and administrative expense decreased by $9.7 million, or 21%, for the second quarter of 2025, compared to the same quarter of 2024. The decrease was primarily due to a net decrease in personnel and related expenses due to restructuring activities. Sales, general, and administrative expense included share-based compensation expense of $7.7 million and $11.5 million during the second quarter of 2025 and 2024, respectively.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recognized no impairment charge during the second quarter of 2025 and a goodwill impairment charge of $93.2 million during the second quarter of 2024. This charge was primarily attributable to a sustained decline in our stock price and revisions to the timing of expected future cash flows relative to our initial long-term plan, reflecting the continued impact of longer-than-anticipated median sales cycles and other contributing factors. These developments indicated that the fair value of the reporting unit may have been less than its carrying amount, prompting the performance of an interim goodwill impairment test. The results of the test confirmed that the carrying amount of the reporting unit exceeded its estimated fair value.</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Amortization of acquired intangible assets included in operating expenses for the second quarter of 2025 and 2024 consists of amortization expense attributable to acquired intangible assets that are not directly related to sales generating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32</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Interest expense for the second quarter of 2025 and 2024 was primarily comprised of interest on the convertible senior notes. The decrease was due to lower convertible notes balances as a result of the notes exchange transaction in November 2024. See </w:t>
      </w:r>
      <w:r>
        <w:rPr>
          <w:rFonts w:ascii="Arial" w:cs="Arial" w:eastAsia="Arial" w:hAnsi="Arial"/>
          <w:sz w:val="17"/>
          <w:szCs w:val="17"/>
          <w:i w:val="1"/>
          <w:iCs w:val="1"/>
          <w:u w:val="single" w:color="auto"/>
          <w:color w:val="0000FF"/>
        </w:rPr>
        <w:t>Note 4. Convertible Senior Notes</w:t>
      </w:r>
      <w:r>
        <w:rPr>
          <w:rFonts w:ascii="Arial" w:cs="Arial" w:eastAsia="Arial" w:hAnsi="Arial"/>
          <w:sz w:val="17"/>
          <w:szCs w:val="17"/>
          <w:color w:val="auto"/>
        </w:rPr>
        <w:t xml:space="preserve"> in Part I, Item 1 of this Quarterly Report on Form 10-Q for additional information.</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Other income, net for the second quarter of 2025 decreased compared to the same quarter of 2024 primarily driven by lower investment income due to lower cash and investment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414655</wp:posOffset>
            </wp:positionV>
            <wp:extent cx="71374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33</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Comparison of the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4"/>
        </w:trPr>
        <w:tc>
          <w:tcPr>
            <w:tcW w:w="500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shd w:val="clear" w:color="auto" w:fill="E7F2F9"/>
          </w:tcPr>
          <w:p>
            <w:pPr>
              <w:spacing w:after="0"/>
              <w:rPr>
                <w:sz w:val="18"/>
                <w:szCs w:val="18"/>
                <w:color w:val="auto"/>
              </w:rPr>
            </w:pPr>
          </w:p>
        </w:tc>
        <w:tc>
          <w:tcPr>
            <w:tcW w:w="1100" w:type="dxa"/>
            <w:vAlign w:val="bottom"/>
            <w:tcBorders>
              <w:top w:val="single" w:sz="8" w:color="auto"/>
              <w:bottom w:val="single" w:sz="8" w:color="auto"/>
            </w:tcBorders>
            <w:shd w:val="clear" w:color="auto" w:fill="E7F2F9"/>
          </w:tcPr>
          <w:p>
            <w:pPr>
              <w:jc w:val="right"/>
              <w:ind w:right="483"/>
              <w:spacing w:after="0"/>
              <w:rPr>
                <w:sz w:val="20"/>
                <w:szCs w:val="20"/>
                <w:color w:val="auto"/>
              </w:rPr>
            </w:pPr>
            <w:r>
              <w:rPr>
                <w:rFonts w:ascii="Arial" w:cs="Arial" w:eastAsia="Arial" w:hAnsi="Arial"/>
                <w:sz w:val="14"/>
                <w:szCs w:val="14"/>
                <w:b w:val="1"/>
                <w:bCs w:val="1"/>
                <w:color w:val="1383C6"/>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406"/>
              <w:spacing w:after="0"/>
              <w:rPr>
                <w:sz w:val="20"/>
                <w:szCs w:val="20"/>
                <w:color w:val="auto"/>
              </w:rPr>
            </w:pPr>
            <w:r>
              <w:rPr>
                <w:rFonts w:ascii="Arial" w:cs="Arial" w:eastAsia="Arial" w:hAnsi="Arial"/>
                <w:sz w:val="14"/>
                <w:szCs w:val="14"/>
                <w:b w:val="1"/>
                <w:bCs w:val="1"/>
                <w:color w:val="auto"/>
              </w:rPr>
              <w:t>% Change</w:t>
            </w: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E7F2F9"/>
          </w:tcPr>
          <w:p>
            <w:pPr>
              <w:spacing w:after="0"/>
              <w:rPr>
                <w:sz w:val="17"/>
                <w:szCs w:val="17"/>
                <w:color w:val="auto"/>
              </w:rPr>
            </w:pPr>
          </w:p>
        </w:tc>
        <w:tc>
          <w:tcPr>
            <w:tcW w:w="110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Product revenue</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64,196</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66,755</w:t>
            </w:r>
          </w:p>
        </w:tc>
        <w:tc>
          <w:tcPr>
            <w:tcW w:w="100" w:type="dxa"/>
            <w:vAlign w:val="bottom"/>
          </w:tcPr>
          <w:p>
            <w:pPr>
              <w:spacing w:after="0"/>
              <w:rPr>
                <w:sz w:val="20"/>
                <w:szCs w:val="20"/>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(2,559)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42"/>
        </w:trPr>
        <w:tc>
          <w:tcPr>
            <w:tcW w:w="5000" w:type="dxa"/>
            <w:vAlign w:val="bottom"/>
          </w:tcPr>
          <w:p>
            <w:pPr>
              <w:ind w:left="400"/>
              <w:spacing w:after="0"/>
              <w:rPr>
                <w:sz w:val="20"/>
                <w:szCs w:val="20"/>
                <w:color w:val="auto"/>
              </w:rPr>
            </w:pPr>
            <w:r>
              <w:rPr>
                <w:rFonts w:ascii="Arial" w:cs="Arial" w:eastAsia="Arial" w:hAnsi="Arial"/>
                <w:sz w:val="16"/>
                <w:szCs w:val="16"/>
                <w:color w:val="auto"/>
              </w:rPr>
              <w:t>Service and other revenue</w:t>
            </w:r>
          </w:p>
        </w:tc>
        <w:tc>
          <w:tcPr>
            <w:tcW w:w="320" w:type="dxa"/>
            <w:vAlign w:val="bottom"/>
            <w:tcBorders>
              <w:bottom w:val="single" w:sz="8" w:color="auto"/>
            </w:tcBorders>
            <w:shd w:val="clear" w:color="auto" w:fill="E7F2F9"/>
          </w:tcPr>
          <w:p>
            <w:pPr>
              <w:spacing w:after="0"/>
              <w:rPr>
                <w:sz w:val="21"/>
                <w:szCs w:val="21"/>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12,723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58%</w:t>
            </w:r>
          </w:p>
        </w:tc>
      </w:tr>
      <w:tr>
        <w:trPr>
          <w:trHeight w:val="227"/>
        </w:trPr>
        <w:tc>
          <w:tcPr>
            <w:tcW w:w="5000" w:type="dxa"/>
            <w:vAlign w:val="bottom"/>
          </w:tcPr>
          <w:p>
            <w:pPr>
              <w:ind w:left="70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E7F2F9"/>
          </w:tcPr>
          <w:p>
            <w:pPr>
              <w:spacing w:after="0"/>
              <w:rPr>
                <w:sz w:val="19"/>
                <w:szCs w:val="19"/>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76,919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E7F2F9"/>
          </w:tcPr>
          <w:p>
            <w:pPr>
              <w:spacing w:after="0"/>
              <w:rPr>
                <w:sz w:val="17"/>
                <w:szCs w:val="17"/>
                <w:color w:val="auto"/>
              </w:rPr>
            </w:pPr>
          </w:p>
        </w:tc>
        <w:tc>
          <w:tcPr>
            <w:tcW w:w="110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Cost of product revenue</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Cost of service and other revenue</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8,631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21%</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Amortization of acquired intangible assets</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4,528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42"/>
        </w:trPr>
        <w:tc>
          <w:tcPr>
            <w:tcW w:w="5000" w:type="dxa"/>
            <w:vAlign w:val="bottom"/>
          </w:tcPr>
          <w:p>
            <w:pPr>
              <w:ind w:left="400"/>
              <w:spacing w:after="0"/>
              <w:rPr>
                <w:sz w:val="20"/>
                <w:szCs w:val="20"/>
                <w:color w:val="auto"/>
              </w:rPr>
            </w:pPr>
            <w:r>
              <w:rPr>
                <w:rFonts w:ascii="Arial" w:cs="Arial" w:eastAsia="Arial" w:hAnsi="Arial"/>
                <w:sz w:val="16"/>
                <w:szCs w:val="16"/>
                <w:color w:val="auto"/>
              </w:rPr>
              <w:t>Loss on purchase commitment</w:t>
            </w:r>
          </w:p>
        </w:tc>
        <w:tc>
          <w:tcPr>
            <w:tcW w:w="320" w:type="dxa"/>
            <w:vAlign w:val="bottom"/>
            <w:tcBorders>
              <w:bottom w:val="single" w:sz="8" w:color="auto"/>
            </w:tcBorders>
            <w:shd w:val="clear" w:color="auto" w:fill="E7F2F9"/>
          </w:tcPr>
          <w:p>
            <w:pPr>
              <w:spacing w:after="0"/>
              <w:rPr>
                <w:sz w:val="21"/>
                <w:szCs w:val="21"/>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4,092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3,094</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310%</w:t>
            </w:r>
          </w:p>
        </w:tc>
      </w:tr>
      <w:tr>
        <w:trPr>
          <w:trHeight w:val="227"/>
        </w:trPr>
        <w:tc>
          <w:tcPr>
            <w:tcW w:w="5000" w:type="dxa"/>
            <w:vAlign w:val="bottom"/>
          </w:tcPr>
          <w:p>
            <w:pPr>
              <w:ind w:left="70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shd w:val="clear" w:color="auto" w:fill="E7F2F9"/>
          </w:tcPr>
          <w:p>
            <w:pPr>
              <w:spacing w:after="0"/>
              <w:rPr>
                <w:sz w:val="19"/>
                <w:szCs w:val="19"/>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63,606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57,603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27"/>
        </w:trPr>
        <w:tc>
          <w:tcPr>
            <w:tcW w:w="5000" w:type="dxa"/>
            <w:vAlign w:val="bottom"/>
          </w:tcPr>
          <w:p>
            <w:pPr>
              <w:ind w:left="118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E7F2F9"/>
          </w:tcPr>
          <w:p>
            <w:pPr>
              <w:spacing w:after="0"/>
              <w:rPr>
                <w:sz w:val="19"/>
                <w:szCs w:val="19"/>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13,313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Operating Expense:</w:t>
            </w:r>
          </w:p>
        </w:tc>
        <w:tc>
          <w:tcPr>
            <w:tcW w:w="320" w:type="dxa"/>
            <w:vAlign w:val="bottom"/>
            <w:shd w:val="clear" w:color="auto" w:fill="E7F2F9"/>
          </w:tcPr>
          <w:p>
            <w:pPr>
              <w:spacing w:after="0"/>
              <w:rPr>
                <w:sz w:val="17"/>
                <w:szCs w:val="17"/>
                <w:color w:val="auto"/>
              </w:rPr>
            </w:pPr>
          </w:p>
        </w:tc>
        <w:tc>
          <w:tcPr>
            <w:tcW w:w="110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51,582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81,940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(30,358)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(37%)</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Sales, general and administrative</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76,343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89,630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(13,287)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Impairment charges</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15,000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(78,200)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(84%)</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Amortization of acquired intangible assets</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362,875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353,147</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3630%</w:t>
            </w:r>
          </w:p>
        </w:tc>
      </w:tr>
      <w:tr>
        <w:trPr>
          <w:trHeight w:val="242"/>
        </w:trPr>
        <w:tc>
          <w:tcPr>
            <w:tcW w:w="5000" w:type="dxa"/>
            <w:vAlign w:val="bottom"/>
          </w:tcPr>
          <w:p>
            <w:pPr>
              <w:ind w:left="400"/>
              <w:spacing w:after="0"/>
              <w:rPr>
                <w:sz w:val="20"/>
                <w:szCs w:val="20"/>
                <w:color w:val="auto"/>
              </w:rPr>
            </w:pPr>
            <w:r>
              <w:rPr>
                <w:rFonts w:ascii="Arial" w:cs="Arial" w:eastAsia="Arial" w:hAnsi="Arial"/>
                <w:sz w:val="16"/>
                <w:szCs w:val="16"/>
                <w:color w:val="auto"/>
              </w:rPr>
              <w:t>Change in fair value of contingent consideration</w:t>
            </w:r>
          </w:p>
        </w:tc>
        <w:tc>
          <w:tcPr>
            <w:tcW w:w="320" w:type="dxa"/>
            <w:vAlign w:val="bottom"/>
            <w:tcBorders>
              <w:bottom w:val="single" w:sz="8" w:color="auto"/>
            </w:tcBorders>
            <w:shd w:val="clear" w:color="auto" w:fill="E7F2F9"/>
          </w:tcPr>
          <w:p>
            <w:pPr>
              <w:spacing w:after="0"/>
              <w:rPr>
                <w:sz w:val="21"/>
                <w:szCs w:val="21"/>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(18,700)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26614%</w:t>
            </w:r>
          </w:p>
        </w:tc>
      </w:tr>
      <w:tr>
        <w:trPr>
          <w:trHeight w:val="227"/>
        </w:trPr>
        <w:tc>
          <w:tcPr>
            <w:tcW w:w="5000" w:type="dxa"/>
            <w:vAlign w:val="bottom"/>
          </w:tcPr>
          <w:p>
            <w:pPr>
              <w:ind w:left="700"/>
              <w:spacing w:after="0"/>
              <w:rPr>
                <w:sz w:val="20"/>
                <w:szCs w:val="20"/>
                <w:color w:val="auto"/>
              </w:rPr>
            </w:pPr>
            <w:r>
              <w:rPr>
                <w:rFonts w:ascii="Arial" w:cs="Arial" w:eastAsia="Arial" w:hAnsi="Arial"/>
                <w:sz w:val="16"/>
                <w:szCs w:val="16"/>
                <w:color w:val="auto"/>
              </w:rPr>
              <w:t>Total operating expense</w:t>
            </w:r>
          </w:p>
        </w:tc>
        <w:tc>
          <w:tcPr>
            <w:tcW w:w="320" w:type="dxa"/>
            <w:vAlign w:val="bottom"/>
            <w:tcBorders>
              <w:bottom w:val="single" w:sz="8" w:color="auto"/>
            </w:tcBorders>
            <w:shd w:val="clear" w:color="auto" w:fill="E7F2F9"/>
          </w:tcPr>
          <w:p>
            <w:pPr>
              <w:spacing w:after="0"/>
              <w:rPr>
                <w:sz w:val="19"/>
                <w:szCs w:val="19"/>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487,100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274,428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212,672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Operating loss</w:t>
            </w:r>
          </w:p>
        </w:tc>
        <w:tc>
          <w:tcPr>
            <w:tcW w:w="32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(473,787)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(216,579)</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84%</w:t>
            </w:r>
          </w:p>
        </w:tc>
      </w:tr>
      <w:tr>
        <w:trPr>
          <w:trHeight w:val="234"/>
        </w:trPr>
        <w:tc>
          <w:tcPr>
            <w:tcW w:w="500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E7F2F9"/>
          </w:tcPr>
          <w:p>
            <w:pPr>
              <w:spacing w:after="0"/>
              <w:rPr>
                <w:sz w:val="20"/>
                <w:szCs w:val="20"/>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(3,475)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3,642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242"/>
        </w:trPr>
        <w:tc>
          <w:tcPr>
            <w:tcW w:w="5000" w:type="dxa"/>
            <w:vAlign w:val="bottom"/>
          </w:tcPr>
          <w:p>
            <w:pPr>
              <w:ind w:left="40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E7F2F9"/>
          </w:tcPr>
          <w:p>
            <w:pPr>
              <w:spacing w:after="0"/>
              <w:rPr>
                <w:sz w:val="21"/>
                <w:szCs w:val="21"/>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8,990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500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(216,775)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242"/>
        </w:trPr>
        <w:tc>
          <w:tcPr>
            <w:tcW w:w="5000" w:type="dxa"/>
            <w:vAlign w:val="bottom"/>
          </w:tcPr>
          <w:p>
            <w:pPr>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E7F2F9"/>
          </w:tcPr>
          <w:p>
            <w:pPr>
              <w:spacing w:after="0"/>
              <w:rPr>
                <w:sz w:val="21"/>
                <w:szCs w:val="21"/>
                <w:color w:val="auto"/>
              </w:rPr>
            </w:pPr>
          </w:p>
        </w:tc>
        <w:tc>
          <w:tcPr>
            <w:tcW w:w="1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6"/>
                <w:szCs w:val="16"/>
                <w:color w:val="1383C6"/>
              </w:rPr>
              <w:t>(267)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1"/>
                <w:szCs w:val="21"/>
                <w:color w:val="auto"/>
              </w:rPr>
            </w:pPr>
          </w:p>
        </w:tc>
        <w:tc>
          <w:tcPr>
            <w:tcW w:w="1620" w:type="dxa"/>
            <w:vAlign w:val="bottom"/>
          </w:tcPr>
          <w:p>
            <w:pPr>
              <w:jc w:val="right"/>
              <w:ind w:right="166"/>
              <w:spacing w:after="0"/>
              <w:rPr>
                <w:sz w:val="20"/>
                <w:szCs w:val="20"/>
                <w:color w:val="auto"/>
              </w:rPr>
            </w:pPr>
            <w:r>
              <w:rPr>
                <w:rFonts w:ascii="Arial" w:cs="Arial" w:eastAsia="Arial" w:hAnsi="Arial"/>
                <w:sz w:val="16"/>
                <w:szCs w:val="16"/>
                <w:color w:val="auto"/>
              </w:rPr>
              <w:t>—</w:t>
            </w:r>
          </w:p>
        </w:tc>
      </w:tr>
      <w:tr>
        <w:trPr>
          <w:trHeight w:val="254"/>
        </w:trPr>
        <w:tc>
          <w:tcPr>
            <w:tcW w:w="500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E7F2F9"/>
          </w:tcPr>
          <w:p>
            <w:pPr>
              <w:jc w:val="right"/>
              <w:ind w:right="142"/>
              <w:spacing w:after="0"/>
              <w:rPr>
                <w:sz w:val="20"/>
                <w:szCs w:val="20"/>
                <w:color w:val="auto"/>
              </w:rPr>
            </w:pPr>
            <w:r>
              <w:rPr>
                <w:rFonts w:ascii="Arial" w:cs="Arial" w:eastAsia="Arial" w:hAnsi="Arial"/>
                <w:sz w:val="16"/>
                <w:szCs w:val="16"/>
                <w:color w:val="1383C6"/>
                <w:w w:val="89"/>
              </w:rPr>
              <w:t>$</w:t>
            </w:r>
          </w:p>
        </w:tc>
        <w:tc>
          <w:tcPr>
            <w:tcW w:w="110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(468,005)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(251,497)</w:t>
            </w:r>
          </w:p>
        </w:tc>
        <w:tc>
          <w:tcPr>
            <w:tcW w:w="100" w:type="dxa"/>
            <w:vAlign w:val="bottom"/>
          </w:tcPr>
          <w:p>
            <w:pPr>
              <w:spacing w:after="0"/>
              <w:rPr>
                <w:sz w:val="22"/>
                <w:szCs w:val="22"/>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(216,508)</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5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71374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34</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3881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7400" cy="1388110"/>
                    </a:xfrm>
                    <a:prstGeom prst="rect">
                      <a:avLst/>
                    </a:prstGeom>
                    <a:noFill/>
                  </pic:spPr>
                </pic:pic>
              </a:graphicData>
            </a:graphic>
          </wp:anchor>
        </w:drawing>
      </w:r>
    </w:p>
    <w:p>
      <w:pPr>
        <w:spacing w:after="0" w:line="318"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Total revenue increased $2.1 million, or 3%, during the six months ended June 30, 2025 compared with the same period of 2024.</w:t>
      </w:r>
    </w:p>
    <w:p>
      <w:pPr>
        <w:spacing w:after="0" w:line="38" w:lineRule="exact"/>
        <w:rPr>
          <w:sz w:val="20"/>
          <w:szCs w:val="20"/>
          <w:color w:val="auto"/>
        </w:rPr>
      </w:pPr>
    </w:p>
    <w:p>
      <w:pPr>
        <w:jc w:val="both"/>
        <w:ind w:left="3560"/>
        <w:spacing w:after="0" w:line="288" w:lineRule="auto"/>
        <w:rPr>
          <w:sz w:val="20"/>
          <w:szCs w:val="20"/>
          <w:color w:val="auto"/>
        </w:rPr>
      </w:pPr>
      <w:r>
        <w:rPr>
          <w:rFonts w:ascii="Arial" w:cs="Arial" w:eastAsia="Arial" w:hAnsi="Arial"/>
          <w:sz w:val="17"/>
          <w:szCs w:val="17"/>
          <w:color w:val="auto"/>
        </w:rPr>
        <w:t>Product revenue decreased $2.6 million, or 4%, primarily due to a decrease of $8.5 million, or 25%, in instrument revenue, partially offset by an increase of $6.0 million, or 18%, in consumable revenue.</w:t>
      </w:r>
    </w:p>
    <w:p>
      <w:pPr>
        <w:spacing w:after="0" w:line="259" w:lineRule="exact"/>
        <w:rPr>
          <w:sz w:val="20"/>
          <w:szCs w:val="20"/>
          <w:color w:val="auto"/>
        </w:rPr>
      </w:pPr>
    </w:p>
    <w:p>
      <w:pPr>
        <w:jc w:val="both"/>
        <w:ind w:left="3560"/>
        <w:spacing w:after="0" w:line="296" w:lineRule="auto"/>
        <w:rPr>
          <w:sz w:val="20"/>
          <w:szCs w:val="20"/>
          <w:color w:val="auto"/>
        </w:rPr>
      </w:pPr>
      <w:r>
        <w:rPr>
          <w:rFonts w:ascii="Arial" w:cs="Arial" w:eastAsia="Arial" w:hAnsi="Arial"/>
          <w:sz w:val="17"/>
          <w:szCs w:val="17"/>
          <w:color w:val="auto"/>
        </w:rPr>
        <w:t>Service and other revenue increased $4.7 million, or 58%, primarily driven by an increase in Revio service contracts.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Instrument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13963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7400" cy="1396365"/>
                    </a:xfrm>
                    <a:prstGeom prst="rect">
                      <a:avLst/>
                    </a:prstGeom>
                    <a:noFill/>
                  </pic:spPr>
                </pic:pic>
              </a:graphicData>
            </a:graphic>
          </wp:anchor>
        </w:drawing>
      </w:r>
    </w:p>
    <w:p>
      <w:pPr>
        <w:spacing w:after="0" w:line="331" w:lineRule="exact"/>
        <w:rPr>
          <w:sz w:val="20"/>
          <w:szCs w:val="20"/>
          <w:color w:val="auto"/>
        </w:rPr>
      </w:pPr>
    </w:p>
    <w:p>
      <w:pPr>
        <w:jc w:val="both"/>
        <w:ind w:left="3560"/>
        <w:spacing w:after="0" w:line="265" w:lineRule="auto"/>
        <w:rPr>
          <w:sz w:val="20"/>
          <w:szCs w:val="20"/>
          <w:color w:val="auto"/>
        </w:rPr>
      </w:pPr>
      <w:r>
        <w:rPr>
          <w:rFonts w:ascii="Arial" w:cs="Arial" w:eastAsia="Arial" w:hAnsi="Arial"/>
          <w:sz w:val="17"/>
          <w:szCs w:val="17"/>
          <w:color w:val="auto"/>
        </w:rPr>
        <w:t>Instrument revenue decreased during the six months ended June 30, 2025, primarily due a lower number of Revio systems sold—27 units compared to 52 units in the same period of 2024. This decline primarily reflects variability in customer purchasing behavior resulting from uncertainty surrounding the funding for new capital equipment, particularly among academic and research institutions.</w:t>
      </w:r>
    </w:p>
    <w:p>
      <w:pPr>
        <w:spacing w:after="0" w:line="66"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The decrease was partially offset by sales of the Vega system, with 66 units sold during the six months ended June 30, 2025 following its commercial launch in the fourth quarter of 2024.</w:t>
      </w:r>
    </w:p>
    <w:p>
      <w:pPr>
        <w:spacing w:after="0" w:line="38" w:lineRule="exact"/>
        <w:rPr>
          <w:sz w:val="20"/>
          <w:szCs w:val="20"/>
          <w:color w:val="auto"/>
        </w:rPr>
      </w:pPr>
    </w:p>
    <w:p>
      <w:pPr>
        <w:jc w:val="both"/>
        <w:ind w:left="3560" w:right="20"/>
        <w:spacing w:after="0" w:line="296" w:lineRule="auto"/>
        <w:rPr>
          <w:sz w:val="20"/>
          <w:szCs w:val="20"/>
          <w:color w:val="auto"/>
        </w:rPr>
      </w:pPr>
      <w:r>
        <w:rPr>
          <w:rFonts w:ascii="Arial" w:cs="Arial" w:eastAsia="Arial" w:hAnsi="Arial"/>
          <w:sz w:val="17"/>
          <w:szCs w:val="17"/>
          <w:color w:val="auto"/>
        </w:rPr>
        <w:t>We expect that instrument revenue may fluctuate quarter-to-quarter based on timing of customer purchasing decisions, sales mix, and funding dynamics.</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Consumables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71374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31" w:lineRule="exact"/>
        <w:rPr>
          <w:sz w:val="20"/>
          <w:szCs w:val="20"/>
          <w:color w:val="auto"/>
        </w:rPr>
      </w:pPr>
    </w:p>
    <w:p>
      <w:pPr>
        <w:jc w:val="both"/>
        <w:ind w:left="3560" w:right="20"/>
        <w:spacing w:after="0" w:line="276" w:lineRule="auto"/>
        <w:rPr>
          <w:sz w:val="20"/>
          <w:szCs w:val="20"/>
          <w:color w:val="auto"/>
        </w:rPr>
      </w:pPr>
      <w:r>
        <w:rPr>
          <w:rFonts w:ascii="Arial" w:cs="Arial" w:eastAsia="Arial" w:hAnsi="Arial"/>
          <w:sz w:val="17"/>
          <w:szCs w:val="17"/>
          <w:color w:val="auto"/>
        </w:rPr>
        <w:t>The increase in consumables revenue during the six months ended June 30, 2025 was primarily driven by higher Revio consumables sales, reflecting the continued expansion of the Revio instrument installed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1421130" cy="13462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21130" cy="1346200"/>
                    </a:xfrm>
                    <a:prstGeom prst="rect">
                      <a:avLst/>
                    </a:prstGeom>
                    <a:noFill/>
                  </pic:spPr>
                </pic:pic>
              </a:graphicData>
            </a:graphic>
          </wp:anchor>
        </w:drawing>
      </w:r>
    </w:p>
    <w:p>
      <w:pPr>
        <w:spacing w:after="0" w:line="34" w:lineRule="exact"/>
        <w:rPr>
          <w:sz w:val="20"/>
          <w:szCs w:val="20"/>
          <w:color w:val="auto"/>
        </w:rPr>
      </w:pPr>
    </w:p>
    <w:p>
      <w:pPr>
        <w:jc w:val="both"/>
        <w:ind w:left="3560"/>
        <w:spacing w:after="0" w:line="276" w:lineRule="auto"/>
        <w:rPr>
          <w:sz w:val="20"/>
          <w:szCs w:val="20"/>
          <w:color w:val="auto"/>
        </w:rPr>
      </w:pPr>
      <w:r>
        <w:rPr>
          <w:rFonts w:ascii="Arial" w:cs="Arial" w:eastAsia="Arial" w:hAnsi="Arial"/>
          <w:sz w:val="17"/>
          <w:szCs w:val="17"/>
          <w:color w:val="auto"/>
        </w:rPr>
        <w:t>Initial shipments of Vega consumables also contributed modestly during the period, and we anticipate increased contributions as customers begin ramping usage of the Vega platform and the installed base expands.</w:t>
      </w:r>
    </w:p>
    <w:p>
      <w:pPr>
        <w:spacing w:after="0" w:line="54" w:lineRule="exact"/>
        <w:rPr>
          <w:sz w:val="20"/>
          <w:szCs w:val="20"/>
          <w:color w:val="auto"/>
        </w:rPr>
      </w:pPr>
    </w:p>
    <w:p>
      <w:pPr>
        <w:jc w:val="both"/>
        <w:ind w:left="3560"/>
        <w:spacing w:after="0" w:line="276" w:lineRule="auto"/>
        <w:rPr>
          <w:sz w:val="20"/>
          <w:szCs w:val="20"/>
          <w:color w:val="auto"/>
        </w:rPr>
      </w:pPr>
      <w:r>
        <w:rPr>
          <w:rFonts w:ascii="Arial" w:cs="Arial" w:eastAsia="Arial" w:hAnsi="Arial"/>
          <w:sz w:val="17"/>
          <w:szCs w:val="17"/>
          <w:color w:val="auto"/>
        </w:rPr>
        <w:t>Looking ahead, we expect continued growth in consumables revenue as adoption of the Revio and Vega platforms expands. This anticipated growth reflects increasing instrument placements, improving consumable utilization, and broadening addressable application for our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1308735</wp:posOffset>
            </wp:positionV>
            <wp:extent cx="71374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Cost of Revenue and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Total cost of revenue increased $6.0 million, or 10%, during the six months ended June 30, 2025, compared to the same period of 2024 primarily due to an increase in restructuring-related charges. These charges were $12.4 million during the six months ended June 30, 2025, which included $3.8 million relating to loss on purchase commitments which is based on an estimate of future excess inventory related to supply agreements for which we do not expect to have related sales. Restructuring-related charges were $4.6 million for the same period of 2024. Total cost of revenue included share-based compensation expense of $2.1 million and $3.2 million during the six months ended June 30, 2025 and 2024, respectively.</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Gross profit decreased $3.9 million, or 23%, during the six months ended June 30, 2025, compared to the same period of 2024 driven by the increase in cost of revenue from restructuring activities partially offset by an increase in gross profit driven by growth in consumable revenue. 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for additional information about restructuring activities. Gross margins</w:t>
      </w:r>
      <w:r>
        <w:rPr>
          <w:rFonts w:ascii="Arial" w:cs="Arial" w:eastAsia="Arial" w:hAnsi="Arial"/>
          <w:sz w:val="17"/>
          <w:szCs w:val="17"/>
          <w:i w:val="1"/>
          <w:iCs w:val="1"/>
          <w:color w:val="0000FF"/>
        </w:rPr>
        <w:t xml:space="preserve"> </w:t>
      </w:r>
      <w:r>
        <w:rPr>
          <w:rFonts w:ascii="Arial" w:cs="Arial" w:eastAsia="Arial" w:hAnsi="Arial"/>
          <w:sz w:val="17"/>
          <w:szCs w:val="17"/>
          <w:color w:val="000000"/>
        </w:rPr>
        <w:t>may be affected by product mix, manufacturing efficiencies, warranty cost improvements, average selling price fluctuations, future product launches, changes to inventory reserves, costs of raw materials and tariffs.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expense decreased by $ 30.4 million, or 37%, during the six months ended June 30, 2025, compared to the same period of 2024. The decrease was primarily driven by a decrease in personnel and related expenses due to restructuring activities, as well as the transition of launched products from development to commercialization. Research and development expense included share-based compensation expense of $5.9 million and $10.4 million during the six months ended June 30, 2025 and 2024, respectively.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Sales,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general and administrative expense decreased by $13.3 million, or 15%, during the six months ended June 30, 2025, compared to the same period of 2024. The decrease was primarily due to a net decrease in personnel and related expenses due to restructuring activities. Sales, general, and administrative expense included share-based compensation expense of $13.1 million and $23.1 million during the six months ended June 30, 2025 and 2024, respectively.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recorded impairment charges of $15.0 million during the six months ended June 30, 2025, related to in-process research and development (“IPR&amp;D”). These charges resulted from an interim impairment assessment performed in response to identified indicators of impairment during the period. The impairment test concluded that the carrying amount of our IPR&amp;D assets exceeded their estimated fair value. See </w:t>
      </w:r>
      <w:r>
        <w:rPr>
          <w:rFonts w:ascii="Arial" w:cs="Arial" w:eastAsia="Arial" w:hAnsi="Arial"/>
          <w:sz w:val="17"/>
          <w:szCs w:val="17"/>
          <w:i w:val="1"/>
          <w:iCs w:val="1"/>
          <w:u w:val="single" w:color="auto"/>
          <w:color w:val="0000FF"/>
        </w:rPr>
        <w:t>Note 3. Balance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Sheet Components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for additional information.</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recognized a goodwill impairment charge of $93.2 million during the six months ended June 30, 2024. This charge was primarily driven by a sustained decrease in our stock price and changes in the timing of expected future cash flows relative to our initial long-term plan, reflecting the ongoing impact of longer-than-anticipated median sales cycles and other contributing factors. These conditions indicated that the fair value of the reporting unit may have been less than its carrying amount, prompting the performance of an interim goodwill impairment test. The results of the test confirmed that the reporting unit’s carrying amount exceeded its estimated fair value.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Amortization of acquired intangible assets during the six months ended June 30, 2025 included $359.3 million of accelerated amortization related to developed technology from the 2021 Omniome acquisition, reflecting our revised estimate that the asset will no longer generate economic benefit beyond March 31, 2025. We expect significantly lower amortization expense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374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36</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recognized a change in fair value of contingent consideration of $18.7 million during the six months ended June 30, 2025,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Interest expense during the six months ended June 30, 2025 and 2024 was primarily comprised of interest on the convertible senior notes. The decrease was due to lower convertible notes balances as a result of the notes exchange transaction in November 2024. See </w:t>
      </w:r>
      <w:r>
        <w:rPr>
          <w:rFonts w:ascii="Arial" w:cs="Arial" w:eastAsia="Arial" w:hAnsi="Arial"/>
          <w:sz w:val="17"/>
          <w:szCs w:val="17"/>
          <w:i w:val="1"/>
          <w:iCs w:val="1"/>
          <w:u w:val="single" w:color="auto"/>
          <w:color w:val="0000FF"/>
        </w:rPr>
        <w:t>Note 4. Convertible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Senior Notes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for additional information.</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Other income, net during the six months ended June 30, 2025 decreased compared to the same period of 2024 primarily driven by lower investment income due to lower cash and investment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183515</wp:posOffset>
            </wp:positionV>
            <wp:extent cx="7137400" cy="2476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LIQUIDITY AND CAPITAL RESOURCES</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2025, we had cash, cash equivalents and investments of $314.7 million compared to $ 389.9 million as of December 31, 2024. We believe that our existing cash, cash equivalents and investments will be sufficient to fund our projected operating requirements beyond the next 12 months from the date of filing of this Quarterly Report on Form 10-Q for the quarter ended June 30, 2025.</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began implementing expense reduction initiatives in the second quarter of 2024, including workforce reductions, facility downsizing, and a streamlined development pipeline, with the goal of lowering annualized run-rate operating expenses by year-end. In the first quarter of 2025, we implemented additional actions, including further workforce reductions, to support continued cost savings.</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Factors that may affect our capital needs include, but are not limited to, the pace of adoption of our products, which affects the sales of our products and services; our ability to efficiently manage our operations; the effectiveness of our expense reduction initiatives; our ability to obtain new collaboration and customer arrangements and maintain existing collaborations and arrangements; the progress of our research and development programs; initiation, expansion, or funding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terms of our 2023 acquisition of Apton, we agreed to pay $25.0 million to former Apton equity holders if a high-throughput sequencer incorporating Apton’s technology generates $50.0 million in revenue within five years of the closing. Payment may be made in cash, stock, or a combination. As of June 30, 2025, due primarily to the decision to discontinue development of the system and revised revenue expectations, the fair value of the contingent consideration liability was estimated at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1374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37</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0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4"/>
                <w:szCs w:val="14"/>
                <w:b w:val="1"/>
                <w:bCs w:val="1"/>
                <w:color w:val="auto"/>
              </w:rPr>
              <w:t>Six Months Ended June 30,</w:t>
            </w:r>
          </w:p>
        </w:tc>
      </w:tr>
      <w:tr>
        <w:trPr>
          <w:trHeight w:val="214"/>
        </w:trPr>
        <w:tc>
          <w:tcPr>
            <w:tcW w:w="8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shd w:val="clear" w:color="auto" w:fill="E7F2F9"/>
          </w:tcPr>
          <w:p>
            <w:pPr>
              <w:spacing w:after="0"/>
              <w:rPr>
                <w:sz w:val="18"/>
                <w:szCs w:val="18"/>
                <w:color w:val="auto"/>
              </w:rPr>
            </w:pPr>
          </w:p>
        </w:tc>
        <w:tc>
          <w:tcPr>
            <w:tcW w:w="1160" w:type="dxa"/>
            <w:vAlign w:val="bottom"/>
            <w:tcBorders>
              <w:bottom w:val="single" w:sz="8" w:color="auto"/>
            </w:tcBorders>
            <w:shd w:val="clear" w:color="auto" w:fill="E7F2F9"/>
          </w:tcPr>
          <w:p>
            <w:pPr>
              <w:jc w:val="right"/>
              <w:ind w:right="525"/>
              <w:spacing w:after="0"/>
              <w:rPr>
                <w:sz w:val="20"/>
                <w:szCs w:val="20"/>
                <w:color w:val="auto"/>
              </w:rPr>
            </w:pPr>
            <w:r>
              <w:rPr>
                <w:rFonts w:ascii="Arial" w:cs="Arial" w:eastAsia="Arial" w:hAnsi="Arial"/>
                <w:sz w:val="14"/>
                <w:szCs w:val="14"/>
                <w:b w:val="1"/>
                <w:bCs w:val="1"/>
                <w:color w:val="1383C6"/>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r>
      <w:tr>
        <w:trPr>
          <w:trHeight w:val="219"/>
        </w:trPr>
        <w:tc>
          <w:tcPr>
            <w:tcW w:w="80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w w:val="89"/>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(73,433)</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(129,945)</w:t>
            </w:r>
          </w:p>
        </w:tc>
      </w:tr>
      <w:tr>
        <w:trPr>
          <w:trHeight w:val="234"/>
        </w:trPr>
        <w:tc>
          <w:tcPr>
            <w:tcW w:w="806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shd w:val="clear" w:color="auto" w:fill="E7F2F9"/>
          </w:tcPr>
          <w:p>
            <w:pPr>
              <w:spacing w:after="0"/>
              <w:rPr>
                <w:sz w:val="20"/>
                <w:szCs w:val="20"/>
                <w:color w:val="auto"/>
              </w:rPr>
            </w:pPr>
          </w:p>
        </w:tc>
        <w:tc>
          <w:tcPr>
            <w:tcW w:w="1160" w:type="dxa"/>
            <w:vAlign w:val="bottom"/>
            <w:shd w:val="clear" w:color="auto" w:fill="E7F2F9"/>
          </w:tcPr>
          <w:p>
            <w:pPr>
              <w:jc w:val="right"/>
              <w:ind w:right="5"/>
              <w:spacing w:after="0"/>
              <w:rPr>
                <w:sz w:val="20"/>
                <w:szCs w:val="20"/>
                <w:color w:val="auto"/>
              </w:rPr>
            </w:pPr>
            <w:r>
              <w:rPr>
                <w:rFonts w:ascii="Arial" w:cs="Arial" w:eastAsia="Arial" w:hAnsi="Arial"/>
                <w:sz w:val="16"/>
                <w:szCs w:val="16"/>
                <w:color w:val="1383C6"/>
              </w:rPr>
              <w:t>70,517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42,701</w:t>
            </w:r>
          </w:p>
        </w:tc>
      </w:tr>
      <w:tr>
        <w:trPr>
          <w:trHeight w:val="242"/>
        </w:trPr>
        <w:tc>
          <w:tcPr>
            <w:tcW w:w="806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E7F2F9"/>
          </w:tcPr>
          <w:p>
            <w:pPr>
              <w:spacing w:after="0"/>
              <w:rPr>
                <w:sz w:val="21"/>
                <w:szCs w:val="21"/>
                <w:color w:val="auto"/>
              </w:rPr>
            </w:pPr>
          </w:p>
        </w:tc>
        <w:tc>
          <w:tcPr>
            <w:tcW w:w="1160" w:type="dxa"/>
            <w:vAlign w:val="bottom"/>
            <w:tcBorders>
              <w:bottom w:val="single" w:sz="8" w:color="auto"/>
            </w:tcBorders>
            <w:shd w:val="clear" w:color="auto" w:fill="E7F2F9"/>
          </w:tcPr>
          <w:p>
            <w:pPr>
              <w:jc w:val="right"/>
              <w:ind w:right="5"/>
              <w:spacing w:after="0"/>
              <w:rPr>
                <w:sz w:val="20"/>
                <w:szCs w:val="20"/>
                <w:color w:val="auto"/>
              </w:rPr>
            </w:pPr>
            <w:r>
              <w:rPr>
                <w:rFonts w:ascii="Arial" w:cs="Arial" w:eastAsia="Arial" w:hAnsi="Arial"/>
                <w:sz w:val="16"/>
                <w:szCs w:val="16"/>
                <w:color w:val="1383C6"/>
              </w:rPr>
              <w:t>1,959</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6,401</w:t>
            </w:r>
          </w:p>
        </w:tc>
      </w:tr>
      <w:tr>
        <w:trPr>
          <w:trHeight w:val="254"/>
        </w:trPr>
        <w:tc>
          <w:tcPr>
            <w:tcW w:w="8060" w:type="dxa"/>
            <w:vAlign w:val="bottom"/>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shd w:val="clear" w:color="auto" w:fill="E7F2F9"/>
          </w:tcPr>
          <w:p>
            <w:pPr>
              <w:jc w:val="right"/>
              <w:ind w:right="162"/>
              <w:spacing w:after="0"/>
              <w:rPr>
                <w:sz w:val="20"/>
                <w:szCs w:val="20"/>
                <w:color w:val="auto"/>
              </w:rPr>
            </w:pPr>
            <w:r>
              <w:rPr>
                <w:rFonts w:ascii="Arial" w:cs="Arial" w:eastAsia="Arial" w:hAnsi="Arial"/>
                <w:sz w:val="16"/>
                <w:szCs w:val="16"/>
                <w:color w:val="1383C6"/>
                <w:w w:val="89"/>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6"/>
                <w:szCs w:val="16"/>
                <w:color w:val="1383C6"/>
              </w:rPr>
              <w:t>(957)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(80,843)</w:t>
            </w:r>
          </w:p>
        </w:tc>
      </w:tr>
      <w:tr>
        <w:trPr>
          <w:trHeight w:val="20"/>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Operating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operating activities during the six months ended June 30, 2025 of $73.4 million was due primarily to a $468.0 million net loss that included non-cash items such as amortization of acquired intangible assets of $367.4 million, an impairment charge of $15.0 million, share-based compensation of $21.1 million, $8.5 million of inventory adjustments, depreciation expense of $7.8 million, and $6.3 million in net changes to operating assets and liabilities, partially offset by an $18.7 million decrease in the change in the fair value of the contingent consideration. Cash flow impact from changes in net operating assets and liabilities was primarily driven by increases in accounts receivable and inventory, as well as decreases in accrued expenses and operating lease liabilities. These uses of cash were partially offset by a decrease in prepaid expenses and other assets.</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operating activities during the six months ended June 30, 2024 of $129.9 million was due primarily to a $251.5 million net loss that included non-cash items such as a goodwill impairment charge of $93.2 million, share-based compensation of $36.7 million, amortization of acquired intangible assets of $13.7 million, depreciation expense of $6.7 million and amortization of right-of-use assets of $5.9 million. This was offset by the accretion of discount and amortization of premium on marketable securities, net of $7.6 million and $31.7 million in net changes to operating assets and liabilities. Cash flow impact from changes in net operating assets and liabilities was primarily driven by an increase in inventory, as well as decreases in accrued expenses and operating lease liabilities. These uses of cash were partially offset by decreases in accounts receivable and prepaid expenses and other assets and increases in accounts payable and 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investing activities consist primarily of capital expenditures and investment purchases, sales, and maturities.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investing activities during the six months ended June 30, 2025, was primarily from $195.4 million of maturities of investments partially offset by $118.0 million of purchases of investments and $5.0 million in purchases of intangible assets.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investing activities during the six months ended June 30, 2024, was primarily from $351.6 million of maturities of investments partially offset by $303.6 million in purchases of investments and $5.4 million in purchases of property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Financing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financing activities during the six months ended June 30, 2025 resulted from $2.0 million from the issuance of common stock through our equity compensation plans.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Cash provided by financing activities during the six months ended June 30, 2024 resulted primarily from $6.9 million of proceeds from the issuance of common stock through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38</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Contractual Obligations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presented our contractual obligations at December 31, 2024 in our 2024 Annual Report. There were no material changes outside the ordinary course of business to our contractual obligations during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137400" cy="2476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CRITICAL ACCOUNTING POLICIES AND ESTIMATES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significant accounting policies as disclosed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7137400" cy="2476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RECENT ACCOUNTING PRONOUNCEMENTS</w:t>
      </w: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 Item 1 of this Quarterly Report on Form 10-Q for information regarding applicable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7137400" cy="2476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OFF-BALANCE SHEET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2025, we did not have any off-balance sheet arrangements.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7"/>
          <w:szCs w:val="17"/>
          <w:i w:val="1"/>
          <w:iCs w:val="1"/>
          <w:u w:val="single" w:color="auto"/>
          <w:color w:val="0000FF"/>
        </w:rPr>
        <w:t>Note 6. Commitments and Contingencies</w:t>
      </w:r>
      <w:r>
        <w:rPr>
          <w:rFonts w:ascii="Arial" w:cs="Arial" w:eastAsia="Arial" w:hAnsi="Arial"/>
          <w:sz w:val="17"/>
          <w:szCs w:val="17"/>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71374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564515</wp:posOffset>
            </wp:positionV>
            <wp:extent cx="65258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525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52589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52589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Interest Rate and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2030 Notes and 2029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 4. Convertible Senior Notes</w:t>
      </w:r>
      <w:r>
        <w:rPr>
          <w:rFonts w:ascii="Arial" w:cs="Arial" w:eastAsia="Arial" w:hAnsi="Arial"/>
          <w:sz w:val="17"/>
          <w:szCs w:val="17"/>
          <w:color w:val="auto"/>
        </w:rPr>
        <w:t xml:space="preserve"> in Part I, Item 1 of this Quarterly Report on Form 10-Q for additional information.</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six months ended June 30, 2025, we invested in cash equivalents, U.S. government and agency securities, and corporate debt securities which were designated as cash equivalents and available-for-sale investments. Our cash equivalents and available-for-sale securities as of June 30, 2025 was $314.7 million.</w:t>
      </w:r>
    </w:p>
    <w:p>
      <w:pPr>
        <w:spacing w:after="0" w:line="5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June 30, 2025 would have affected the fair value of our investment portfolio by approximately $1.5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other material changes in market risk from the information provided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74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management, with the participation of our Chief Executive Officer, our Chief Financial Officer and our Chief Accounting Officer evaluated the effectiveness of our disclosure controls and procedures (as defined in Rules 13a-15(e) and 15d-15(e) of the Securities Exchange Act of 1934, as amended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quarter ended June 30, 2025 that materially affected, or is reasonably likely to materially affect, our internal control over financial reporting. There were no material changes in our internal control over financial reporting during the quarter ended June 30, 2025, that have materially affected, or were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40</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DF1995"/>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71374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U.S. District Court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 We plan to vigorously defend against the remaining claims.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14, 2022, Take2 Technologies, Ltd. ("Take2") and the Chinese University of Hong Kong (“CUHK”) filed a complaint in the U.S. District Court for Delaware against us alleging infringement of U.S. Patent No. 11,091,794 (the “’794 Patent”) (C.A. No. 22- cv-01595) (the "Take2 District Court matter").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which was denied on March 25, 2024. We also filed a motion to transfer the case from the District of Delaware to the Northern District of California which was granted on August 2, 2023. The case was transferred on August 16, 2023 (C.A. No. 5:23-cv-04166).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on November 6 and December 4 of 2023 partially granting the motion. While some members of the in-house legal department were disqualified, General Counsel for PacBio was not disqualified and continued to represent PacBio in the Take2 District Court matter. We filed a petition for inter partes review at the Board (IPR2024-00028) challenging the validity of all claims of the ’794 patent on October 17, 2023. The CUHK filed a preliminary response to the petition on January 26, 2024. On April 22, 2024, we filed our answer to the complaint, denying infringement and seeking declaratory judgments of non-infringement and invalidity of the ‘794 Patent. On April 24, 2024, the Board granted institution of IPR2024-00028 on the validity of all claims of the ’794 patent. On May 2, 2024, the parties filed a joint stipulation and proposed order to stay the Take2 District Court matter pending inter partes review. On May 3, 2024, the Court granted the motion to stay. Briefing is complete in IPR2024-00028 and an oral hearing took place on January 23, 2025. On March 7, 2025, we entered into a purchase agreement with CUHK to purchase the ‘794 patent. In connection with our purchase of the ‘794 Patent, each of Take2 and CUHK, on the one hand, and PacBio, on the other hand, agreed to waive and seek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71374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discharge of all outstanding litigation claims and patent-related challenges, including with respect to the Take2 District Court matter and IPR2024-00028. The agreement to discharge the litigation claims and the patent challenge has been granted by the Northern District of California and the Board, respectively.</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Proceedings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 On May 29, 2025, the Supreme People's Court issued a final judgement maintaining the CNIPA decision, and these infringement proceedings are now considered closed.</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42</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465455</wp:posOffset>
            </wp:positionV>
            <wp:extent cx="71374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38"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market, commercialize, and sell current and future products and related maintenance services;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achieve profitability for our business;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implement required expense reduction initiatives;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repay our debt and fund our long-term operations;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leverage and integrate our acquisitions and future acquisitions;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research, develop and timely manufacture our current and future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recent significant changes to our leadership team and resultant disruptions to our business;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retention, recruitment, and training of senior management, key personnel, scientists and engineers;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further penetrate nucleic acid sequencing applications, as well as grow product demand;</w:t>
      </w:r>
    </w:p>
    <w:p>
      <w:pPr>
        <w:spacing w:after="0" w:line="116" w:lineRule="exact"/>
        <w:rPr>
          <w:rFonts w:ascii="Arial" w:cs="Arial" w:eastAsia="Arial" w:hAnsi="Arial"/>
          <w:sz w:val="17"/>
          <w:szCs w:val="17"/>
          <w:b w:val="1"/>
          <w:bCs w:val="1"/>
          <w:color w:val="DF1995"/>
        </w:rPr>
      </w:pPr>
    </w:p>
    <w:p>
      <w:pPr>
        <w:ind w:left="620" w:hanging="304"/>
        <w:spacing w:after="0" w:line="268" w:lineRule="auto"/>
        <w:tabs>
          <w:tab w:leader="none" w:pos="615"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reliance on outsourcing to other companies for manufacturing certain components and sub-assemblies, some of which are sole-sourced;</w:t>
      </w:r>
    </w:p>
    <w:p>
      <w:pPr>
        <w:spacing w:after="0" w:line="302" w:lineRule="exact"/>
        <w:rPr>
          <w:rFonts w:ascii="Arial" w:cs="Arial" w:eastAsia="Arial" w:hAnsi="Arial"/>
          <w:sz w:val="17"/>
          <w:szCs w:val="17"/>
          <w:b w:val="1"/>
          <w:bCs w:val="1"/>
          <w:color w:val="DF1995"/>
        </w:rPr>
      </w:pPr>
    </w:p>
    <w:p>
      <w:pPr>
        <w:jc w:val="both"/>
        <w:ind w:left="620" w:hanging="304"/>
        <w:spacing w:after="0" w:line="288" w:lineRule="auto"/>
        <w:tabs>
          <w:tab w:leader="none" w:pos="615"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the impact of tariffs recently imposed by the U.S. government and its trading partners in response, other possible tariffs or trade protection measures, import or export licensing requirements, new or different customs duties, trade embargoes and sanctions and other trade barriers;</w:t>
      </w:r>
    </w:p>
    <w:p>
      <w:pPr>
        <w:spacing w:after="0" w:line="259"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the high amount of competition we face in our industry;</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ability to attract customers and increase sales of current and future products;</w:t>
      </w:r>
    </w:p>
    <w:p>
      <w:pPr>
        <w:spacing w:after="0" w:line="116" w:lineRule="exact"/>
        <w:rPr>
          <w:rFonts w:ascii="Arial" w:cs="Arial" w:eastAsia="Arial" w:hAnsi="Arial"/>
          <w:sz w:val="17"/>
          <w:szCs w:val="17"/>
          <w:b w:val="1"/>
          <w:bCs w:val="1"/>
          <w:color w:val="DF1995"/>
        </w:rPr>
      </w:pPr>
    </w:p>
    <w:p>
      <w:pPr>
        <w:jc w:val="both"/>
        <w:ind w:left="620" w:hanging="304"/>
        <w:spacing w:after="0" w:line="276" w:lineRule="auto"/>
        <w:tabs>
          <w:tab w:leader="none" w:pos="615"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spacing w:after="0" w:line="5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the complexity of our products giving rise to defects or errors;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unpredictable and lengthy sales cycles;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the possibility that our goodwill or intangible assets could become impaired;</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adverse effects resulting from political and economic tensions between the United States and other countries, including China and Russia, and other geopolitical uncertainties;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securing and maintaining patent or other intellectual property protection for our products and related improvements;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current and future legal proceedings filed against us claiming intellectual property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43</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the potential adverse impact of health epidemics;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potential cybersecurity incidents and security breaches;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governmental regulations that burden operations or narrow the market for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adverse effects resulting from new, increased, or enhanced trade tariffs, import restrictions, export restrictions, or other trade barriers;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evolving ethical, legal, privacy, social, and regulatory concerns regarding genetic testing;</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volatility of the price of our common stock; and</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our stock price falling as a result of future offerings or sales of securities.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DF1995"/>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SBB short-read platform, in the third quarter of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73" w:lineRule="exact"/>
        <w:rPr>
          <w:sz w:val="20"/>
          <w:szCs w:val="20"/>
          <w:color w:val="auto"/>
        </w:rPr>
      </w:pPr>
    </w:p>
    <w:p>
      <w:pPr>
        <w:ind w:left="620" w:hanging="304"/>
        <w:spacing w:after="0" w:line="296" w:lineRule="auto"/>
        <w:tabs>
          <w:tab w:leader="none" w:pos="615"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manage the timeliness of our new product introductions and the rate at which sales of our new products may cannibalize sales of our existing products or manage sales and marketing of multiple sequencing platforms;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drive adoption of our current and future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maintain our competitive position by continuing to attract and retain customers for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provide appropriate levels of customer training and support for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implement an effective marketing strategy to promote awareness of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develop and implement an effective sales and distribution strategy for our current and future products;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comply with regulatory requirements applicable to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anticipate and adapt to changes in our market;</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deliver our early access systems to our external early access testing sites or complete our external early access testing program on our currently expected timelines;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1374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overcome unexpected challenges discovered during early access testing;</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complete the scientific and technical validation of new products on our currently expected timeline or at all;</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deliver our future products in a timely manner to our customers;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grow our market share by marketing and selling our products for new and additional applications;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avoid infringement and misappropriation of third-party intellectual property;</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obtain and maintain any necessary licenses to third-party intellectual property on commercially reasonable terms;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obtain valid and enforceable patents that give us a competitive advantage or enforce existing patents;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protect our proprietary technology; and</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attract, retain, and motivate qualified personnel.</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unexpected adverse business conditions, weak demand for a specific product line or business, economic factors, shifting focus to certain lines of business, unanticipated technological changes or competitive activities, loss of key personnel, changes in business strategy, and acts by governments or courts. The occurrence of any of these events, may require us to record future impairment charges. For example, we recorded $184.5 million of impairment charges during the year ended December 31, 2024 as described in additional detail in </w:t>
      </w:r>
      <w:r>
        <w:rPr>
          <w:rFonts w:ascii="Arial" w:cs="Arial" w:eastAsia="Arial" w:hAnsi="Arial"/>
          <w:sz w:val="17"/>
          <w:szCs w:val="17"/>
          <w:i w:val="1"/>
          <w:iCs w:val="1"/>
          <w:color w:val="auto"/>
        </w:rPr>
        <w:t>Note 4. Balance Sheet Components</w:t>
      </w:r>
      <w:r>
        <w:rPr>
          <w:rFonts w:ascii="Arial" w:cs="Arial" w:eastAsia="Arial" w:hAnsi="Arial"/>
          <w:sz w:val="17"/>
          <w:szCs w:val="17"/>
          <w:color w:val="auto"/>
        </w:rPr>
        <w:t xml:space="preserve"> in Part II, Item 8 of our 2024 Annual Report, and $15.0 million of impairment charges during the six months ended June 30, 2025, as described in additional detail in </w:t>
      </w:r>
      <w:r>
        <w:rPr>
          <w:rFonts w:ascii="Arial" w:cs="Arial" w:eastAsia="Arial" w:hAnsi="Arial"/>
          <w:sz w:val="17"/>
          <w:szCs w:val="17"/>
          <w:i w:val="1"/>
          <w:iCs w:val="1"/>
          <w:u w:val="single" w:color="auto"/>
          <w:color w:val="0000FF"/>
        </w:rPr>
        <w:t>Note</w:t>
      </w:r>
    </w:p>
    <w:p>
      <w:pPr>
        <w:spacing w:after="0" w:line="5" w:lineRule="exact"/>
        <w:rPr>
          <w:sz w:val="20"/>
          <w:szCs w:val="20"/>
          <w:color w:val="auto"/>
        </w:rPr>
      </w:pPr>
    </w:p>
    <w:p>
      <w:pPr>
        <w:jc w:val="both"/>
        <w:ind w:firstLine="4"/>
        <w:spacing w:after="0" w:line="262" w:lineRule="auto"/>
        <w:tabs>
          <w:tab w:leader="none" w:pos="210" w:val="left"/>
        </w:tabs>
        <w:numPr>
          <w:ilvl w:val="0"/>
          <w:numId w:val="14"/>
        </w:numPr>
        <w:rPr>
          <w:rFonts w:ascii="Arial" w:cs="Arial" w:eastAsia="Arial" w:hAnsi="Arial"/>
          <w:sz w:val="17"/>
          <w:szCs w:val="17"/>
          <w:i w:val="1"/>
          <w:iCs w:val="1"/>
          <w:u w:val="single" w:color="auto"/>
          <w:color w:val="0000FF"/>
        </w:rPr>
      </w:pPr>
      <w:r>
        <w:rPr>
          <w:rFonts w:ascii="Arial" w:cs="Arial" w:eastAsia="Arial" w:hAnsi="Arial"/>
          <w:sz w:val="17"/>
          <w:szCs w:val="17"/>
          <w:i w:val="1"/>
          <w:iCs w:val="1"/>
          <w:u w:val="single" w:color="auto"/>
          <w:color w:val="0000FF"/>
        </w:rPr>
        <w:t>Balance Sheet Components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Additionally, amortization of acquired intangible assets</w:t>
      </w:r>
      <w:r>
        <w:rPr>
          <w:rFonts w:ascii="Arial" w:cs="Arial" w:eastAsia="Arial" w:hAnsi="Arial"/>
          <w:sz w:val="17"/>
          <w:szCs w:val="17"/>
          <w:i w:val="1"/>
          <w:iCs w:val="1"/>
          <w:color w:val="0000FF"/>
        </w:rPr>
        <w:t xml:space="preserve"> </w:t>
      </w:r>
      <w:r>
        <w:rPr>
          <w:rFonts w:ascii="Arial" w:cs="Arial" w:eastAsia="Arial" w:hAnsi="Arial"/>
          <w:sz w:val="17"/>
          <w:szCs w:val="17"/>
          <w:color w:val="000000"/>
        </w:rPr>
        <w:t xml:space="preserve">during the six months ended June 30, 2025 included $359.3 million of accelerated amortization pertaining to the Company's change in estimate of its remaining useful life of the developed technology acquired in connection with the 2021 Omniome acquisition as described in additional detail in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Any such charges may adversely affect our results of operations.</w:t>
      </w:r>
    </w:p>
    <w:p>
      <w:pPr>
        <w:spacing w:after="0" w:line="11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have incurred losses to date, and we expect to continue to incur significant losses as we develop our business and we may never achieve profitability.</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further expense reduction plans during the first quarter of 2025, we do not expect to be profitable in 2025, and there can be no assurance that these expense reduction initiatives will be successful in helping us achieve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117" w:lineRule="exact"/>
        <w:rPr>
          <w:sz w:val="20"/>
          <w:szCs w:val="20"/>
          <w:color w:val="auto"/>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make it more difficult for us to satisfy our obligations;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increase our vulnerability to general adverse economic and industry conditions;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increase the volatility of the price of our common stock;</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limit our flexibility to react to changes in our business and the industry in which we operate;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place us at a disadvantage to other companies that offer nucleic acid sequencing equipment or consumables; and</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limit our ability to borrow additional funds.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 An impairment in value of our tangible or intangible assets could also be recorded as a result of weaker economic conditions. For more information on impairment considerations,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The commercialization and sales of our current or future products may be unsuccessful or less successful than anticipated.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7"/>
          <w:szCs w:val="17"/>
          <w:color w:val="000000"/>
        </w:rPr>
        <w:t>” above.</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DF1995"/>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189230</wp:posOffset>
            </wp:positionV>
            <wp:extent cx="71374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are not cash flow positive and may not have sufficient cash to make required payments under the terms of our debt or fund our long-term planned operations.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December 31, 2024,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r>
        <w:rPr>
          <w:rFonts w:ascii="Arial" w:cs="Arial" w:eastAsia="Arial" w:hAnsi="Arial"/>
          <w:sz w:val="17"/>
          <w:szCs w:val="17"/>
          <w:i w:val="1"/>
          <w:iCs w:val="1"/>
          <w:u w:val="single" w:color="auto"/>
          <w:color w:val="0000FF"/>
        </w:rPr>
        <w:t>Note 4.</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Convertible Senior Notes</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we exchanged the remaining approximately $459.0 million in</w:t>
      </w:r>
      <w:r>
        <w:rPr>
          <w:rFonts w:ascii="Arial" w:cs="Arial" w:eastAsia="Arial" w:hAnsi="Arial"/>
          <w:sz w:val="17"/>
          <w:szCs w:val="17"/>
          <w:i w:val="1"/>
          <w:iCs w:val="1"/>
          <w:color w:val="0000FF"/>
        </w:rPr>
        <w:t xml:space="preserve"> </w:t>
      </w:r>
      <w:r>
        <w:rPr>
          <w:rFonts w:ascii="Arial" w:cs="Arial" w:eastAsia="Arial" w:hAnsi="Arial"/>
          <w:sz w:val="17"/>
          <w:szCs w:val="17"/>
          <w:color w:val="000000"/>
        </w:rPr>
        <w:t>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38" w:lineRule="exact"/>
        <w:rPr>
          <w:sz w:val="20"/>
          <w:szCs w:val="20"/>
          <w:color w:val="auto"/>
        </w:rPr>
      </w:pPr>
    </w:p>
    <w:p>
      <w:pPr>
        <w:ind w:left="620" w:hanging="304"/>
        <w:spacing w:after="0" w:line="296" w:lineRule="auto"/>
        <w:tabs>
          <w:tab w:leader="none" w:pos="615" w:val="left"/>
        </w:tabs>
        <w:numPr>
          <w:ilvl w:val="0"/>
          <w:numId w:val="16"/>
        </w:numPr>
        <w:rPr>
          <w:rFonts w:ascii="Arial" w:cs="Arial" w:eastAsia="Arial" w:hAnsi="Arial"/>
          <w:sz w:val="17"/>
          <w:szCs w:val="17"/>
          <w:b w:val="1"/>
          <w:bCs w:val="1"/>
          <w:color w:val="DF1995"/>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6"/>
        </w:numPr>
        <w:rPr>
          <w:rFonts w:ascii="Arial" w:cs="Arial" w:eastAsia="Arial" w:hAnsi="Arial"/>
          <w:sz w:val="17"/>
          <w:szCs w:val="17"/>
          <w:b w:val="1"/>
          <w:bCs w:val="1"/>
          <w:color w:val="DF1995"/>
        </w:rPr>
      </w:pPr>
      <w:r>
        <w:rPr>
          <w:rFonts w:ascii="Arial" w:cs="Arial" w:eastAsia="Arial" w:hAnsi="Arial"/>
          <w:sz w:val="17"/>
          <w:szCs w:val="17"/>
          <w:color w:val="auto"/>
        </w:rPr>
        <w:t>failure or material delay in closing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transaction-related lawsuits or claims;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difficulties in integrating the technologies, operations, existing contracts, and personnel of an acquired company;</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difficulties in retaining key employees or business partners of an acquired company;</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difficulties in retaining suppliers, partners, or customers of an acquired company;</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challenges with integrating the brand identity of an acquired company with our own;</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diversion of financial and management resources from existing operations or alternative acquisition opportunities;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failure to realize the anticipated benefits or synergies of a transaction;</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difficulties in developing technology post-acquisition;</w:t>
      </w:r>
    </w:p>
    <w:p>
      <w:pPr>
        <w:spacing w:after="0" w:line="116" w:lineRule="exact"/>
        <w:rPr>
          <w:rFonts w:ascii="Arial" w:cs="Arial" w:eastAsia="Arial" w:hAnsi="Arial"/>
          <w:sz w:val="17"/>
          <w:szCs w:val="17"/>
          <w:b w:val="1"/>
          <w:bCs w:val="1"/>
          <w:color w:val="DF1995"/>
        </w:rPr>
      </w:pPr>
    </w:p>
    <w:p>
      <w:pPr>
        <w:jc w:val="both"/>
        <w:ind w:left="620" w:hanging="304"/>
        <w:spacing w:after="0" w:line="276" w:lineRule="auto"/>
        <w:tabs>
          <w:tab w:leader="none" w:pos="615"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5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risks that regulatory bodies do not approve our acquisitions or business combinations or delay such approvals;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risk that an acquired company or investment in new services cannibalizes a portion of our existing business; and</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adverse market reaction to an acquisition or other strategic transaction.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315595</wp:posOffset>
            </wp:positionV>
            <wp:extent cx="71374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DF1995"/>
        </w:rPr>
        <w:t>If we are unable to successfully develop and timely manufacture our current and future products our business may be adversely affected.</w:t>
      </w:r>
    </w:p>
    <w:p>
      <w:pPr>
        <w:spacing w:after="0" w:line="29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Onso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Sequel, Sequel II/IIe, Revio, Onso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Sequel, Sequel II/IIe, Revio, Onso and Vega systems could materially and adversely affect our business, operations, financial condition,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Sequel II/IIe, Revio, Onso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2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and Vega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Onso and Vega systems and each of their related consumables, and any future long-read products, our business, operations, financial condition, and prospects may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business may be adversely affected by epidemics or other public health emergencies.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Our business could be adversely impacted by the effects of epidemics or other public health emergencies. These impacts could include, but are not necessarily limited to:</w:t>
      </w:r>
    </w:p>
    <w:p>
      <w:pPr>
        <w:spacing w:after="0" w:line="38" w:lineRule="exact"/>
        <w:rPr>
          <w:sz w:val="20"/>
          <w:szCs w:val="20"/>
          <w:color w:val="auto"/>
        </w:rPr>
      </w:pPr>
    </w:p>
    <w:p>
      <w:pPr>
        <w:ind w:left="620" w:hanging="304"/>
        <w:spacing w:after="0"/>
        <w:tabs>
          <w:tab w:leader="none" w:pos="620"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shutdowns or business disruptions experienced by manufacturers, suppliers and other third parties with whom we conduct business;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disruptions or interruptions to our supply chains;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changes in applicable public health regulations that require us to modify our business practices and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19"/>
        </w:numPr>
        <w:rPr>
          <w:rFonts w:ascii="Arial" w:cs="Arial" w:eastAsia="Arial" w:hAnsi="Arial"/>
          <w:sz w:val="17"/>
          <w:szCs w:val="17"/>
          <w:b w:val="1"/>
          <w:bCs w:val="1"/>
          <w:color w:val="DF1995"/>
        </w:rPr>
      </w:pPr>
      <w:r>
        <w:rPr>
          <w:rFonts w:ascii="Arial" w:cs="Arial" w:eastAsia="Arial" w:hAnsi="Arial"/>
          <w:sz w:val="17"/>
          <w:szCs w:val="17"/>
          <w:color w:val="auto"/>
        </w:rPr>
        <w:t>disruption to customer demand for our products.</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we may continue to experience an adverse impact to our business as a result of economic aftershocks, including recessionary effects and inflationary pressures.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Significant changes to our leadership team and the resulting management transitions might harm our future operating results.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3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DF1995"/>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spacing w:after="0" w:line="2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qualified personnel. If some of our employees’ temporary work permits expire and are not renewed, we may face increased turnover rates and labor shortages, which could result in higher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1374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and at an acceptable cost,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components may increase or the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such as the uncertainty in the Middle East,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or product components may be affected.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374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current manufacturing process is also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 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Rapidly changing technology in life sciences and research diagnostics could make our products obsolete unless we continue to develop, manufacture and commercialize new and improved products and pursue new opportunities.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Sequel, Sequel II/IIe, Revio, Onso and Vega systems, could diminish future demand for our products and may materially and adversely harm our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The size of the markets for our products, including our Revio, Onso and Vega instruments, may be smaller than estimated, and new market opportunities may not develop as quickly as we expect, or at all, limiting our ability to successfully sell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market for sequencing systems and consumables products is evolving, making it difficult to accurately predict the size of the markets for our current and future products, including our Revio, Onso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Increased market adoption of our products by customers may depend on the availability of sample preparation and informatics tools, some of which may be developed by third parties.</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33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operate in a highly competitive industry and if we are not able to compete effectively, our business and operating results will likely be harmed.</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374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may be unable to successfully increase sales of our current products or market and sell our future products.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54" w:lineRule="exact"/>
        <w:rPr>
          <w:sz w:val="20"/>
          <w:szCs w:val="20"/>
          <w:color w:val="auto"/>
        </w:rPr>
      </w:pPr>
    </w:p>
    <w:p>
      <w:pPr>
        <w:ind w:left="620" w:hanging="304"/>
        <w:spacing w:after="0" w:line="296" w:lineRule="auto"/>
        <w:tabs>
          <w:tab w:leader="none" w:pos="615"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our ability to attract, retain and manage qualified sales, marketing, and service personnel necessary to expand market acceptance for our technologies;</w:t>
      </w:r>
    </w:p>
    <w:p>
      <w:pPr>
        <w:spacing w:after="0" w:line="38" w:lineRule="exact"/>
        <w:rPr>
          <w:rFonts w:ascii="Arial" w:cs="Arial" w:eastAsia="Arial" w:hAnsi="Arial"/>
          <w:sz w:val="17"/>
          <w:szCs w:val="17"/>
          <w:b w:val="1"/>
          <w:bCs w:val="1"/>
          <w:color w:val="DF1995"/>
        </w:rPr>
      </w:pPr>
    </w:p>
    <w:p>
      <w:pPr>
        <w:ind w:left="620" w:hanging="304"/>
        <w:spacing w:after="0" w:line="268" w:lineRule="auto"/>
        <w:tabs>
          <w:tab w:leader="none" w:pos="615"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the performance and commercial availability expectations of our existing and potential customers with respect to new and existing products;</w:t>
      </w:r>
    </w:p>
    <w:p>
      <w:pPr>
        <w:spacing w:after="0" w:line="302"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availability of potential sales and distribution partners to sell our technologies, and our ability to attract and retain such sales and distribution partners;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our sales, marketing and service force may be unable to execute successful commercial activities.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and may in the future, use promotional pricing and similar measures to attract purchases of our products. These measures may not be successful in attracting purchases and, even if successful, may negatively impact our gross margins.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4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receive a significant portion of our revenue from a limited number of customers. While during the six months ended June 30, 2025, and 2024,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products are highly complex, have recurring support requirements and could have unknown defects or errors, which may give rise to claims against us or divert application of our resources from other purposes.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Sequel II/IIe, Revio, Onso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Onso and Vega systems, or enhancements to our existing products, including the SMRT Cell and the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28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A significant portion of our sales depends on customers’ spending budgets that may be subject to significant and unexpected variation which could have a negative effect on the demand for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1374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may not be able to convert our orders in backlog into revenue.</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sales cycles are unpredictable and lengthy, which makes it difficult to forecast revenue and may increase the magnitude of quarterly or annual fluctuations in our operating results.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Our operating results fluctuate from quarter to quarter and year over year, which makes our future results difficult to predict and could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negatively impact the market price of our common stock</w:t>
      </w:r>
      <w:r>
        <w:rPr>
          <w:rFonts w:ascii="Arial" w:cs="Arial" w:eastAsia="Arial" w:hAnsi="Arial"/>
          <w:sz w:val="17"/>
          <w:szCs w:val="17"/>
          <w:color w:val="000000"/>
        </w:rPr>
        <w:t>,” below.</w:t>
      </w:r>
    </w:p>
    <w:p>
      <w:pPr>
        <w:spacing w:after="0" w:line="13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Because some of our customers and suppliers are based in China, our business, financial condition and results of operations could be adversely affected by the political and economic tensions between the United States and China.</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risks associated with political conflicts between the U.S. and China. While during the six months ended June 30, 2025 and 2024,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1374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7"/>
          <w:szCs w:val="17"/>
          <w:u w:val="single" w:color="auto"/>
          <w:color w:val="0000FF"/>
        </w:rPr>
        <w:t>—</w:t>
      </w:r>
      <w:r>
        <w:rPr>
          <w:rFonts w:ascii="Arial" w:cs="Arial" w:eastAsia="Arial" w:hAnsi="Arial"/>
          <w:sz w:val="17"/>
          <w:szCs w:val="17"/>
          <w:i w:val="1"/>
          <w:iCs w:val="1"/>
          <w:u w:val="single" w:color="auto"/>
          <w:color w:val="0000FF"/>
        </w:rPr>
        <w:t>Enhanced trade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tariffs, import restrictions, export restrictions or other trade barriers may materially harm our business.</w:t>
      </w:r>
      <w:r>
        <w:rPr>
          <w:rFonts w:ascii="Arial" w:cs="Arial" w:eastAsia="Arial" w:hAnsi="Arial"/>
          <w:sz w:val="17"/>
          <w:szCs w:val="17"/>
          <w:color w:val="000000"/>
        </w:rPr>
        <w: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117" w:lineRule="exact"/>
        <w:rPr>
          <w:sz w:val="20"/>
          <w:szCs w:val="20"/>
          <w:color w:val="auto"/>
        </w:rPr>
      </w:pPr>
    </w:p>
    <w:p>
      <w:pPr>
        <w:jc w:val="both"/>
        <w:ind w:left="620" w:hanging="304"/>
        <w:spacing w:after="0" w:line="276" w:lineRule="auto"/>
        <w:tabs>
          <w:tab w:leader="none" w:pos="615"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54"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nationalization or other expropriation of private enterprises or intellectual property by the Chinese government.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Difficulties in this relationship may require us to take actions adverse to our business to comply with governmental restrictions on business and trade with China.</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face significant risks associated with doing business with Taiwanese suppliers and manufacturers due to the tense relationship between Taiwan and mainland China.</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operating results fluctuate from quarter to quarter and year over year, which makes our future results difficult to predict and could negatively impact the market price of our common stock.</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117" w:lineRule="exact"/>
        <w:rPr>
          <w:sz w:val="20"/>
          <w:szCs w:val="20"/>
          <w:color w:val="auto"/>
        </w:rPr>
      </w:pPr>
    </w:p>
    <w:p>
      <w:pPr>
        <w:ind w:left="620" w:hanging="304"/>
        <w:spacing w:after="0"/>
        <w:tabs>
          <w:tab w:leader="none" w:pos="620"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market acceptance for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our ability to attract new customers;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the length of our sales cycles, as discussed above;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our ability to achieve economies of scale and other manufacturing efficiencies at the rate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publications of studies by us, our competitors or third parties;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amount and timing of our costs and expenses;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changes in our pricing policies or those of our competitors;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general economic, industry and market conditions;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impact of catastrophic events, including health epidemics or pandemics and military or other armed conflicts;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regulatory environment in which we operate;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expenses associated with warranty obligations or unforeseen product quality issues;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hiring, training, and retention of key employees, including our ability to grow our sales organization;</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litigation or other claims against us for intellectual property infringement or otherwise;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our ability to obtain additional financing as necessary; and</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changes or trends in new technologies and industry standards.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3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ability to use net operating losses and certain other tax attributes to offset future taxable income may be subject to substantial limitations.</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spacing w:after="0" w:line="32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Changes in tax law and differences in interpretation of tax laws and regulations could adversely impact our business and financial condition.</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such as the recently enacted U.S. federal tax legislation commonly referred to as the One Big Beautiful Bill Act (the “OBBB Act”), changes in interpretations of existing laws and regulations or changes in accounting principles could negatively and materially affect our financial position, cash flows, and results of operations. We are currently evaluating the full impact of the OBBB Act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2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59" w:lineRule="exact"/>
        <w:rPr>
          <w:sz w:val="20"/>
          <w:szCs w:val="20"/>
          <w:color w:val="auto"/>
        </w:rPr>
      </w:pPr>
    </w:p>
    <w:p>
      <w:pPr>
        <w:ind w:left="620" w:hanging="304"/>
        <w:spacing w:after="0" w:line="296" w:lineRule="auto"/>
        <w:tabs>
          <w:tab w:leader="none" w:pos="615"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we or our licensors might not have been the first to make the inventions covered by each of our pending patent applications or issued patents;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we or our licensors might not have been the first to file patent applications for these inventions;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116" w:lineRule="exact"/>
        <w:rPr>
          <w:rFonts w:ascii="Arial" w:cs="Arial" w:eastAsia="Arial" w:hAnsi="Arial"/>
          <w:sz w:val="17"/>
          <w:szCs w:val="17"/>
          <w:b w:val="1"/>
          <w:bCs w:val="1"/>
          <w:color w:val="DF1995"/>
        </w:rPr>
      </w:pPr>
    </w:p>
    <w:p>
      <w:pPr>
        <w:jc w:val="both"/>
        <w:ind w:left="620" w:hanging="304"/>
        <w:spacing w:after="0" w:line="288" w:lineRule="auto"/>
        <w:tabs>
          <w:tab w:leader="none" w:pos="615"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59" w:lineRule="exact"/>
        <w:rPr>
          <w:rFonts w:ascii="Arial" w:cs="Arial" w:eastAsia="Arial" w:hAnsi="Arial"/>
          <w:sz w:val="17"/>
          <w:szCs w:val="17"/>
          <w:b w:val="1"/>
          <w:bCs w:val="1"/>
          <w:color w:val="DF1995"/>
        </w:rPr>
      </w:pPr>
    </w:p>
    <w:p>
      <w:pPr>
        <w:jc w:val="both"/>
        <w:ind w:left="620" w:hanging="304"/>
        <w:spacing w:after="0" w:line="276" w:lineRule="auto"/>
        <w:tabs>
          <w:tab w:leader="none" w:pos="615"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54"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our enforcement of patents and proprietary rights in other countries may be problematic or unpredictable;</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we or our partners may not adequately protect our trade secrets;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we may not develop additional proprietary technologies that are patentable; or</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71374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Variability in intellectual property laws may adversely affect our intellectual property position.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32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Some of the intellectual property that is important to our business is owned by other companies or institutions and licensed to us, and changes to the rights we have licensed may adversely impact our business.</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71374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DF1995"/>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3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intellectual property may be subject to challenges in the United States or foreign jurisdictions that could adversely affect our intellectual property position.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of certain patents that we have asserted against ONT Inc. and ONT Ltd. in litigation proceedings for patent infringement. While none of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71374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Some of our technology is subject to “march-in” rights by the U.S. government.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are involved in legal proceedings to enforce our intellectual property rights.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71374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have been, are currently, and could in the future be, subject to legal proceedings with third parties who may claim that our products infringe or misappropriate their intellectual property rights.</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have not yet registered some of our trademarks in all of our potential markets, and failure to secure those registrations could adversely affect our business.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71374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use of “open source” software could adversely affect our ability to sell our products and subject us to possible litigation.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are, and may become, subject to governmental regulations that may impose burdens on our operations, and the markets for our products may be narrowed.</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71374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DF1995"/>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will continue to monitor this case, as well as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under the new leadership at the Department of Health and Human Services under the Trump administration, agency reorganization, departure of high-profile regulators at the FDA,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Trump administration. There is significant uncertainty in the industry.</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374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DF1995"/>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Enhanced trade tariffs, import restrictions, export restrictions, or other trade barriers may materially harm our business.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ranging from 7.5% to 25% on the import of Chinese products, including non-U.S. components and materials that may be used in our products. Since that time, USTR has enacted further tariff increases on certain Chinese products, in some instances raising this additional tariff on these products to up to 100%. In February 2025, under separate authorities, the U.S. government enacted an additional 10% ad valorem tariff on almost all imports of Chinese-origin goods, and in March 2025, this tariff was further escalated to 20% ad valorem. An additional reciprocal tariff of 10% to 125% ad valorem had been imposed by the U.S. on many Chinese-origin goods since April 2025—alongside an 10% ad valorem tariff on almost all imports from trading partners other than China, Canada, Mexico, and countries with which the U.S. does not have normal trade relations—with limited exceptions for pharmaceuticals, semiconductors, computers, and certain other imports. Currently, this additional reciprocal tariff has been reduced to 10% through August 2025 pursuant to a trade deal reached between the U.S. and China; however, these tariff rates are currently under negotiation and are subject to further changes. Additionally, China also has imposed tariffs on imports into China from the U.S.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In February 2025, the Trump Administration also announced new 25% tariffs on imports from Canada and Mexico, which were temporarily suspended subject to further negotiations, and partially implemented with respect to goods not eligible for duty-free import under the U.S.-Mexico-Canada Agreement since March 2025; the U.S. government announced in July 2025 that these tariffs could increase to 35% for Canada and 30% for Mexico as of August 1, 2025. U.S. tariffs of 25% have also been implemented on a wider array of imported steel and aluminum items as of March 2025 (increased to 50% as of June 2025), on automobiles as of April 2025 and on automobile components as of May 2025. Additional reciprocal tariffs on a wide range of U.S. trading partners were briefly implemented in April 2025 but have since been temporarily suspended through August 2025. Additional tariffs may be forthcoming, including tariffs on items that have been the subject of recent U.S. executive orders and U.S. government tariff investigations, including (i) critical minerals and derivative products thereof (e.g., semiconductor wafers, semiconductors, and semiconductor manufacturing equipment) and (ii) pharmaceuticals and pharmaceutical products. Further tariffs may be imposed that could cover imports of additional components and materials used in our products and our business may be adversely impacted by these measures or by retaliatory trade measures taken by China, Canada, the EU, or other countries, including restricted access to components or materials used in our products or increased amounts that must be paid for our products, which could materially harm our business, financial condition, and results of operations.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or indirectly affected by macroeconomic effects resulting from these or other tariff related actions, including potential risks associated with inflation or economic recession.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71374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subject to U.S. export control laws and regulations, including the Export Administration Regulations administered by the U.S. Department of Commerce’s Bureau of Industry and Security.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imposed in 2022 restricting the ability to send certain products and technology related to semiconductors, semiconductor manufacturing, and supercomputing. In 2023 and 2024, the U.S. government expanded the list of advanced integrated circuits subject to heightened export controls, including certain hardware containing these specified integrated circuits, expanded the list of destinations requiring export authorization for such items, and added new restrictions based on the headquarters location of the parties involved. In many cases, these licenses are subject to a policy of denial and will not be issued. Regulations further expanding the controls to impose a worldwide licensing requirement on certain integrated circuits and computing resources that are used for training of AI models were introduced in January 2025 and were scheduled to have a compliance date of May 15, 2025. These regulations were rescinded shortly before the compliance date, but we expect that they will be replaced by a new regulation containing a version of these controls.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restrict our ability to use certain integrated circuits in our products. If we need to obtain any necessary export licenses or other authorizations for a particular</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 the process may be time-consuming and may result in the delay or loss of opportunities to sell our products. In April 2025, the Company received inquiries from the Bureau of Industry and Security (“BIS”) regarding a distributor based in Hong Kong and that distributor's customer located in China. In May 2025, following a review of sales to China, the Company responded to BIS's inquiries and submitted a voluntary self-disclosure to BIS related to a limited number of transactions. BIS is in the process of reviewing the information presented.</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we are found to be in violation of U.S. economic sanctions or export control laws, it could result in fines and penalties. We may also be adversely affected through other penalties, business disruption, reputational harm, loss of access to certain markets, or otherwise.</w:t>
      </w:r>
    </w:p>
    <w:p>
      <w:pPr>
        <w:spacing w:after="0" w:line="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Moreover, in November 2018, BIS released an advance notice of proposed rulemaking to control the export of emerging technologies. This notice included “[b]iotechnology, including nanobiology; synthetic biology; genomic and genetic engineering; or neurotech” as possible areas of increased export controls. Since 2018, the U.S. government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Chinese government has introduced retaliatory measures in response to existing or future U.S. export controls, tariffs and other trade restrictions and it is possible that the Chinese or U.S. governments will implement additional retaliatory measures which could impact our business. For example, in December 2024, China announced a new export control regime that includes stringent export controls on exports of germanium and gallium, and in February 2025 implemented additional export controls regulating the export of resources including tungsten, tellurium, bismuth, indium, and molybdenum. Export controls on these and other rare earth materials further increased in retaliation for the increase in U.S. tariffs on products of Chinese origin in April 2025, which resulted in a pause of the export of these materials from China. Chinese export controls have been and continue to be negotiated by U.S. and Chinese trade delegations in bilateral trade discussions, and these policies are subject to change.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70</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China and the United States and uncertainty how the U.S. or foreign governments will act with respect to export controls, tariffs, international trade agreements and policies, there could be additional tax or other regulatory changes in the future. Any such changes could, directly or indirectly, adversely impact our financial results and results of operations.</w:t>
      </w:r>
    </w:p>
    <w:p>
      <w:pPr>
        <w:spacing w:after="0" w:line="10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international business could expose us to business, regulatory, political, operational, financial, and economic risks associated with doing business outside of the United States.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17" w:lineRule="exact"/>
        <w:rPr>
          <w:sz w:val="20"/>
          <w:szCs w:val="20"/>
          <w:color w:val="auto"/>
        </w:rPr>
      </w:pPr>
    </w:p>
    <w:p>
      <w:pPr>
        <w:jc w:val="both"/>
        <w:ind w:left="620" w:hanging="304"/>
        <w:spacing w:after="0" w:line="265" w:lineRule="auto"/>
        <w:tabs>
          <w:tab w:leader="none" w:pos="615" w:val="left"/>
        </w:tabs>
        <w:numPr>
          <w:ilvl w:val="0"/>
          <w:numId w:val="25"/>
        </w:numPr>
        <w:rPr>
          <w:rFonts w:ascii="Arial" w:cs="Arial" w:eastAsia="Arial" w:hAnsi="Arial"/>
          <w:sz w:val="17"/>
          <w:szCs w:val="17"/>
          <w:color w:val="DF1995"/>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65" w:lineRule="exact"/>
        <w:rPr>
          <w:rFonts w:ascii="Arial" w:cs="Arial" w:eastAsia="Arial" w:hAnsi="Arial"/>
          <w:sz w:val="17"/>
          <w:szCs w:val="17"/>
          <w:color w:val="DF1995"/>
        </w:rPr>
      </w:pPr>
    </w:p>
    <w:p>
      <w:pPr>
        <w:ind w:left="620" w:hanging="304"/>
        <w:spacing w:after="0" w:line="296" w:lineRule="auto"/>
        <w:tabs>
          <w:tab w:leader="none" w:pos="615"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export requirements and import or trade restrictions;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laws and business practices favoring local companies;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restrictions on both inbound and outbound cross-border investment;</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38" w:lineRule="exact"/>
        <w:rPr>
          <w:rFonts w:ascii="Arial" w:cs="Arial" w:eastAsia="Arial" w:hAnsi="Arial"/>
          <w:sz w:val="17"/>
          <w:szCs w:val="17"/>
          <w:b w:val="1"/>
          <w:bCs w:val="1"/>
          <w:color w:val="DF1995"/>
        </w:rPr>
      </w:pPr>
    </w:p>
    <w:p>
      <w:pPr>
        <w:jc w:val="both"/>
        <w:ind w:left="620" w:hanging="304"/>
        <w:spacing w:after="0" w:line="265" w:lineRule="auto"/>
        <w:tabs>
          <w:tab w:leader="none" w:pos="615"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65"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potentially adverse tax consequences, tariffs, customs charges, bureaucratic requirements, and other trade barriers;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difficulties and costs of staffing and managing foreign operations; and</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3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Our operations involve the use of hazardous materials, and we must comply with environmental, health and safety laws, which can be expensive and may adversely affect our business, operating results and financial condition.</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71374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Ethical, legal, privacy, data protection and social concerns or governmental restrictions surrounding the use of genetic information could reduce demand for our technology.</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12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Owning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The price of our common stock has been, is, and may continue to be, highly volatile, and you may be unable to sell your shares at or above the price you paid to acquire them.</w:t>
      </w:r>
    </w:p>
    <w:p>
      <w:pPr>
        <w:spacing w:after="0" w:line="2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8" w:lineRule="exact"/>
        <w:rPr>
          <w:sz w:val="20"/>
          <w:szCs w:val="20"/>
          <w:color w:val="auto"/>
        </w:rPr>
      </w:pPr>
    </w:p>
    <w:p>
      <w:pPr>
        <w:ind w:left="620" w:hanging="304"/>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actual or anticipated fluctuations in our financial condition and operating results;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announcements of new products, technological innovations or strategic partnerships by us or our competitors;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overall conditions in our industry and market;</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addition or loss of significant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1374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changes in laws or regulations applicable to our products;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actual or anticipated changes in our growth rate relative to our competitors;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additions or departures of key personnel;</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competition from existing products or new products that may emerge;</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issuance of new or updated research or reports by securities analysts;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fluctuations in the valuation of companies perceived by investors to be comparable to us;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announcement or expectation of additional financing efforts;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sales of our common stock by us or our stockholders;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stock price and volume fluctuations attributable to inconsistent trading volume levels of our shares;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reports, guidance and ratings issued by securities or industry analysts;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operating results below the expectations of securities analysts or investors; and</w:t>
      </w:r>
    </w:p>
    <w:p>
      <w:pPr>
        <w:spacing w:after="0" w:line="116" w:lineRule="exact"/>
        <w:rPr>
          <w:rFonts w:ascii="Arial" w:cs="Arial" w:eastAsia="Arial" w:hAnsi="Arial"/>
          <w:sz w:val="17"/>
          <w:szCs w:val="17"/>
          <w:b w:val="1"/>
          <w:bCs w:val="1"/>
          <w:color w:val="DF1995"/>
        </w:rPr>
      </w:pPr>
    </w:p>
    <w:p>
      <w:pPr>
        <w:jc w:val="both"/>
        <w:ind w:left="620" w:hanging="304"/>
        <w:spacing w:after="0" w:line="265" w:lineRule="auto"/>
        <w:tabs>
          <w:tab w:leader="none" w:pos="615"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2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Concentration of ownership by our principal stockholders may result in control by such stockholders of the composition of our board of directors.</w:t>
      </w:r>
    </w:p>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DF1995"/>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54" w:lineRule="exact"/>
        <w:rPr>
          <w:sz w:val="20"/>
          <w:szCs w:val="20"/>
          <w:color w:val="auto"/>
        </w:rPr>
      </w:pPr>
    </w:p>
    <w:p>
      <w:pPr>
        <w:ind w:left="620" w:hanging="304"/>
        <w:spacing w:after="0" w:line="296" w:lineRule="auto"/>
        <w:tabs>
          <w:tab w:leader="none" w:pos="615"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establish that our board of directors is divided into three classes, Class I, Class II and Class III, with each class serving staggered terms (until our board of directors is fully declassified beginning with the 2027 annual meeting of stockholders);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provide that our directors may be removed only for cause; and</w:t>
      </w:r>
    </w:p>
    <w:p>
      <w:pPr>
        <w:spacing w:after="0" w:line="116" w:lineRule="exact"/>
        <w:rPr>
          <w:rFonts w:ascii="Arial" w:cs="Arial" w:eastAsia="Arial" w:hAnsi="Arial"/>
          <w:sz w:val="17"/>
          <w:szCs w:val="17"/>
          <w:b w:val="1"/>
          <w:bCs w:val="1"/>
          <w:color w:val="DF1995"/>
        </w:rPr>
      </w:pPr>
    </w:p>
    <w:p>
      <w:pPr>
        <w:ind w:left="620" w:hanging="304"/>
        <w:spacing w:after="0" w:line="268" w:lineRule="auto"/>
        <w:tabs>
          <w:tab w:leader="none" w:pos="615"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3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DF1995"/>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374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through (v) above, for any claim as to which such court determines that there is an indispensable party not subject to the jurisdiction of such court.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large number of authorized but unissued shares of common stock may potentially dilute existing stockholders’ stockholdings.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do not intend to pay dividends for the foreseeable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2025,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1374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The Side Letter to our 2029 Notes imposes operating restrictions on us.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November 21, 2024, in connection with the issuance of the 2029 Notes, the Company and SB Northstar LP (“SBN”) entered into a letter agreement (the “Letter Agreement”) pursuant to which the Company and SBN agreed that, for so long as SBN and its affiliates hold at least $ 180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spacing w:after="0" w:line="5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These covenants may adversely affect our ability to finance our operations, meet or otherwise address our capital needs, pursue business opportunities or react to market conditions, or otherwise restrict our activities or business plans.</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breach of any of the covenants under the Letter Agreement could result in an event of default under the 2029 Notes. As of June 30, 2025,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If the Notes are converted, it may adversely affect our financial condition and operating results.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General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Unfavorable global economic or political conditions could adversely affect our business, financial condition or results of operations.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escalation of the conflict in the Middle East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 For more information on impairment considerations, see “</w:t>
      </w:r>
      <w:r>
        <w:rPr>
          <w:rFonts w:ascii="Arial" w:cs="Arial" w:eastAsia="Arial" w:hAnsi="Arial"/>
          <w:sz w:val="17"/>
          <w:szCs w:val="17"/>
          <w:i w:val="1"/>
          <w:iCs w:val="1"/>
          <w:u w:val="single" w:color="auto"/>
          <w:color w:val="0000FF"/>
        </w:rPr>
        <w:t>—The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7"/>
          <w:szCs w:val="17"/>
          <w:color w:val="000000"/>
        </w:rPr>
        <w:t>” above.</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Delivery of our products could be delayed or disrupted by factors beyond our control, and we could lose customers as a result.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Doing business internationally creates operational and financial risks for our business.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72" w:lineRule="exact"/>
        <w:rPr>
          <w:sz w:val="20"/>
          <w:szCs w:val="20"/>
          <w:color w:val="auto"/>
        </w:rPr>
      </w:pPr>
    </w:p>
    <w:p>
      <w:pPr>
        <w:ind w:left="620" w:hanging="304"/>
        <w:spacing w:after="0"/>
        <w:tabs>
          <w:tab w:leader="none" w:pos="620"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challenges in staffing and managing foreign operations;</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potentially longer sales cycles and more time required to engage and educate customers on the benefits of our platform outside of the United States;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the potential need for localized software and documentation;</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defending against intellectual property claims 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208915</wp:posOffset>
            </wp:positionV>
            <wp:extent cx="71374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changes in diplomatic and trade relationships, including new, increased, or enhanced tariffs, trade protection measures, import or export licensing requirements, trade embargoes, sanctions, and other trade barriers;</w:t>
      </w:r>
    </w:p>
    <w:p>
      <w:pPr>
        <w:spacing w:after="0" w:line="38"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tariffs imposed by the U.S. on goods from other countries and tariffs imposed by other countries on U.S. goods, which may be imposed on products such as ours, the scope and duration of which, if implemented, remains uncertain;</w:t>
      </w:r>
    </w:p>
    <w:p>
      <w:pPr>
        <w:spacing w:after="0" w:line="38" w:lineRule="exact"/>
        <w:rPr>
          <w:rFonts w:ascii="Arial" w:cs="Arial" w:eastAsia="Arial" w:hAnsi="Arial"/>
          <w:sz w:val="17"/>
          <w:szCs w:val="17"/>
          <w:b w:val="1"/>
          <w:bCs w:val="1"/>
          <w:color w:val="DF1995"/>
        </w:rPr>
      </w:pPr>
    </w:p>
    <w:p>
      <w:pPr>
        <w:jc w:val="both"/>
        <w:ind w:left="620" w:hanging="304"/>
        <w:spacing w:after="0" w:line="288"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deterioration of political relations among, between, and within the U.S., Russia, China, Japan, Korea, Mexico, Canada, the United Kingdom (“U.K.”), and the European Union ("E.U."), which could have a material adverse effect on our sales and operations in these countries;</w:t>
      </w:r>
    </w:p>
    <w:p>
      <w:pPr>
        <w:spacing w:after="0" w:line="259"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spacing w:after="0" w:line="38"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fluctuations in currency exchange rates and the related effect on our results of operations;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increased financial accounting and reporting burdens and complexities;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potential limits to travel as a result of epidemics or pandemics;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disruptions to global trade due to disease outbreaks or conflicts;</w:t>
      </w:r>
    </w:p>
    <w:p>
      <w:pPr>
        <w:spacing w:after="0" w:line="116" w:lineRule="exact"/>
        <w:rPr>
          <w:rFonts w:ascii="Arial" w:cs="Arial" w:eastAsia="Arial" w:hAnsi="Arial"/>
          <w:sz w:val="17"/>
          <w:szCs w:val="17"/>
          <w:b w:val="1"/>
          <w:bCs w:val="1"/>
          <w:color w:val="DF1995"/>
        </w:rPr>
      </w:pPr>
    </w:p>
    <w:p>
      <w:pPr>
        <w:ind w:left="620" w:hanging="304"/>
        <w:spacing w:after="0"/>
        <w:tabs>
          <w:tab w:leader="none" w:pos="620"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potential increases on tariffs or restrictions on trade generally; and</w:t>
      </w:r>
    </w:p>
    <w:p>
      <w:pPr>
        <w:spacing w:after="0" w:line="116" w:lineRule="exact"/>
        <w:rPr>
          <w:rFonts w:ascii="Arial" w:cs="Arial" w:eastAsia="Arial" w:hAnsi="Arial"/>
          <w:sz w:val="17"/>
          <w:szCs w:val="17"/>
          <w:b w:val="1"/>
          <w:bCs w:val="1"/>
          <w:color w:val="DF1995"/>
        </w:rPr>
      </w:pPr>
    </w:p>
    <w:p>
      <w:pPr>
        <w:ind w:left="620" w:hanging="304"/>
        <w:spacing w:after="0" w:line="296" w:lineRule="auto"/>
        <w:tabs>
          <w:tab w:leader="none" w:pos="615" w:val="left"/>
        </w:tabs>
        <w:numPr>
          <w:ilvl w:val="0"/>
          <w:numId w:val="30"/>
        </w:numPr>
        <w:rPr>
          <w:rFonts w:ascii="Arial" w:cs="Arial" w:eastAsia="Arial" w:hAnsi="Arial"/>
          <w:sz w:val="17"/>
          <w:szCs w:val="17"/>
          <w:b w:val="1"/>
          <w:bCs w:val="1"/>
          <w:color w:val="DF1995"/>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If we fail to maintain proper and effective internal controls, our ability to produce accurate financial statements on a timely basis could be impaired, which would adversely affect our business and our stock price.</w:t>
      </w:r>
    </w:p>
    <w:p>
      <w:pPr>
        <w:spacing w:after="0" w:line="2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27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business could be negatively impacted by changes in the United States political environment.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374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2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Disruption of critical information technology systems or material breaches in the security of our systems could harm our business, customer relations and financial condition.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and conflict in the Middle East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1374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Security breaches and other disruptions could compromise our information and expose us to liability, which would cause our business and reputation to suffer.</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7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71374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use of artificial intelligence and machine learning technologies may result in reputational harm or liability.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DF1995"/>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318770</wp:posOffset>
            </wp:positionV>
            <wp:extent cx="71374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71374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DF1995"/>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235585</wp:posOffset>
            </wp:positionV>
            <wp:extent cx="634428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4428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34428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34428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34428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44285" cy="8255"/>
                    </a:xfrm>
                    <a:prstGeom prst="rect">
                      <a:avLst/>
                    </a:prstGeom>
                    <a:noFill/>
                  </pic:spPr>
                </pic:pic>
              </a:graphicData>
            </a:graphic>
          </wp:anchor>
        </w:drawing>
      </w:r>
    </w:p>
    <w:p>
      <w:pPr>
        <w:spacing w:after="0" w:line="37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634428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34428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13740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374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531495</wp:posOffset>
            </wp:positionV>
            <wp:extent cx="71374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Securities Trading Plans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41275</wp:posOffset>
            </wp:positionV>
            <wp:extent cx="713740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23"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71374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85</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-288290</wp:posOffset>
            </wp:positionV>
            <wp:extent cx="396240" cy="825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680085</wp:posOffset>
            </wp:positionV>
            <wp:extent cx="71374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374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Incorporated by reference herein</w:t>
            </w:r>
          </w:p>
        </w:tc>
      </w:tr>
      <w:tr>
        <w:trPr>
          <w:trHeight w:val="194"/>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center"/>
              <w:ind w:right="162"/>
              <w:spacing w:after="0"/>
              <w:rPr>
                <w:sz w:val="20"/>
                <w:szCs w:val="20"/>
                <w:color w:val="auto"/>
              </w:rPr>
            </w:pPr>
            <w:r>
              <w:rPr>
                <w:rFonts w:ascii="Arial" w:cs="Arial" w:eastAsia="Arial" w:hAnsi="Arial"/>
                <w:sz w:val="16"/>
                <w:szCs w:val="16"/>
                <w:b w:val="1"/>
                <w:bCs w:val="1"/>
                <w:color w:val="auto"/>
                <w:w w:val="97"/>
              </w:rPr>
              <w:t>Exhibit</w:t>
            </w:r>
          </w:p>
        </w:tc>
        <w:tc>
          <w:tcPr>
            <w:tcW w:w="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tcPr>
          <w:p>
            <w:pPr>
              <w:jc w:val="center"/>
              <w:ind w:left="182"/>
              <w:spacing w:after="0"/>
              <w:rPr>
                <w:sz w:val="20"/>
                <w:szCs w:val="20"/>
                <w:color w:val="auto"/>
              </w:rPr>
            </w:pPr>
            <w:r>
              <w:rPr>
                <w:rFonts w:ascii="Arial" w:cs="Arial" w:eastAsia="Arial" w:hAnsi="Arial"/>
                <w:sz w:val="16"/>
                <w:szCs w:val="16"/>
                <w:b w:val="1"/>
                <w:bCs w:val="1"/>
                <w:color w:val="auto"/>
                <w:w w:val="97"/>
              </w:rPr>
              <w:t>Exhibit</w:t>
            </w:r>
          </w:p>
        </w:tc>
        <w:tc>
          <w:tcPr>
            <w:tcW w:w="1840" w:type="dxa"/>
            <w:vAlign w:val="bottom"/>
          </w:tcPr>
          <w:p>
            <w:pPr>
              <w:spacing w:after="0"/>
              <w:rPr>
                <w:sz w:val="16"/>
                <w:szCs w:val="16"/>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342"/>
              <w:spacing w:after="0"/>
              <w:rPr>
                <w:sz w:val="20"/>
                <w:szCs w:val="20"/>
                <w:color w:val="auto"/>
              </w:rPr>
            </w:pPr>
            <w:r>
              <w:rPr>
                <w:rFonts w:ascii="Arial" w:cs="Arial" w:eastAsia="Arial" w:hAnsi="Arial"/>
                <w:sz w:val="16"/>
                <w:szCs w:val="16"/>
                <w:b w:val="1"/>
                <w:bCs w:val="1"/>
                <w:color w:val="auto"/>
                <w:w w:val="92"/>
              </w:rPr>
              <w:t>No.</w:t>
            </w:r>
          </w:p>
        </w:tc>
        <w:tc>
          <w:tcPr>
            <w:tcW w:w="26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11"/>
          </w:tcPr>
          <w:p>
            <w:pPr>
              <w:ind w:left="2420"/>
              <w:spacing w:after="0"/>
              <w:rPr>
                <w:sz w:val="20"/>
                <w:szCs w:val="20"/>
                <w:color w:val="auto"/>
              </w:rPr>
            </w:pPr>
            <w:r>
              <w:rPr>
                <w:rFonts w:ascii="Arial" w:cs="Arial" w:eastAsia="Arial" w:hAnsi="Arial"/>
                <w:sz w:val="16"/>
                <w:szCs w:val="16"/>
                <w:b w:val="1"/>
                <w:bCs w:val="1"/>
                <w:color w:val="auto"/>
              </w:rPr>
              <w:t>Description</w:t>
            </w:r>
          </w:p>
        </w:tc>
        <w:tc>
          <w:tcPr>
            <w:tcW w:w="680" w:type="dxa"/>
            <w:vAlign w:val="bottom"/>
            <w:tcBorders>
              <w:bottom w:val="single" w:sz="8" w:color="auto"/>
            </w:tcBorders>
          </w:tcPr>
          <w:p>
            <w:pPr>
              <w:jc w:val="center"/>
              <w:ind w:left="142"/>
              <w:spacing w:after="0"/>
              <w:rPr>
                <w:sz w:val="20"/>
                <w:szCs w:val="20"/>
                <w:color w:val="auto"/>
              </w:rPr>
            </w:pPr>
            <w:r>
              <w:rPr>
                <w:rFonts w:ascii="Arial" w:cs="Arial" w:eastAsia="Arial" w:hAnsi="Arial"/>
                <w:sz w:val="16"/>
                <w:szCs w:val="16"/>
                <w:b w:val="1"/>
                <w:bCs w:val="1"/>
                <w:color w:val="auto"/>
                <w:w w:val="94"/>
              </w:rPr>
              <w:t>Form</w:t>
            </w:r>
          </w:p>
        </w:tc>
        <w:tc>
          <w:tcPr>
            <w:tcW w:w="134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b w:val="1"/>
                <w:bCs w:val="1"/>
                <w:color w:val="auto"/>
              </w:rPr>
              <w:t>No.</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Filing Date</w:t>
            </w:r>
          </w:p>
        </w:tc>
      </w:tr>
      <w:tr>
        <w:trPr>
          <w:trHeight w:val="199"/>
        </w:trPr>
        <w:tc>
          <w:tcPr>
            <w:tcW w:w="20" w:type="dxa"/>
            <w:vAlign w:val="bottom"/>
          </w:tcPr>
          <w:p>
            <w:pPr>
              <w:spacing w:after="0"/>
              <w:rPr>
                <w:sz w:val="17"/>
                <w:szCs w:val="17"/>
                <w:color w:val="auto"/>
              </w:rPr>
            </w:pPr>
          </w:p>
        </w:tc>
        <w:tc>
          <w:tcPr>
            <w:tcW w:w="220" w:type="dxa"/>
            <w:vAlign w:val="bottom"/>
            <w:tcBorders>
              <w:bottom w:val="single" w:sz="8" w:color="0000FF"/>
            </w:tcBorders>
          </w:tcPr>
          <w:p>
            <w:pPr>
              <w:spacing w:after="0" w:line="179" w:lineRule="exact"/>
              <w:rPr>
                <w:rFonts w:ascii="Arial" w:cs="Arial" w:eastAsia="Arial" w:hAnsi="Arial"/>
                <w:sz w:val="16"/>
                <w:szCs w:val="16"/>
                <w:color w:val="0000FF"/>
                <w:w w:val="89"/>
              </w:rPr>
            </w:pPr>
            <w:hyperlink r:id="rId571">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Borders>
              <w:bottom w:val="single" w:sz="8" w:color="0000FF"/>
            </w:tcBorders>
            <w:gridSpan w:val="11"/>
          </w:tcPr>
          <w:p>
            <w:pPr>
              <w:spacing w:after="0" w:line="179" w:lineRule="exact"/>
              <w:rPr>
                <w:rFonts w:ascii="Arial" w:cs="Arial" w:eastAsia="Arial" w:hAnsi="Arial"/>
                <w:sz w:val="16"/>
                <w:szCs w:val="16"/>
                <w:color w:val="0000FF"/>
                <w:w w:val="97"/>
              </w:rPr>
            </w:pPr>
            <w:hyperlink r:id="rId571">
              <w:r>
                <w:rPr>
                  <w:rFonts w:ascii="Arial" w:cs="Arial" w:eastAsia="Arial" w:hAnsi="Arial"/>
                  <w:sz w:val="16"/>
                  <w:szCs w:val="16"/>
                  <w:color w:val="0000FF"/>
                  <w:w w:val="97"/>
                </w:rPr>
                <w:t>Amended and Restated Certificate of Incorporation of Pacific Biosciences of California,</w:t>
              </w:r>
            </w:hyperlink>
          </w:p>
        </w:tc>
        <w:tc>
          <w:tcPr>
            <w:tcW w:w="220" w:type="dxa"/>
            <w:vAlign w:val="bottom"/>
          </w:tcPr>
          <w:p>
            <w:pPr>
              <w:spacing w:after="0"/>
              <w:rPr>
                <w:sz w:val="17"/>
                <w:szCs w:val="17"/>
                <w:color w:val="auto"/>
              </w:rPr>
            </w:pPr>
          </w:p>
        </w:tc>
        <w:tc>
          <w:tcPr>
            <w:tcW w:w="680" w:type="dxa"/>
            <w:vAlign w:val="bottom"/>
          </w:tcPr>
          <w:p>
            <w:pPr>
              <w:jc w:val="center"/>
              <w:ind w:left="142"/>
              <w:spacing w:after="0" w:line="179" w:lineRule="exact"/>
              <w:rPr>
                <w:sz w:val="20"/>
                <w:szCs w:val="20"/>
                <w:color w:val="auto"/>
              </w:rPr>
            </w:pPr>
            <w:r>
              <w:rPr>
                <w:rFonts w:ascii="Arial" w:cs="Arial" w:eastAsia="Arial" w:hAnsi="Arial"/>
                <w:sz w:val="16"/>
                <w:szCs w:val="16"/>
                <w:color w:val="auto"/>
              </w:rPr>
              <w:t>10-K</w:t>
            </w:r>
          </w:p>
        </w:tc>
        <w:tc>
          <w:tcPr>
            <w:tcW w:w="1340" w:type="dxa"/>
            <w:vAlign w:val="bottom"/>
          </w:tcPr>
          <w:p>
            <w:pPr>
              <w:jc w:val="center"/>
              <w:ind w:left="162"/>
              <w:spacing w:after="0" w:line="179" w:lineRule="exact"/>
              <w:rPr>
                <w:sz w:val="20"/>
                <w:szCs w:val="20"/>
                <w:color w:val="auto"/>
              </w:rPr>
            </w:pPr>
            <w:r>
              <w:rPr>
                <w:rFonts w:ascii="Arial" w:cs="Arial" w:eastAsia="Arial" w:hAnsi="Arial"/>
                <w:sz w:val="16"/>
                <w:szCs w:val="16"/>
                <w:color w:val="auto"/>
                <w:w w:val="98"/>
              </w:rPr>
              <w:t>3.1</w:t>
            </w:r>
          </w:p>
        </w:tc>
        <w:tc>
          <w:tcPr>
            <w:tcW w:w="1840" w:type="dxa"/>
            <w:vAlign w:val="bottom"/>
          </w:tcPr>
          <w:p>
            <w:pPr>
              <w:jc w:val="center"/>
              <w:spacing w:after="0" w:line="179" w:lineRule="exact"/>
              <w:rPr>
                <w:sz w:val="20"/>
                <w:szCs w:val="20"/>
                <w:color w:val="auto"/>
              </w:rPr>
            </w:pPr>
            <w:r>
              <w:rPr>
                <w:rFonts w:ascii="Arial" w:cs="Arial" w:eastAsia="Arial" w:hAnsi="Arial"/>
                <w:sz w:val="16"/>
                <w:szCs w:val="16"/>
                <w:color w:val="auto"/>
                <w:w w:val="95"/>
              </w:rPr>
              <w:t>March 23, 2011</w:t>
            </w: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bottom w:val="single" w:sz="8" w:color="0000FF"/>
            </w:tcBorders>
          </w:tcPr>
          <w:p>
            <w:pPr>
              <w:spacing w:after="0" w:line="142" w:lineRule="exact"/>
              <w:rPr>
                <w:rFonts w:ascii="Arial" w:cs="Arial" w:eastAsia="Arial" w:hAnsi="Arial"/>
                <w:sz w:val="16"/>
                <w:szCs w:val="16"/>
                <w:color w:val="0000FF"/>
                <w:w w:val="92"/>
              </w:rPr>
            </w:pPr>
            <w:hyperlink r:id="rId571">
              <w:r>
                <w:rPr>
                  <w:rFonts w:ascii="Arial" w:cs="Arial" w:eastAsia="Arial" w:hAnsi="Arial"/>
                  <w:sz w:val="16"/>
                  <w:szCs w:val="16"/>
                  <w:color w:val="0000FF"/>
                  <w:w w:val="92"/>
                </w:rPr>
                <w:t>Inc.</w:t>
              </w:r>
            </w:hyperlink>
          </w:p>
        </w:tc>
        <w:tc>
          <w:tcPr>
            <w:tcW w:w="5960" w:type="dxa"/>
            <w:vAlign w:val="bottom"/>
            <w:gridSpan w:val="11"/>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27"/>
        </w:trPr>
        <w:tc>
          <w:tcPr>
            <w:tcW w:w="20" w:type="dxa"/>
            <w:vAlign w:val="bottom"/>
          </w:tcPr>
          <w:p>
            <w:pPr>
              <w:spacing w:after="0"/>
              <w:rPr>
                <w:sz w:val="19"/>
                <w:szCs w:val="19"/>
                <w:color w:val="auto"/>
              </w:rPr>
            </w:pPr>
          </w:p>
        </w:tc>
        <w:tc>
          <w:tcPr>
            <w:tcW w:w="220" w:type="dxa"/>
            <w:vAlign w:val="bottom"/>
            <w:tcBorders>
              <w:bottom w:val="single" w:sz="8" w:color="0000FF"/>
            </w:tcBorders>
          </w:tcPr>
          <w:p>
            <w:pPr>
              <w:spacing w:after="0"/>
              <w:rPr>
                <w:rFonts w:ascii="Arial" w:cs="Arial" w:eastAsia="Arial" w:hAnsi="Arial"/>
                <w:sz w:val="16"/>
                <w:szCs w:val="16"/>
                <w:color w:val="0000FF"/>
                <w:w w:val="89"/>
              </w:rPr>
            </w:pPr>
            <w:hyperlink r:id="rId572">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40" w:type="dxa"/>
            <w:vAlign w:val="bottom"/>
            <w:tcBorders>
              <w:bottom w:val="single" w:sz="8" w:color="0000FF"/>
            </w:tcBorders>
            <w:gridSpan w:val="10"/>
          </w:tcPr>
          <w:p>
            <w:pPr>
              <w:spacing w:after="0"/>
              <w:rPr>
                <w:rFonts w:ascii="Arial" w:cs="Arial" w:eastAsia="Arial" w:hAnsi="Arial"/>
                <w:sz w:val="16"/>
                <w:szCs w:val="16"/>
                <w:color w:val="0000FF"/>
                <w:w w:val="97"/>
              </w:rPr>
            </w:pPr>
            <w:hyperlink r:id="rId572">
              <w:r>
                <w:rPr>
                  <w:rFonts w:ascii="Arial" w:cs="Arial" w:eastAsia="Arial" w:hAnsi="Arial"/>
                  <w:sz w:val="16"/>
                  <w:szCs w:val="16"/>
                  <w:color w:val="0000FF"/>
                  <w:w w:val="97"/>
                </w:rPr>
                <w:t>Certificate of Amendment to the Amended and Restated Certificate of Incorporation of</w:t>
              </w:r>
            </w:hyperlink>
          </w:p>
        </w:tc>
        <w:tc>
          <w:tcPr>
            <w:tcW w:w="280" w:type="dxa"/>
            <w:vAlign w:val="bottom"/>
            <w:gridSpan w:val="2"/>
          </w:tcPr>
          <w:p>
            <w:pPr>
              <w:spacing w:after="0"/>
              <w:rPr>
                <w:sz w:val="19"/>
                <w:szCs w:val="19"/>
                <w:color w:val="auto"/>
              </w:rPr>
            </w:pPr>
          </w:p>
        </w:tc>
        <w:tc>
          <w:tcPr>
            <w:tcW w:w="680" w:type="dxa"/>
            <w:vAlign w:val="bottom"/>
          </w:tcPr>
          <w:p>
            <w:pPr>
              <w:jc w:val="center"/>
              <w:ind w:left="142"/>
              <w:spacing w:after="0"/>
              <w:rPr>
                <w:sz w:val="20"/>
                <w:szCs w:val="20"/>
                <w:color w:val="auto"/>
              </w:rPr>
            </w:pPr>
            <w:r>
              <w:rPr>
                <w:rFonts w:ascii="Arial" w:cs="Arial" w:eastAsia="Arial" w:hAnsi="Arial"/>
                <w:sz w:val="16"/>
                <w:szCs w:val="16"/>
                <w:color w:val="auto"/>
              </w:rPr>
              <w:t>8-K</w:t>
            </w:r>
          </w:p>
        </w:tc>
        <w:tc>
          <w:tcPr>
            <w:tcW w:w="1340" w:type="dxa"/>
            <w:vAlign w:val="bottom"/>
          </w:tcPr>
          <w:p>
            <w:pPr>
              <w:jc w:val="center"/>
              <w:ind w:left="162"/>
              <w:spacing w:after="0"/>
              <w:rPr>
                <w:sz w:val="20"/>
                <w:szCs w:val="20"/>
                <w:color w:val="auto"/>
              </w:rPr>
            </w:pPr>
            <w:r>
              <w:rPr>
                <w:rFonts w:ascii="Arial" w:cs="Arial" w:eastAsia="Arial" w:hAnsi="Arial"/>
                <w:sz w:val="16"/>
                <w:szCs w:val="16"/>
                <w:color w:val="auto"/>
                <w:w w:val="98"/>
              </w:rPr>
              <w:t>3.1</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June 20, 2024</w:t>
            </w: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80" w:type="dxa"/>
            <w:vAlign w:val="bottom"/>
            <w:tcBorders>
              <w:bottom w:val="single" w:sz="8" w:color="0000FF"/>
            </w:tcBorders>
            <w:gridSpan w:val="3"/>
          </w:tcPr>
          <w:p>
            <w:pPr>
              <w:spacing w:after="0" w:line="162" w:lineRule="exact"/>
              <w:rPr>
                <w:rFonts w:ascii="Arial" w:cs="Arial" w:eastAsia="Arial" w:hAnsi="Arial"/>
                <w:sz w:val="16"/>
                <w:szCs w:val="16"/>
                <w:color w:val="0000FF"/>
                <w:w w:val="97"/>
              </w:rPr>
            </w:pPr>
            <w:hyperlink r:id="rId572">
              <w:r>
                <w:rPr>
                  <w:rFonts w:ascii="Arial" w:cs="Arial" w:eastAsia="Arial" w:hAnsi="Arial"/>
                  <w:sz w:val="16"/>
                  <w:szCs w:val="16"/>
                  <w:color w:val="0000FF"/>
                  <w:w w:val="97"/>
                </w:rPr>
                <w:t>Pacific Biosciences of California, Inc. to declassify the Board</w:t>
              </w:r>
            </w:hyperlink>
          </w:p>
        </w:tc>
        <w:tc>
          <w:tcPr>
            <w:tcW w:w="2040" w:type="dxa"/>
            <w:vAlign w:val="bottom"/>
            <w:gridSpan w:val="9"/>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20" w:type="dxa"/>
            <w:vAlign w:val="bottom"/>
            <w:tcBorders>
              <w:bottom w:val="single" w:sz="8" w:color="0000FF"/>
            </w:tcBorders>
          </w:tcPr>
          <w:p>
            <w:pPr>
              <w:spacing w:after="0"/>
              <w:rPr>
                <w:rFonts w:ascii="Arial" w:cs="Arial" w:eastAsia="Arial" w:hAnsi="Arial"/>
                <w:sz w:val="16"/>
                <w:szCs w:val="16"/>
                <w:color w:val="0000FF"/>
                <w:w w:val="89"/>
              </w:rPr>
            </w:pPr>
            <w:hyperlink r:id="rId573">
              <w:r>
                <w:rPr>
                  <w:rFonts w:ascii="Arial" w:cs="Arial" w:eastAsia="Arial" w:hAnsi="Arial"/>
                  <w:sz w:val="16"/>
                  <w:szCs w:val="16"/>
                  <w:color w:val="0000FF"/>
                  <w:w w:val="89"/>
                </w:rPr>
                <w:t>3.</w:t>
              </w:r>
              <w:r>
                <w:rPr>
                  <w:rFonts w:ascii="Arial" w:cs="Arial" w:eastAsia="Arial" w:hAnsi="Arial"/>
                  <w:sz w:val="16"/>
                  <w:szCs w:val="16"/>
                  <w:u w:val="single" w:color="auto"/>
                  <w:color w:val="0000FF"/>
                  <w:w w:val="89"/>
                </w:rPr>
                <w:t>3</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40" w:type="dxa"/>
            <w:vAlign w:val="bottom"/>
            <w:tcBorders>
              <w:bottom w:val="single" w:sz="8" w:color="0000FF"/>
            </w:tcBorders>
            <w:gridSpan w:val="10"/>
          </w:tcPr>
          <w:p>
            <w:pPr>
              <w:spacing w:after="0"/>
              <w:rPr>
                <w:rFonts w:ascii="Arial" w:cs="Arial" w:eastAsia="Arial" w:hAnsi="Arial"/>
                <w:sz w:val="16"/>
                <w:szCs w:val="16"/>
                <w:color w:val="0000FF"/>
                <w:w w:val="97"/>
              </w:rPr>
            </w:pPr>
            <w:hyperlink r:id="rId573">
              <w:r>
                <w:rPr>
                  <w:rFonts w:ascii="Arial" w:cs="Arial" w:eastAsia="Arial" w:hAnsi="Arial"/>
                  <w:sz w:val="16"/>
                  <w:szCs w:val="16"/>
                  <w:color w:val="0000FF"/>
                  <w:w w:val="97"/>
                </w:rPr>
                <w:t>Certificate of Amendment to the Amended and Restated Certificate of Incorporation of</w:t>
              </w:r>
            </w:hyperlink>
          </w:p>
        </w:tc>
        <w:tc>
          <w:tcPr>
            <w:tcW w:w="280" w:type="dxa"/>
            <w:vAlign w:val="bottom"/>
            <w:gridSpan w:val="2"/>
          </w:tcPr>
          <w:p>
            <w:pPr>
              <w:spacing w:after="0"/>
              <w:rPr>
                <w:sz w:val="19"/>
                <w:szCs w:val="19"/>
                <w:color w:val="auto"/>
              </w:rPr>
            </w:pPr>
          </w:p>
        </w:tc>
        <w:tc>
          <w:tcPr>
            <w:tcW w:w="680" w:type="dxa"/>
            <w:vAlign w:val="bottom"/>
          </w:tcPr>
          <w:p>
            <w:pPr>
              <w:jc w:val="center"/>
              <w:ind w:left="142"/>
              <w:spacing w:after="0"/>
              <w:rPr>
                <w:sz w:val="20"/>
                <w:szCs w:val="20"/>
                <w:color w:val="auto"/>
              </w:rPr>
            </w:pPr>
            <w:r>
              <w:rPr>
                <w:rFonts w:ascii="Arial" w:cs="Arial" w:eastAsia="Arial" w:hAnsi="Arial"/>
                <w:sz w:val="16"/>
                <w:szCs w:val="16"/>
                <w:color w:val="auto"/>
              </w:rPr>
              <w:t>8-K</w:t>
            </w:r>
          </w:p>
        </w:tc>
        <w:tc>
          <w:tcPr>
            <w:tcW w:w="1340" w:type="dxa"/>
            <w:vAlign w:val="bottom"/>
          </w:tcPr>
          <w:p>
            <w:pPr>
              <w:jc w:val="center"/>
              <w:ind w:left="162"/>
              <w:spacing w:after="0"/>
              <w:rPr>
                <w:sz w:val="20"/>
                <w:szCs w:val="20"/>
                <w:color w:val="auto"/>
              </w:rPr>
            </w:pPr>
            <w:r>
              <w:rPr>
                <w:rFonts w:ascii="Arial" w:cs="Arial" w:eastAsia="Arial" w:hAnsi="Arial"/>
                <w:sz w:val="16"/>
                <w:szCs w:val="16"/>
                <w:color w:val="auto"/>
                <w:w w:val="98"/>
              </w:rPr>
              <w:t>3.2</w:t>
            </w:r>
          </w:p>
        </w:tc>
        <w:tc>
          <w:tcPr>
            <w:tcW w:w="1840" w:type="dxa"/>
            <w:vAlign w:val="bottom"/>
          </w:tcPr>
          <w:p>
            <w:pPr>
              <w:jc w:val="center"/>
              <w:spacing w:after="0"/>
              <w:rPr>
                <w:sz w:val="20"/>
                <w:szCs w:val="20"/>
                <w:color w:val="auto"/>
              </w:rPr>
            </w:pPr>
            <w:r>
              <w:rPr>
                <w:rFonts w:ascii="Arial" w:cs="Arial" w:eastAsia="Arial" w:hAnsi="Arial"/>
                <w:sz w:val="16"/>
                <w:szCs w:val="16"/>
                <w:color w:val="auto"/>
                <w:w w:val="96"/>
              </w:rPr>
              <w:t>June 20, 2024</w:t>
            </w:r>
          </w:p>
        </w:tc>
      </w:t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gridSpan w:val="12"/>
          </w:tcPr>
          <w:p>
            <w:pPr>
              <w:spacing w:after="0" w:line="162" w:lineRule="exact"/>
              <w:rPr>
                <w:rFonts w:ascii="Arial" w:cs="Arial" w:eastAsia="Arial" w:hAnsi="Arial"/>
                <w:sz w:val="16"/>
                <w:szCs w:val="16"/>
                <w:color w:val="0000FF"/>
              </w:rPr>
            </w:pPr>
            <w:hyperlink r:id="rId573">
              <w:r>
                <w:rPr>
                  <w:rFonts w:ascii="Arial" w:cs="Arial" w:eastAsia="Arial" w:hAnsi="Arial"/>
                  <w:sz w:val="16"/>
                  <w:szCs w:val="16"/>
                  <w:color w:val="0000FF"/>
                </w:rPr>
                <w:t>Pacific Biosciences of California, Inc. to limit the liability of officers</w:t>
              </w:r>
            </w:hyperlink>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220" w:type="dxa"/>
            <w:vAlign w:val="bottom"/>
            <w:tcBorders>
              <w:bottom w:val="single" w:sz="8" w:color="0000FF"/>
            </w:tcBorders>
          </w:tcPr>
          <w:p>
            <w:pPr>
              <w:spacing w:after="0"/>
              <w:rPr>
                <w:rFonts w:ascii="Arial" w:cs="Arial" w:eastAsia="Arial" w:hAnsi="Arial"/>
                <w:sz w:val="16"/>
                <w:szCs w:val="16"/>
                <w:color w:val="0000FF"/>
                <w:w w:val="89"/>
              </w:rPr>
            </w:pPr>
            <w:hyperlink r:id="rId574">
              <w:r>
                <w:rPr>
                  <w:rFonts w:ascii="Arial" w:cs="Arial" w:eastAsia="Arial" w:hAnsi="Arial"/>
                  <w:sz w:val="16"/>
                  <w:szCs w:val="16"/>
                  <w:color w:val="0000FF"/>
                  <w:w w:val="89"/>
                </w:rPr>
                <w:t>3.</w:t>
              </w:r>
              <w:r>
                <w:rPr>
                  <w:rFonts w:ascii="Arial" w:cs="Arial" w:eastAsia="Arial" w:hAnsi="Arial"/>
                  <w:sz w:val="16"/>
                  <w:szCs w:val="16"/>
                  <w:u w:val="single" w:color="auto"/>
                  <w:color w:val="0000FF"/>
                  <w:w w:val="89"/>
                </w:rPr>
                <w:t>4</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360" w:type="dxa"/>
            <w:vAlign w:val="bottom"/>
            <w:tcBorders>
              <w:bottom w:val="single" w:sz="8" w:color="0000FF"/>
            </w:tcBorders>
            <w:gridSpan w:val="5"/>
          </w:tcPr>
          <w:p>
            <w:pPr>
              <w:spacing w:after="0"/>
              <w:rPr>
                <w:rFonts w:ascii="Arial" w:cs="Arial" w:eastAsia="Arial" w:hAnsi="Arial"/>
                <w:sz w:val="16"/>
                <w:szCs w:val="16"/>
                <w:color w:val="0000FF"/>
                <w:w w:val="97"/>
              </w:rPr>
            </w:pPr>
            <w:hyperlink r:id="rId574">
              <w:r>
                <w:rPr>
                  <w:rFonts w:ascii="Arial" w:cs="Arial" w:eastAsia="Arial" w:hAnsi="Arial"/>
                  <w:sz w:val="16"/>
                  <w:szCs w:val="16"/>
                  <w:color w:val="0000FF"/>
                  <w:w w:val="97"/>
                </w:rPr>
                <w:t>Third Amended and Restated Bylaws of Pacific Biosciences of California, Inc.</w:t>
              </w:r>
            </w:hyperlink>
          </w:p>
        </w:tc>
        <w:tc>
          <w:tcPr>
            <w:tcW w:w="860" w:type="dxa"/>
            <w:vAlign w:val="bottom"/>
            <w:gridSpan w:val="7"/>
          </w:tcPr>
          <w:p>
            <w:pPr>
              <w:spacing w:after="0"/>
              <w:rPr>
                <w:sz w:val="19"/>
                <w:szCs w:val="19"/>
                <w:color w:val="auto"/>
              </w:rPr>
            </w:pPr>
          </w:p>
        </w:tc>
        <w:tc>
          <w:tcPr>
            <w:tcW w:w="680" w:type="dxa"/>
            <w:vAlign w:val="bottom"/>
          </w:tcPr>
          <w:p>
            <w:pPr>
              <w:jc w:val="center"/>
              <w:ind w:left="142"/>
              <w:spacing w:after="0"/>
              <w:rPr>
                <w:sz w:val="20"/>
                <w:szCs w:val="20"/>
                <w:color w:val="auto"/>
              </w:rPr>
            </w:pPr>
            <w:r>
              <w:rPr>
                <w:rFonts w:ascii="Arial" w:cs="Arial" w:eastAsia="Arial" w:hAnsi="Arial"/>
                <w:sz w:val="16"/>
                <w:szCs w:val="16"/>
                <w:color w:val="auto"/>
              </w:rPr>
              <w:t>8-K</w:t>
            </w:r>
          </w:p>
        </w:tc>
        <w:tc>
          <w:tcPr>
            <w:tcW w:w="1340" w:type="dxa"/>
            <w:vAlign w:val="bottom"/>
          </w:tcPr>
          <w:p>
            <w:pPr>
              <w:jc w:val="center"/>
              <w:ind w:left="162"/>
              <w:spacing w:after="0"/>
              <w:rPr>
                <w:sz w:val="20"/>
                <w:szCs w:val="20"/>
                <w:color w:val="auto"/>
              </w:rPr>
            </w:pPr>
            <w:r>
              <w:rPr>
                <w:rFonts w:ascii="Arial" w:cs="Arial" w:eastAsia="Arial" w:hAnsi="Arial"/>
                <w:sz w:val="16"/>
                <w:szCs w:val="16"/>
                <w:color w:val="auto"/>
                <w:w w:val="98"/>
              </w:rPr>
              <w:t>3.1</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November 7, 2022</w:t>
            </w:r>
          </w:p>
        </w:tc>
      </w:tr>
      <w:tr>
        <w:trPr>
          <w:trHeight w:val="214"/>
        </w:trPr>
        <w:tc>
          <w:tcPr>
            <w:tcW w:w="20" w:type="dxa"/>
            <w:vAlign w:val="bottom"/>
          </w:tcPr>
          <w:p>
            <w:pPr>
              <w:spacing w:after="0"/>
              <w:rPr>
                <w:sz w:val="18"/>
                <w:szCs w:val="18"/>
                <w:color w:val="auto"/>
              </w:rPr>
            </w:pPr>
          </w:p>
        </w:tc>
        <w:tc>
          <w:tcPr>
            <w:tcW w:w="400" w:type="dxa"/>
            <w:vAlign w:val="bottom"/>
            <w:tcBorders>
              <w:bottom w:val="single" w:sz="8" w:color="0000FF"/>
            </w:tcBorders>
            <w:gridSpan w:val="3"/>
          </w:tcPr>
          <w:p>
            <w:pPr>
              <w:spacing w:after="0"/>
              <w:rPr>
                <w:rFonts w:ascii="Arial" w:cs="Arial" w:eastAsia="Arial" w:hAnsi="Arial"/>
                <w:sz w:val="16"/>
                <w:szCs w:val="16"/>
                <w:color w:val="0000FF"/>
                <w:w w:val="93"/>
              </w:rPr>
            </w:pPr>
            <w:r>
              <w:rPr>
                <w:rFonts w:ascii="Arial" w:cs="Arial" w:eastAsia="Arial" w:hAnsi="Arial"/>
                <w:sz w:val="16"/>
                <w:szCs w:val="16"/>
                <w:color w:val="0000FF"/>
                <w:w w:val="93"/>
              </w:rPr>
              <w:t>10.</w:t>
            </w:r>
            <w:hyperlink r:id="rId575">
              <w:r>
                <w:rPr>
                  <w:rFonts w:ascii="Arial" w:cs="Arial" w:eastAsia="Arial" w:hAnsi="Arial"/>
                  <w:sz w:val="16"/>
                  <w:szCs w:val="16"/>
                  <w:u w:val="single" w:color="auto"/>
                  <w:color w:val="0000FF"/>
                  <w:w w:val="93"/>
                </w:rPr>
                <w:t>1+</w:t>
              </w:r>
            </w:hyperlink>
          </w:p>
        </w:tc>
        <w:tc>
          <w:tcPr>
            <w:tcW w:w="740" w:type="dxa"/>
            <w:vAlign w:val="bottom"/>
          </w:tcPr>
          <w:p>
            <w:pPr>
              <w:spacing w:after="0"/>
              <w:rPr>
                <w:sz w:val="18"/>
                <w:szCs w:val="18"/>
                <w:color w:val="auto"/>
              </w:rPr>
            </w:pPr>
          </w:p>
        </w:tc>
        <w:tc>
          <w:tcPr>
            <w:tcW w:w="5400" w:type="dxa"/>
            <w:vAlign w:val="bottom"/>
            <w:tcBorders>
              <w:bottom w:val="single" w:sz="8" w:color="0000FF"/>
            </w:tcBorders>
            <w:gridSpan w:val="6"/>
          </w:tcPr>
          <w:p>
            <w:pPr>
              <w:spacing w:after="0"/>
              <w:rPr>
                <w:rFonts w:ascii="Arial" w:cs="Arial" w:eastAsia="Arial" w:hAnsi="Arial"/>
                <w:sz w:val="16"/>
                <w:szCs w:val="16"/>
                <w:color w:val="0000FF"/>
                <w:w w:val="97"/>
              </w:rPr>
            </w:pPr>
            <w:hyperlink r:id="rId575">
              <w:r>
                <w:rPr>
                  <w:rFonts w:ascii="Arial" w:cs="Arial" w:eastAsia="Arial" w:hAnsi="Arial"/>
                  <w:sz w:val="16"/>
                  <w:szCs w:val="16"/>
                  <w:color w:val="0000FF"/>
                  <w:w w:val="97"/>
                </w:rPr>
                <w:t>Pacific Biosciences of California, Inc. 2020 Equity Incentive Plan, as amended</w:t>
              </w:r>
            </w:hyperlink>
          </w:p>
        </w:tc>
        <w:tc>
          <w:tcPr>
            <w:tcW w:w="820" w:type="dxa"/>
            <w:vAlign w:val="bottom"/>
            <w:gridSpan w:val="6"/>
          </w:tcPr>
          <w:p>
            <w:pPr>
              <w:spacing w:after="0"/>
              <w:rPr>
                <w:sz w:val="18"/>
                <w:szCs w:val="18"/>
                <w:color w:val="auto"/>
              </w:rPr>
            </w:pPr>
          </w:p>
        </w:tc>
        <w:tc>
          <w:tcPr>
            <w:tcW w:w="680" w:type="dxa"/>
            <w:vAlign w:val="bottom"/>
          </w:tcPr>
          <w:p>
            <w:pPr>
              <w:jc w:val="center"/>
              <w:ind w:left="142"/>
              <w:spacing w:after="0"/>
              <w:rPr>
                <w:sz w:val="20"/>
                <w:szCs w:val="20"/>
                <w:color w:val="auto"/>
              </w:rPr>
            </w:pPr>
            <w:r>
              <w:rPr>
                <w:rFonts w:ascii="Arial" w:cs="Arial" w:eastAsia="Arial" w:hAnsi="Arial"/>
                <w:sz w:val="16"/>
                <w:szCs w:val="16"/>
                <w:color w:val="auto"/>
              </w:rPr>
              <w:t>8-K</w:t>
            </w:r>
          </w:p>
        </w:tc>
        <w:tc>
          <w:tcPr>
            <w:tcW w:w="1340" w:type="dxa"/>
            <w:vAlign w:val="bottom"/>
          </w:tcPr>
          <w:p>
            <w:pPr>
              <w:jc w:val="center"/>
              <w:ind w:left="162"/>
              <w:spacing w:after="0"/>
              <w:rPr>
                <w:sz w:val="20"/>
                <w:szCs w:val="20"/>
                <w:color w:val="auto"/>
              </w:rPr>
            </w:pPr>
            <w:r>
              <w:rPr>
                <w:rFonts w:ascii="Arial" w:cs="Arial" w:eastAsia="Arial" w:hAnsi="Arial"/>
                <w:sz w:val="16"/>
                <w:szCs w:val="16"/>
                <w:color w:val="auto"/>
                <w:w w:val="96"/>
              </w:rPr>
              <w:t>10.1</w:t>
            </w:r>
          </w:p>
        </w:tc>
        <w:tc>
          <w:tcPr>
            <w:tcW w:w="1840" w:type="dxa"/>
            <w:vAlign w:val="bottom"/>
          </w:tcPr>
          <w:p>
            <w:pPr>
              <w:jc w:val="center"/>
              <w:spacing w:after="0"/>
              <w:rPr>
                <w:sz w:val="20"/>
                <w:szCs w:val="20"/>
                <w:color w:val="auto"/>
              </w:rPr>
            </w:pPr>
            <w:r>
              <w:rPr>
                <w:rFonts w:ascii="Arial" w:cs="Arial" w:eastAsia="Arial" w:hAnsi="Arial"/>
                <w:sz w:val="16"/>
                <w:szCs w:val="16"/>
                <w:color w:val="auto"/>
                <w:w w:val="97"/>
              </w:rPr>
              <w:t>June 6, 2025</w:t>
            </w:r>
          </w:p>
        </w:tc>
      </w:tr>
      <w:tr>
        <w:trPr>
          <w:trHeight w:val="214"/>
        </w:trPr>
        <w:tc>
          <w:tcPr>
            <w:tcW w:w="20" w:type="dxa"/>
            <w:vAlign w:val="bottom"/>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p>
        </w:tc>
        <w:tc>
          <w:tcPr>
            <w:tcW w:w="740" w:type="dxa"/>
            <w:vAlign w:val="bottom"/>
          </w:tcPr>
          <w:p>
            <w:pPr>
              <w:spacing w:after="0"/>
              <w:rPr>
                <w:sz w:val="18"/>
                <w:szCs w:val="18"/>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Exchange Act Rules 13a-14(a) and</w:t>
            </w: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20" w:type="dxa"/>
            <w:vAlign w:val="bottom"/>
            <w:tcBorders>
              <w:top w:val="single" w:sz="8" w:color="0000FF"/>
            </w:tcBorders>
            <w:gridSpan w:val="9"/>
          </w:tcPr>
          <w:p>
            <w:pPr>
              <w:spacing w:after="0" w:line="16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0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
        </w:trPr>
        <w:tc>
          <w:tcPr>
            <w:tcW w:w="4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400" w:type="dxa"/>
            <w:vAlign w:val="bottom"/>
            <w:gridSpan w:val="3"/>
          </w:tcPr>
          <w:p>
            <w:pPr>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p>
        </w:tc>
        <w:tc>
          <w:tcPr>
            <w:tcW w:w="740" w:type="dxa"/>
            <w:vAlign w:val="bottom"/>
          </w:tcPr>
          <w:p>
            <w:pPr>
              <w:spacing w:after="0"/>
              <w:rPr>
                <w:sz w:val="21"/>
                <w:szCs w:val="21"/>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0000FF"/>
              </w:rPr>
              <w:t>Certification of Chief Financial Officer pursuant to Exchange Act Rules 13a-14(a) and</w:t>
            </w: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142"/>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8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15d-14(a), as adopted pursuant to Section 302 of the Sarbanes-Oxley Act of 2002</w:t>
            </w:r>
          </w:p>
        </w:tc>
        <w:tc>
          <w:tcPr>
            <w:tcW w:w="34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0"/>
        </w:trPr>
        <w:tc>
          <w:tcPr>
            <w:tcW w:w="4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gridSpan w:val="3"/>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740" w:type="dxa"/>
            <w:vAlign w:val="bottom"/>
          </w:tcPr>
          <w:p>
            <w:pPr>
              <w:spacing w:after="0"/>
              <w:rPr>
                <w:sz w:val="19"/>
                <w:szCs w:val="19"/>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0" w:type="dxa"/>
            <w:vAlign w:val="bottom"/>
            <w:tcBorders>
              <w:top w:val="single" w:sz="8" w:color="0000FF"/>
            </w:tcBorders>
            <w:gridSpan w:val="11"/>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
        </w:trPr>
        <w:tc>
          <w:tcPr>
            <w:tcW w:w="4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00" w:type="dxa"/>
            <w:vAlign w:val="bottom"/>
            <w:gridSpan w:val="3"/>
          </w:tcPr>
          <w:p>
            <w:pPr>
              <w:spacing w:after="0"/>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740" w:type="dxa"/>
            <w:vAlign w:val="bottom"/>
          </w:tcPr>
          <w:p>
            <w:pPr>
              <w:spacing w:after="0"/>
              <w:rPr>
                <w:sz w:val="19"/>
                <w:szCs w:val="19"/>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Furnished herewith</w:t>
            </w:r>
          </w:p>
        </w:tc>
      </w:tr>
      <w:tr>
        <w:trPr>
          <w:trHeight w:val="162"/>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40" w:type="dxa"/>
            <w:vAlign w:val="bottom"/>
            <w:tcBorders>
              <w:top w:val="single" w:sz="8" w:color="0000FF"/>
            </w:tcBorders>
            <w:gridSpan w:val="10"/>
          </w:tcPr>
          <w:p>
            <w:pPr>
              <w:spacing w:after="0" w:line="162" w:lineRule="exact"/>
              <w:rPr>
                <w:sz w:val="20"/>
                <w:szCs w:val="20"/>
                <w:color w:val="auto"/>
              </w:rPr>
            </w:pPr>
            <w:r>
              <w:rPr>
                <w:rFonts w:ascii="Arial" w:cs="Arial" w:eastAsia="Arial" w:hAnsi="Arial"/>
                <w:sz w:val="16"/>
                <w:szCs w:val="16"/>
                <w:color w:val="0000FF"/>
              </w:rPr>
              <w:t>pursuant to Section 906 of the Sarbanes-Oxley Act of 2002</w:t>
            </w:r>
          </w:p>
        </w:tc>
        <w:tc>
          <w:tcPr>
            <w:tcW w:w="2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214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101.INS</w:t>
            </w:r>
          </w:p>
        </w:tc>
        <w:tc>
          <w:tcPr>
            <w:tcW w:w="6220" w:type="dxa"/>
            <w:vAlign w:val="bottom"/>
            <w:gridSpan w:val="12"/>
          </w:tcPr>
          <w:p>
            <w:pPr>
              <w:spacing w:after="0"/>
              <w:rPr>
                <w:sz w:val="20"/>
                <w:szCs w:val="20"/>
                <w:color w:val="auto"/>
              </w:rPr>
            </w:pPr>
            <w:r>
              <w:rPr>
                <w:rFonts w:ascii="Arial" w:cs="Arial" w:eastAsia="Arial" w:hAnsi="Arial"/>
                <w:sz w:val="16"/>
                <w:szCs w:val="16"/>
                <w:color w:val="auto"/>
                <w:w w:val="97"/>
              </w:rPr>
              <w:t>XBRL Instance Document (the instance document does not appear in the Interactive Data</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auto"/>
              </w:rPr>
              <w:t>File because its XBRL tags are embedded within the Inline XBRL document)</w:t>
            </w: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7"/>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101.SCH</w:t>
            </w:r>
          </w:p>
        </w:tc>
        <w:tc>
          <w:tcPr>
            <w:tcW w:w="622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34"/>
        </w:trPr>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101.CAL</w:t>
            </w:r>
          </w:p>
        </w:tc>
        <w:tc>
          <w:tcPr>
            <w:tcW w:w="622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34"/>
        </w:trPr>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101.DEF</w:t>
            </w:r>
          </w:p>
        </w:tc>
        <w:tc>
          <w:tcPr>
            <w:tcW w:w="622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34"/>
        </w:trPr>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101.LAB</w:t>
            </w:r>
          </w:p>
        </w:tc>
        <w:tc>
          <w:tcPr>
            <w:tcW w:w="622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34"/>
        </w:trPr>
        <w:tc>
          <w:tcPr>
            <w:tcW w:w="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6"/>
                <w:szCs w:val="16"/>
                <w:color w:val="auto"/>
              </w:rPr>
              <w:t>101.PRE</w:t>
            </w:r>
          </w:p>
        </w:tc>
        <w:tc>
          <w:tcPr>
            <w:tcW w:w="622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r>
        <w:trPr>
          <w:trHeight w:val="234"/>
        </w:trPr>
        <w:tc>
          <w:tcPr>
            <w:tcW w:w="320" w:type="dxa"/>
            <w:vAlign w:val="bottom"/>
            <w:gridSpan w:val="3"/>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20" w:type="dxa"/>
            <w:vAlign w:val="bottom"/>
            <w:gridSpan w:val="12"/>
          </w:tcPr>
          <w:p>
            <w:pPr>
              <w:spacing w:after="0"/>
              <w:rPr>
                <w:sz w:val="20"/>
                <w:szCs w:val="20"/>
                <w:color w:val="auto"/>
              </w:rPr>
            </w:pPr>
            <w:r>
              <w:rPr>
                <w:rFonts w:ascii="Arial" w:cs="Arial" w:eastAsia="Arial" w:hAnsi="Arial"/>
                <w:sz w:val="16"/>
                <w:szCs w:val="16"/>
                <w:color w:val="auto"/>
              </w:rPr>
              <w:t>Cover Page Interactive File (formatted as inline XBRL and contained in Exhibit 101)</w:t>
            </w:r>
          </w:p>
        </w:tc>
        <w:tc>
          <w:tcPr>
            <w:tcW w:w="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8"/>
              </w:rPr>
              <w:t>Filed herewith</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w:t>
      </w:r>
    </w:p>
    <w:p>
      <w:pPr>
        <w:spacing w:after="0" w:line="21" w:lineRule="exact"/>
        <w:rPr>
          <w:sz w:val="20"/>
          <w:szCs w:val="20"/>
          <w:color w:val="auto"/>
        </w:rPr>
      </w:pPr>
    </w:p>
    <w:p>
      <w:pPr>
        <w:ind w:left="300" w:hanging="296"/>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02" w:lineRule="exact"/>
        <w:rPr>
          <w:sz w:val="20"/>
          <w:szCs w:val="20"/>
          <w:color w:val="auto"/>
        </w:rPr>
      </w:pPr>
    </w:p>
    <w:p>
      <w:pPr>
        <w:jc w:val="both"/>
        <w:ind w:left="320" w:hanging="316"/>
        <w:spacing w:after="0" w:line="269" w:lineRule="auto"/>
        <w:tabs>
          <w:tab w:leader="none" w:pos="307"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or the Exchange Act,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172720</wp:posOffset>
            </wp:positionV>
            <wp:extent cx="71374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ind w:left="1080"/>
              <w:spacing w:after="0"/>
              <w:rPr>
                <w:sz w:val="20"/>
                <w:szCs w:val="20"/>
                <w:color w:val="auto"/>
              </w:rPr>
            </w:pPr>
            <w:r>
              <w:rPr>
                <w:rFonts w:ascii="Arial" w:cs="Arial" w:eastAsia="Arial" w:hAnsi="Arial"/>
                <w:sz w:val="17"/>
                <w:szCs w:val="17"/>
                <w:color w:val="DF1995"/>
              </w:rPr>
              <w:t>Q2 Fiscal 2025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-296545</wp:posOffset>
            </wp:positionV>
            <wp:extent cx="396240" cy="825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9">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19" w:lineRule="exact"/>
        <w:rPr>
          <w:sz w:val="20"/>
          <w:szCs w:val="20"/>
          <w:color w:val="auto"/>
        </w:rPr>
      </w:pPr>
    </w:p>
    <w:p>
      <w:pPr>
        <w:ind w:firstLine="312"/>
        <w:spacing w:after="0" w:line="29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27" w:lineRule="exact"/>
        <w:rPr>
          <w:sz w:val="20"/>
          <w:szCs w:val="20"/>
          <w:color w:val="auto"/>
        </w:rPr>
      </w:pPr>
    </w:p>
    <w:p>
      <w:pPr>
        <w:ind w:left="20"/>
        <w:spacing w:after="0"/>
        <w:tabs>
          <w:tab w:leader="none" w:pos="5560" w:val="left"/>
          <w:tab w:leader="none" w:pos="7780" w:val="left"/>
        </w:tabs>
        <w:rPr>
          <w:sz w:val="20"/>
          <w:szCs w:val="20"/>
          <w:color w:val="auto"/>
        </w:rPr>
      </w:pPr>
      <w:r>
        <w:rPr>
          <w:rFonts w:ascii="Arial" w:cs="Arial" w:eastAsia="Arial" w:hAnsi="Arial"/>
          <w:sz w:val="17"/>
          <w:szCs w:val="17"/>
          <w:color w:val="auto"/>
        </w:rPr>
        <w:t>Date: August 7,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0">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Christian O. Henry</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940" w:val="left"/>
        </w:tabs>
        <w:rPr>
          <w:sz w:val="20"/>
          <w:szCs w:val="20"/>
          <w:color w:val="auto"/>
        </w:rPr>
      </w:pPr>
      <w:r>
        <w:rPr>
          <w:rFonts w:ascii="Arial" w:cs="Arial" w:eastAsia="Arial" w:hAnsi="Arial"/>
          <w:sz w:val="17"/>
          <w:szCs w:val="17"/>
          <w:color w:val="auto"/>
        </w:rPr>
        <w:t>Date: August 7,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1">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Jim R. Gibson</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560" w:val="left"/>
          <w:tab w:leader="none" w:pos="7900" w:val="left"/>
        </w:tabs>
        <w:rPr>
          <w:sz w:val="20"/>
          <w:szCs w:val="20"/>
          <w:color w:val="auto"/>
        </w:rPr>
      </w:pPr>
      <w:r>
        <w:rPr>
          <w:rFonts w:ascii="Arial" w:cs="Arial" w:eastAsia="Arial" w:hAnsi="Arial"/>
          <w:sz w:val="17"/>
          <w:szCs w:val="17"/>
          <w:color w:val="auto"/>
        </w:rPr>
        <w:t>Date: August 7, 2025</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Michele Farmer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35560</wp:posOffset>
            </wp:positionV>
            <wp:extent cx="332105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2">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spacing w:after="0" w:line="5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Michele Farmer</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Vice President and Chief Accounting Officer</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713740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1080" w:type="dxa"/>
        <w:tblCellMar>
          <w:top w:w="0" w:type="dxa"/>
          <w:left w:w="0" w:type="dxa"/>
          <w:bottom w:w="0" w:type="dxa"/>
          <w:right w:w="0" w:type="dxa"/>
        </w:tblCellMar>
      </w:tblPr>
      <w:tr>
        <w:trPr>
          <w:trHeight w:val="229"/>
        </w:trPr>
        <w:tc>
          <w:tcPr>
            <w:tcW w:w="6000" w:type="dxa"/>
            <w:vAlign w:val="bottom"/>
          </w:tcPr>
          <w:p>
            <w:pPr>
              <w:spacing w:after="0"/>
              <w:rPr>
                <w:sz w:val="20"/>
                <w:szCs w:val="20"/>
                <w:color w:val="auto"/>
              </w:rPr>
            </w:pPr>
            <w:r>
              <w:rPr>
                <w:rFonts w:ascii="Arial" w:cs="Arial" w:eastAsia="Arial" w:hAnsi="Arial"/>
                <w:sz w:val="17"/>
                <w:szCs w:val="17"/>
                <w:color w:val="DF1995"/>
              </w:rPr>
              <w:t>Q2 Fiscal 2025 Form 10-Q</w:t>
            </w:r>
          </w:p>
        </w:tc>
        <w:tc>
          <w:tcPr>
            <w:tcW w:w="4140" w:type="dxa"/>
            <w:vAlign w:val="bottom"/>
          </w:tcPr>
          <w:p>
            <w:pPr>
              <w:jc w:val="right"/>
              <w:spacing w:after="0"/>
              <w:rPr>
                <w:sz w:val="20"/>
                <w:szCs w:val="20"/>
                <w:color w:val="auto"/>
              </w:rPr>
            </w:pPr>
            <w:r>
              <w:rPr>
                <w:rFonts w:ascii="Arial" w:cs="Arial" w:eastAsia="Arial" w:hAnsi="Arial"/>
                <w:sz w:val="17"/>
                <w:szCs w:val="17"/>
                <w:color w:val="DF1995"/>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-142240</wp:posOffset>
            </wp:positionV>
            <wp:extent cx="396240" cy="825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4">
                      <a:extLst>
                        <a:ext uri="{28A0092B-C50C-407E-A947-70E740481C1C}"/>
                      </a:extLst>
                    </a:blip>
                    <a:srcRect/>
                    <a:stretch>
                      <a:fillRect/>
                    </a:stretch>
                  </pic:blipFill>
                  <pic:spPr bwMode="auto">
                    <a:xfrm>
                      <a:off x="0" y="0"/>
                      <a:ext cx="396240" cy="825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Christian Henry, certify that:</w:t>
      </w:r>
    </w:p>
    <w:p>
      <w:pPr>
        <w:spacing w:after="0" w:line="117" w:lineRule="exact"/>
        <w:rPr>
          <w:sz w:val="20"/>
          <w:szCs w:val="20"/>
          <w:color w:val="auto"/>
        </w:rPr>
      </w:pPr>
    </w:p>
    <w:p>
      <w:pPr>
        <w:ind w:left="620" w:hanging="226"/>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180" w:val="left"/>
          <w:tab w:leader="none" w:pos="7520" w:val="left"/>
        </w:tabs>
        <w:rPr>
          <w:sz w:val="20"/>
          <w:szCs w:val="20"/>
          <w:color w:val="auto"/>
        </w:rPr>
      </w:pPr>
      <w:r>
        <w:rPr>
          <w:rFonts w:ascii="Times New Roman" w:cs="Times New Roman" w:eastAsia="Times New Roman" w:hAnsi="Times New Roman"/>
          <w:sz w:val="17"/>
          <w:szCs w:val="17"/>
          <w:color w:val="auto"/>
        </w:rPr>
        <w:t>Date: August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19685</wp:posOffset>
            </wp:positionV>
            <wp:extent cx="34944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5">
                      <a:extLst>
                        <a:ext uri="{28A0092B-C50C-407E-A947-70E740481C1C}"/>
                      </a:extLst>
                    </a:blip>
                    <a:srcRect/>
                    <a:stretch>
                      <a:fillRect/>
                    </a:stretch>
                  </pic:blipFill>
                  <pic:spPr bwMode="auto">
                    <a:xfrm>
                      <a:off x="0" y="0"/>
                      <a:ext cx="3494405" cy="8255"/>
                    </a:xfrm>
                    <a:prstGeom prst="rect">
                      <a:avLst/>
                    </a:prstGeom>
                    <a:noFill/>
                  </pic:spPr>
                </pic:pic>
              </a:graphicData>
            </a:graphic>
          </wp:anchor>
        </w:drawing>
      </w:r>
    </w:p>
    <w:p>
      <w:pPr>
        <w:spacing w:after="0" w:line="3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08" w:lineRule="exact"/>
        <w:rPr>
          <w:sz w:val="20"/>
          <w:szCs w:val="20"/>
          <w:color w:val="auto"/>
        </w:rPr>
      </w:pPr>
    </w:p>
    <w:p>
      <w:pPr>
        <w:jc w:val="center"/>
        <w:ind w:left="340" w:right="2000"/>
        <w:spacing w:after="0" w:line="275"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SECURITIES EXCHANGE ACT RULES 13a-14(a) AND 15d-14(a), AS ADOPTED PURSUANT TO SECTION 302 OF THE SARBANES-OXLEY ACT OF 2002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Jim Gibson, certify that:</w:t>
      </w:r>
    </w:p>
    <w:p>
      <w:pPr>
        <w:spacing w:after="0" w:line="117" w:lineRule="exact"/>
        <w:rPr>
          <w:sz w:val="20"/>
          <w:szCs w:val="20"/>
          <w:color w:val="auto"/>
        </w:rPr>
      </w:pPr>
    </w:p>
    <w:p>
      <w:pPr>
        <w:ind w:left="620" w:hanging="226"/>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ind w:right="520" w:firstLine="394"/>
        <w:spacing w:after="0" w:line="293" w:lineRule="auto"/>
        <w:tabs>
          <w:tab w:leader="none" w:pos="6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7"/>
          <w:szCs w:val="17"/>
          <w:color w:val="auto"/>
        </w:rPr>
      </w:pPr>
    </w:p>
    <w:p>
      <w:pPr>
        <w:ind w:right="500" w:firstLine="394"/>
        <w:spacing w:after="0" w:line="293" w:lineRule="auto"/>
        <w:tabs>
          <w:tab w:leader="none" w:pos="6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7"/>
          <w:szCs w:val="17"/>
          <w:color w:val="auto"/>
        </w:rPr>
      </w:pPr>
    </w:p>
    <w:p>
      <w:pPr>
        <w:ind w:right="240" w:firstLine="394"/>
        <w:spacing w:after="0" w:line="274" w:lineRule="auto"/>
        <w:tabs>
          <w:tab w:leader="none" w:pos="6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right="40" w:firstLine="394"/>
        <w:spacing w:after="0" w:line="274"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7"/>
          <w:szCs w:val="17"/>
          <w:color w:val="auto"/>
        </w:rPr>
      </w:pPr>
    </w:p>
    <w:p>
      <w:pPr>
        <w:jc w:val="both"/>
        <w:ind w:right="100" w:firstLine="394"/>
        <w:spacing w:after="0" w:line="274" w:lineRule="auto"/>
        <w:tabs>
          <w:tab w:leader="none" w:pos="61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7"/>
          <w:szCs w:val="17"/>
          <w:color w:val="auto"/>
        </w:rPr>
      </w:pPr>
    </w:p>
    <w:p>
      <w:pPr>
        <w:ind w:right="140" w:firstLine="394"/>
        <w:spacing w:after="0" w:line="293"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right="360" w:firstLine="394"/>
        <w:spacing w:after="0" w:line="274" w:lineRule="auto"/>
        <w:tabs>
          <w:tab w:leader="none" w:pos="61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240" w:firstLine="394"/>
        <w:spacing w:after="0" w:line="293" w:lineRule="auto"/>
        <w:tabs>
          <w:tab w:leader="none" w:pos="62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sz w:val="20"/>
          <w:szCs w:val="20"/>
          <w:color w:val="auto"/>
        </w:rPr>
      </w:pPr>
    </w:p>
    <w:p>
      <w:pPr>
        <w:ind w:right="80" w:firstLine="394"/>
        <w:spacing w:after="0" w:line="293"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7"/>
          <w:szCs w:val="17"/>
          <w:color w:val="auto"/>
        </w:rPr>
      </w:pPr>
    </w:p>
    <w:p>
      <w:pPr>
        <w:ind w:right="300" w:firstLine="394"/>
        <w:spacing w:after="0" w:line="293" w:lineRule="auto"/>
        <w:tabs>
          <w:tab w:leader="none" w:pos="61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20"/>
        <w:spacing w:after="0"/>
        <w:tabs>
          <w:tab w:leader="none" w:pos="5720" w:val="left"/>
          <w:tab w:leader="none" w:pos="8320" w:val="left"/>
        </w:tabs>
        <w:rPr>
          <w:sz w:val="20"/>
          <w:szCs w:val="20"/>
          <w:color w:val="auto"/>
        </w:rPr>
      </w:pPr>
      <w:r>
        <w:rPr>
          <w:rFonts w:ascii="Times New Roman" w:cs="Times New Roman" w:eastAsia="Times New Roman" w:hAnsi="Times New Roman"/>
          <w:sz w:val="17"/>
          <w:szCs w:val="17"/>
          <w:color w:val="auto"/>
        </w:rPr>
        <w:t>Date: August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19685</wp:posOffset>
            </wp:positionV>
            <wp:extent cx="33077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6">
                      <a:extLst>
                        <a:ext uri="{28A0092B-C50C-407E-A947-70E740481C1C}"/>
                      </a:extLst>
                    </a:blip>
                    <a:srcRect/>
                    <a:stretch>
                      <a:fillRect/>
                    </a:stretch>
                  </pic:blipFill>
                  <pic:spPr bwMode="auto">
                    <a:xfrm>
                      <a:off x="0" y="0"/>
                      <a:ext cx="3307715" cy="8255"/>
                    </a:xfrm>
                    <a:prstGeom prst="rect">
                      <a:avLst/>
                    </a:prstGeom>
                    <a:noFill/>
                  </pic:spPr>
                </pic:pic>
              </a:graphicData>
            </a:graphic>
          </wp:anchor>
        </w:drawing>
      </w:r>
    </w:p>
    <w:p>
      <w:pPr>
        <w:spacing w:after="0" w:line="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Jim R. Gibson</w:t>
      </w:r>
    </w:p>
    <w:p>
      <w:pPr>
        <w:spacing w:after="0" w:line="3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90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June 30, 2025,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340" w:lineRule="exact"/>
        <w:rPr>
          <w:sz w:val="20"/>
          <w:szCs w:val="20"/>
          <w:color w:val="auto"/>
        </w:rPr>
      </w:pPr>
    </w:p>
    <w:p>
      <w:pPr>
        <w:ind w:left="620" w:right="120" w:hanging="304"/>
        <w:spacing w:after="0" w:line="293" w:lineRule="auto"/>
        <w:tabs>
          <w:tab w:leader="none" w:pos="61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June 30, 2025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040" w:val="left"/>
          <w:tab w:leader="none" w:pos="7500" w:val="left"/>
        </w:tabs>
        <w:rPr>
          <w:sz w:val="20"/>
          <w:szCs w:val="20"/>
          <w:color w:val="auto"/>
        </w:rPr>
      </w:pPr>
      <w:r>
        <w:rPr>
          <w:rFonts w:ascii="Times New Roman" w:cs="Times New Roman" w:eastAsia="Times New Roman" w:hAnsi="Times New Roman"/>
          <w:sz w:val="17"/>
          <w:szCs w:val="17"/>
          <w:color w:val="auto"/>
        </w:rPr>
        <w:t>Date: August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19685</wp:posOffset>
            </wp:positionV>
            <wp:extent cx="35687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7">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90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CFO Furnished Pursuant to 18 U.S.C. Section 1350,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June 30, 2025,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w:t>
      </w:r>
    </w:p>
    <w:p>
      <w:pPr>
        <w:spacing w:after="0" w:line="124" w:lineRule="exact"/>
        <w:rPr>
          <w:sz w:val="20"/>
          <w:szCs w:val="20"/>
          <w:color w:val="auto"/>
        </w:rPr>
      </w:pPr>
    </w:p>
    <w:p>
      <w:pPr>
        <w:ind w:left="620" w:right="120" w:hanging="304"/>
        <w:spacing w:after="0" w:line="293" w:lineRule="auto"/>
        <w:tabs>
          <w:tab w:leader="none" w:pos="61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June 30, 2025 (the “Report”), fully complies with the requirements of section 13(a) or 15(d) of the Securities Exchange Act of 1934, and</w:t>
      </w:r>
    </w:p>
    <w:p>
      <w:pPr>
        <w:spacing w:after="0" w:line="10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220" w:val="left"/>
          <w:tab w:leader="none" w:pos="7820" w:val="left"/>
        </w:tabs>
        <w:rPr>
          <w:sz w:val="20"/>
          <w:szCs w:val="20"/>
          <w:color w:val="auto"/>
        </w:rPr>
      </w:pPr>
      <w:r>
        <w:rPr>
          <w:rFonts w:ascii="Times New Roman" w:cs="Times New Roman" w:eastAsia="Times New Roman" w:hAnsi="Times New Roman"/>
          <w:sz w:val="17"/>
          <w:szCs w:val="17"/>
          <w:color w:val="auto"/>
        </w:rPr>
        <w:t>Date: August 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87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8">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pacing w:after="0" w:line="3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Jim R. Gibson</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3"/>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lowerRoman"/>
      <w:start w:val="1"/>
    </w:lvl>
  </w:abstractNum>
  <w:abstractNum w:abstractNumId="41">
    <w:nsid w:val="70A64E2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6" Type="http://schemas.openxmlformats.org/officeDocument/2006/relationships/image" Target="media/image564.png"/><Relationship Id="rId577" Type="http://schemas.openxmlformats.org/officeDocument/2006/relationships/image" Target="media/image565.png"/><Relationship Id="rId578" Type="http://schemas.openxmlformats.org/officeDocument/2006/relationships/image" Target="media/image566.png"/><Relationship Id="rId579" Type="http://schemas.openxmlformats.org/officeDocument/2006/relationships/image" Target="media/image567.jpeg"/><Relationship Id="rId580" Type="http://schemas.openxmlformats.org/officeDocument/2006/relationships/image" Target="media/image568.png"/><Relationship Id="rId581" Type="http://schemas.openxmlformats.org/officeDocument/2006/relationships/image" Target="media/image569.png"/><Relationship Id="rId582" Type="http://schemas.openxmlformats.org/officeDocument/2006/relationships/image" Target="media/image570.png"/><Relationship Id="rId583" Type="http://schemas.openxmlformats.org/officeDocument/2006/relationships/image" Target="media/image571.png"/><Relationship Id="rId584" Type="http://schemas.openxmlformats.org/officeDocument/2006/relationships/image" Target="media/image572.jpeg"/><Relationship Id="rId585" Type="http://schemas.openxmlformats.org/officeDocument/2006/relationships/image" Target="media/image573.png"/><Relationship Id="rId586" Type="http://schemas.openxmlformats.org/officeDocument/2006/relationships/image" Target="media/image574.png"/><Relationship Id="rId587" Type="http://schemas.openxmlformats.org/officeDocument/2006/relationships/image" Target="media/image575.png"/><Relationship Id="rId588" Type="http://schemas.openxmlformats.org/officeDocument/2006/relationships/image" Target="media/image576.png"/><Relationship Id="rId571" Type="http://schemas.openxmlformats.org/officeDocument/2006/relationships/hyperlink" Target="https://www.sec.gov/Archives/edgar/data/1299130/000119312511075269/dex31.htm" TargetMode="External"/><Relationship Id="rId572" Type="http://schemas.openxmlformats.org/officeDocument/2006/relationships/hyperlink" Target="https://www.sec.gov/Archives/edgar/data/0001299130/000129913024000146/exhibit31-certificateofame.htm" TargetMode="External"/><Relationship Id="rId573" Type="http://schemas.openxmlformats.org/officeDocument/2006/relationships/hyperlink" Target="https://www.sec.gov/Archives/edgar/data/0001299130/000129913024000146/exhibit32-certificateofame.htm" TargetMode="External"/><Relationship Id="rId574" Type="http://schemas.openxmlformats.org/officeDocument/2006/relationships/hyperlink" Target="https://www.sec.gov/Archives/edgar/data/1299130/000129913022000128/pacb-20221103xex3_1.htm" TargetMode="External"/><Relationship Id="rId575" Type="http://schemas.openxmlformats.org/officeDocument/2006/relationships/hyperlink" Target="https://www.sec.gov/Archives/edgar/data/1299130/000129913025000140/exhibit101-2020equityinc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2025-08-07T15:47:05Z</dcterms:created>
  <dcterms:modified xsi:type="dcterms:W3CDTF">2025-08-07T15:47:05Z</dcterms:modified>
</cp:coreProperties>
</file>