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0"/>
        <w:jc w:val="center"/>
        <w:rPr/>
      </w:pPr>
      <w:r>
        <w:rPr>
          <w:rFonts w:ascii="Wingdings;sans-serif" w:hAnsi="Wingdings;sans-serif"/>
          <w:b/>
          <w:color w:val="000000"/>
          <w:sz w:val="18"/>
        </w:rPr>
        <w:t>x</w:t>
      </w: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200" w:after="283"/>
        <w:jc w:val="center"/>
        <w:rPr/>
      </w:pPr>
      <w:r>
        <w:rPr>
          <w:rFonts w:ascii="Wingdings;sans-serif" w:hAnsi="Wingdings;sans-serif"/>
          <w:b/>
          <w:color w:val="000000"/>
          <w:sz w:val="18"/>
        </w:rPr>
        <w:t>o</w:t>
      </w: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Commission File Number 001-34899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w:t>
      </w:r>
    </w:p>
    <w:p>
      <w:pPr>
        <w:pStyle w:val="TextBody"/>
        <w:bidi w:val="0"/>
        <w:spacing w:before="60" w:after="283"/>
        <w:jc w:val="center"/>
        <w:rPr/>
      </w:pPr>
      <w:r>
        <w:rPr/>
        <w:drawing>
          <wp:inline distT="0" distB="0" distL="0" distR="0">
            <wp:extent cx="2476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57150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Pacific Biosciences of California,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w:t>
      </w:r>
    </w:p>
    <w:tbl>
      <w:tblPr>
        <w:tblW w:w="4408" w:type="dxa"/>
        <w:jc w:val="left"/>
        <w:tblInd w:w="0" w:type="dxa"/>
        <w:tblLayout w:type="fixed"/>
        <w:tblCellMar>
          <w:top w:w="28" w:type="dxa"/>
          <w:left w:w="28" w:type="dxa"/>
          <w:bottom w:w="28" w:type="dxa"/>
          <w:right w:w="28" w:type="dxa"/>
        </w:tblCellMar>
      </w:tblPr>
      <w:tblGrid>
        <w:gridCol w:w="1060"/>
        <w:gridCol w:w="929"/>
        <w:gridCol w:w="935"/>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16-1590339</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1305 O’Brien Drive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Menlo Park, CA</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94025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(650) 521-8000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99" w:type="dxa"/>
        <w:jc w:val="left"/>
        <w:tblInd w:w="0" w:type="dxa"/>
        <w:tblLayout w:type="fixed"/>
        <w:tblCellMar>
          <w:top w:w="28" w:type="dxa"/>
          <w:left w:w="28" w:type="dxa"/>
          <w:bottom w:w="28" w:type="dxa"/>
          <w:right w:w="28" w:type="dxa"/>
        </w:tblCellMar>
      </w:tblPr>
      <w:tblGrid>
        <w:gridCol w:w="1142"/>
        <w:gridCol w:w="997"/>
        <w:gridCol w:w="1011"/>
        <w:gridCol w:w="474"/>
        <w:gridCol w:w="474"/>
        <w:gridCol w:w="476"/>
        <w:gridCol w:w="945"/>
        <w:gridCol w:w="945"/>
        <w:gridCol w:w="1335"/>
      </w:tblGrid>
      <w:tr>
        <w:trPr/>
        <w:tc>
          <w:tcPr>
            <w:tcW w:w="1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5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4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PACB</w:t>
            </w:r>
          </w:p>
        </w:tc>
        <w:tc>
          <w:tcPr>
            <w:tcW w:w="32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60" w:after="283"/>
        <w:ind w:left="0" w:right="0" w:firstLine="54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ind w:left="0" w:right="0" w:firstLine="54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94"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669"/>
        <w:gridCol w:w="669"/>
        <w:gridCol w:w="672"/>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200" w:after="283"/>
        <w:ind w:left="0" w:right="0" w:firstLine="54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20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Number of shares outstanding of the issuer’s common stock as of July 31, 2026: 310,830,759.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center"/>
        <w:rPr>
          <w:rFonts w:ascii="Roboto;sans-serif" w:hAnsi="Roboto;sans-serif"/>
          <w:b/>
          <w:color w:val="000000"/>
          <w:sz w:val="20"/>
        </w:rPr>
      </w:pPr>
      <w:r>
        <w:rPr>
          <w:rFonts w:ascii="Roboto;sans-serif" w:hAnsi="Roboto;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40"/>
        <w:gridCol w:w="3022"/>
        <w:gridCol w:w="3036"/>
        <w:gridCol w:w="206"/>
        <w:gridCol w:w="206"/>
        <w:gridCol w:w="295"/>
      </w:tblGrid>
      <w:tr>
        <w:trPr/>
        <w:tc>
          <w:tcPr>
            <w:tcW w:w="3440"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u w:val="single"/>
              </w:rPr>
            </w:pPr>
            <w:r>
              <w:rPr>
                <w:rFonts w:ascii="Roboto;sans-serif" w:hAnsi="Roboto;sans-serif"/>
                <w:b/>
                <w:color w:val="000000"/>
                <w:sz w:val="20"/>
                <w:u w:val="single"/>
              </w:rPr>
              <w:t>Page</w:t>
            </w:r>
          </w:p>
        </w:tc>
      </w:tr>
      <w:tr>
        <w:trPr/>
        <w:tc>
          <w:tcPr>
            <w:tcW w:w="9498" w:type="dxa"/>
            <w:gridSpan w:val="3"/>
            <w:tcBorders/>
            <w:shd w:fill="DF1995" w:val="clear"/>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10">
              <w:r>
                <w:rPr>
                  <w:rStyle w:val="InternetLink"/>
                  <w:rFonts w:ascii="Roboto;sans-serif" w:hAnsi="Roboto;sans-serif"/>
                  <w:b/>
                  <w:strike w:val="false"/>
                  <w:dstrike w:val="false"/>
                  <w:color w:val="FFFFFF"/>
                  <w:sz w:val="20"/>
                  <w:u w:val="none"/>
                  <w:effect w:val="none"/>
                </w:rPr>
                <w:t>PART I. FINANCIAL INFORMATION</w:t>
              </w:r>
            </w:hyperlink>
          </w:p>
        </w:tc>
        <w:tc>
          <w:tcPr>
            <w:tcW w:w="707"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13">
              <w:r>
                <w:rPr>
                  <w:rStyle w:val="InternetLink"/>
                  <w:rFonts w:ascii="Roboto;sans-serif" w:hAnsi="Roboto;sans-serif"/>
                  <w:b w:val="false"/>
                  <w:color w:val="0000FF"/>
                  <w:sz w:val="20"/>
                  <w:u w:val="single"/>
                </w:rPr>
                <w:t>Item 1. Financial Statements (unaudited):</w:t>
              </w:r>
            </w:hyperlink>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16">
              <w:r>
                <w:rPr>
                  <w:rStyle w:val="InternetLink"/>
                  <w:rFonts w:ascii="Roboto;sans-serif" w:hAnsi="Roboto;sans-serif"/>
                  <w:b w:val="false"/>
                  <w:color w:val="000080"/>
                  <w:sz w:val="20"/>
                  <w:u w:val="single"/>
                </w:rPr>
                <w:t xml:space="preserve">Condensed Consolidated Balance Sheets as of </w:t>
              </w:r>
            </w:hyperlink>
            <w:hyperlink w:anchor="i94297dc2d97e4e34aed4a2bdfd28cba8_16">
              <w:r>
                <w:rPr>
                  <w:rStyle w:val="InternetLink"/>
                  <w:rFonts w:ascii="Roboto;sans-serif" w:hAnsi="Roboto;sans-serif"/>
                  <w:b w:val="false"/>
                  <w:color w:val="000080"/>
                  <w:sz w:val="20"/>
                  <w:u w:val="single"/>
                </w:rPr>
                <w:t>June 30</w:t>
              </w:r>
            </w:hyperlink>
            <w:hyperlink w:anchor="i94297dc2d97e4e34aed4a2bdfd28cba8_16">
              <w:r>
                <w:rPr>
                  <w:rStyle w:val="InternetLink"/>
                  <w:rFonts w:ascii="Roboto;sans-serif" w:hAnsi="Roboto;sans-serif"/>
                  <w:b w:val="false"/>
                  <w:color w:val="000080"/>
                  <w:sz w:val="20"/>
                  <w:u w:val="single"/>
                </w:rPr>
                <w:t>, 2026 and December 31, 2025</w:t>
              </w:r>
            </w:hyperlink>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16">
              <w:r>
                <w:rPr>
                  <w:rStyle w:val="InternetLink"/>
                  <w:rFonts w:ascii="Roboto;sans-serif" w:hAnsi="Roboto;sans-serif"/>
                  <w:b w:val="false"/>
                  <w:strike w:val="false"/>
                  <w:dstrike w:val="false"/>
                  <w:color w:val="000000"/>
                  <w:sz w:val="20"/>
                  <w:u w:val="none"/>
                  <w:effect w:val="none"/>
                </w:rPr>
                <w:t>3</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19">
              <w:r>
                <w:rPr>
                  <w:rStyle w:val="InternetLink"/>
                  <w:rFonts w:ascii="Roboto;sans-serif" w:hAnsi="Roboto;sans-serif"/>
                  <w:b w:val="false"/>
                  <w:color w:val="000080"/>
                  <w:sz w:val="20"/>
                  <w:u w:val="single"/>
                </w:rPr>
                <w:t>Condensed Consolidated Statements of Operations and Comprehensive Loss for the Three</w:t>
              </w:r>
            </w:hyperlink>
            <w:hyperlink w:anchor="i94297dc2d97e4e34aed4a2bdfd28cba8_19">
              <w:r>
                <w:rPr>
                  <w:rStyle w:val="InternetLink"/>
                  <w:rFonts w:ascii="Roboto;sans-serif" w:hAnsi="Roboto;sans-serif"/>
                  <w:b w:val="false"/>
                  <w:color w:val="000080"/>
                  <w:sz w:val="20"/>
                  <w:u w:val="single"/>
                </w:rPr>
                <w:t xml:space="preserve"> and Six</w:t>
              </w:r>
            </w:hyperlink>
            <w:hyperlink w:anchor="i94297dc2d97e4e34aed4a2bdfd28cba8_19">
              <w:r>
                <w:rPr>
                  <w:rStyle w:val="InternetLink"/>
                  <w:rFonts w:ascii="Roboto;sans-serif" w:hAnsi="Roboto;sans-serif"/>
                  <w:b w:val="false"/>
                  <w:color w:val="000080"/>
                  <w:sz w:val="20"/>
                  <w:u w:val="single"/>
                </w:rPr>
                <w:t xml:space="preserve"> Months Ended </w:t>
              </w:r>
            </w:hyperlink>
            <w:hyperlink w:anchor="i94297dc2d97e4e34aed4a2bdfd28cba8_19">
              <w:r>
                <w:rPr>
                  <w:rStyle w:val="InternetLink"/>
                  <w:rFonts w:ascii="Roboto;sans-serif" w:hAnsi="Roboto;sans-serif"/>
                  <w:b w:val="false"/>
                  <w:color w:val="000080"/>
                  <w:sz w:val="20"/>
                  <w:u w:val="single"/>
                </w:rPr>
                <w:t>June 30</w:t>
              </w:r>
            </w:hyperlink>
            <w:hyperlink w:anchor="i94297dc2d97e4e34aed4a2bdfd28cba8_19">
              <w:r>
                <w:rPr>
                  <w:rStyle w:val="InternetLink"/>
                  <w:rFonts w:ascii="Roboto;sans-serif" w:hAnsi="Roboto;sans-serif"/>
                  <w:b w:val="false"/>
                  <w:color w:val="000080"/>
                  <w:sz w:val="20"/>
                  <w:u w:val="single"/>
                </w:rPr>
                <w:t>, 2026 and 2025</w:t>
              </w:r>
            </w:hyperlink>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19">
              <w:r>
                <w:rPr>
                  <w:rStyle w:val="InternetLink"/>
                  <w:rFonts w:ascii="Roboto;sans-serif" w:hAnsi="Roboto;sans-serif"/>
                  <w:b w:val="false"/>
                  <w:strike w:val="false"/>
                  <w:dstrike w:val="false"/>
                  <w:color w:val="000000"/>
                  <w:sz w:val="20"/>
                  <w:u w:val="none"/>
                  <w:effect w:val="none"/>
                </w:rPr>
                <w:t>4</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22">
              <w:r>
                <w:rPr>
                  <w:rStyle w:val="InternetLink"/>
                  <w:rFonts w:ascii="Roboto;sans-serif" w:hAnsi="Roboto;sans-serif"/>
                  <w:b w:val="false"/>
                  <w:color w:val="000080"/>
                  <w:sz w:val="20"/>
                  <w:u w:val="single"/>
                </w:rPr>
                <w:t xml:space="preserve">Condensed Consolidated Statements of Stockholders’ </w:t>
              </w:r>
            </w:hyperlink>
            <w:hyperlink w:anchor="i94297dc2d97e4e34aed4a2bdfd28cba8_22">
              <w:r>
                <w:rPr>
                  <w:rStyle w:val="InternetLink"/>
                  <w:rFonts w:ascii="Roboto;sans-serif" w:hAnsi="Roboto;sans-serif"/>
                  <w:b w:val="false"/>
                  <w:color w:val="000080"/>
                  <w:sz w:val="20"/>
                  <w:u w:val="single"/>
                </w:rPr>
                <w:t>(Deficit)</w:t>
              </w:r>
            </w:hyperlink>
            <w:hyperlink w:anchor="i94297dc2d97e4e34aed4a2bdfd28cba8_22">
              <w:r>
                <w:rPr>
                  <w:rStyle w:val="InternetLink"/>
                  <w:rFonts w:ascii="Roboto;sans-serif" w:hAnsi="Roboto;sans-serif"/>
                  <w:b w:val="false"/>
                  <w:color w:val="000080"/>
                  <w:sz w:val="20"/>
                  <w:u w:val="single"/>
                </w:rPr>
                <w:t xml:space="preserve"> </w:t>
              </w:r>
            </w:hyperlink>
            <w:hyperlink w:anchor="i94297dc2d97e4e34aed4a2bdfd28cba8_22">
              <w:r>
                <w:rPr>
                  <w:rStyle w:val="InternetLink"/>
                  <w:rFonts w:ascii="Roboto;sans-serif" w:hAnsi="Roboto;sans-serif"/>
                  <w:b w:val="false"/>
                  <w:color w:val="000080"/>
                  <w:sz w:val="20"/>
                  <w:u w:val="single"/>
                </w:rPr>
                <w:t>Equity</w:t>
              </w:r>
            </w:hyperlink>
            <w:hyperlink w:anchor="i94297dc2d97e4e34aed4a2bdfd28cba8_22">
              <w:r>
                <w:rPr>
                  <w:rStyle w:val="InternetLink"/>
                  <w:rFonts w:ascii="Roboto;sans-serif" w:hAnsi="Roboto;sans-serif"/>
                  <w:b w:val="false"/>
                  <w:color w:val="000080"/>
                  <w:sz w:val="20"/>
                  <w:u w:val="single"/>
                </w:rPr>
                <w:t xml:space="preserve"> </w:t>
              </w:r>
            </w:hyperlink>
            <w:hyperlink w:anchor="i94297dc2d97e4e34aed4a2bdfd28cba8_22">
              <w:r>
                <w:rPr>
                  <w:rStyle w:val="InternetLink"/>
                  <w:rFonts w:ascii="Roboto;sans-serif" w:hAnsi="Roboto;sans-serif"/>
                  <w:b w:val="false"/>
                  <w:color w:val="000080"/>
                  <w:sz w:val="20"/>
                  <w:u w:val="single"/>
                </w:rPr>
                <w:t xml:space="preserve">for the </w:t>
              </w:r>
            </w:hyperlink>
            <w:hyperlink w:anchor="i94297dc2d97e4e34aed4a2bdfd28cba8_22">
              <w:r>
                <w:rPr>
                  <w:rStyle w:val="InternetLink"/>
                  <w:rFonts w:ascii="Roboto;sans-serif" w:hAnsi="Roboto;sans-serif"/>
                  <w:b w:val="false"/>
                  <w:color w:val="000080"/>
                  <w:sz w:val="20"/>
                  <w:u w:val="single"/>
                </w:rPr>
                <w:t xml:space="preserve">Three and </w:t>
              </w:r>
            </w:hyperlink>
            <w:hyperlink w:anchor="i94297dc2d97e4e34aed4a2bdfd28cba8_22">
              <w:r>
                <w:rPr>
                  <w:rStyle w:val="InternetLink"/>
                  <w:rFonts w:ascii="Roboto;sans-serif" w:hAnsi="Roboto;sans-serif"/>
                  <w:b w:val="false"/>
                  <w:color w:val="000080"/>
                  <w:sz w:val="20"/>
                  <w:u w:val="single"/>
                </w:rPr>
                <w:t>Six</w:t>
              </w:r>
            </w:hyperlink>
            <w:hyperlink w:anchor="i94297dc2d97e4e34aed4a2bdfd28cba8_22">
              <w:r>
                <w:rPr>
                  <w:rStyle w:val="InternetLink"/>
                  <w:rFonts w:ascii="Roboto;sans-serif" w:hAnsi="Roboto;sans-serif"/>
                  <w:b w:val="false"/>
                  <w:color w:val="000080"/>
                  <w:sz w:val="20"/>
                  <w:u w:val="single"/>
                </w:rPr>
                <w:t xml:space="preserve"> Months Ended </w:t>
              </w:r>
            </w:hyperlink>
            <w:hyperlink w:anchor="i94297dc2d97e4e34aed4a2bdfd28cba8_22">
              <w:r>
                <w:rPr>
                  <w:rStyle w:val="InternetLink"/>
                  <w:rFonts w:ascii="Roboto;sans-serif" w:hAnsi="Roboto;sans-serif"/>
                  <w:b w:val="false"/>
                  <w:color w:val="000080"/>
                  <w:sz w:val="20"/>
                  <w:u w:val="single"/>
                </w:rPr>
                <w:t>June 30</w:t>
              </w:r>
            </w:hyperlink>
            <w:hyperlink w:anchor="i94297dc2d97e4e34aed4a2bdfd28cba8_22">
              <w:r>
                <w:rPr>
                  <w:rStyle w:val="InternetLink"/>
                  <w:rFonts w:ascii="Roboto;sans-serif" w:hAnsi="Roboto;sans-serif"/>
                  <w:b w:val="false"/>
                  <w:color w:val="000080"/>
                  <w:sz w:val="20"/>
                  <w:u w:val="single"/>
                </w:rPr>
                <w:t>, 2026 and 2025</w:t>
              </w:r>
            </w:hyperlink>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22">
              <w:r>
                <w:rPr>
                  <w:rStyle w:val="InternetLink"/>
                  <w:rFonts w:ascii="Roboto;sans-serif" w:hAnsi="Roboto;sans-serif"/>
                  <w:b w:val="false"/>
                  <w:strike w:val="false"/>
                  <w:dstrike w:val="false"/>
                  <w:color w:val="000000"/>
                  <w:sz w:val="20"/>
                  <w:u w:val="none"/>
                  <w:effect w:val="none"/>
                </w:rPr>
                <w:t>5</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25">
              <w:r>
                <w:rPr>
                  <w:rStyle w:val="InternetLink"/>
                  <w:rFonts w:ascii="Roboto;sans-serif" w:hAnsi="Roboto;sans-serif"/>
                  <w:b w:val="false"/>
                  <w:color w:val="000080"/>
                  <w:sz w:val="20"/>
                  <w:u w:val="single"/>
                </w:rPr>
                <w:t xml:space="preserve">Condensed Consolidated Statements of Cash Flows for the </w:t>
              </w:r>
            </w:hyperlink>
            <w:hyperlink w:anchor="i94297dc2d97e4e34aed4a2bdfd28cba8_25">
              <w:r>
                <w:rPr>
                  <w:rStyle w:val="InternetLink"/>
                  <w:rFonts w:ascii="Roboto;sans-serif" w:hAnsi="Roboto;sans-serif"/>
                  <w:b w:val="false"/>
                  <w:color w:val="000080"/>
                  <w:sz w:val="20"/>
                  <w:u w:val="single"/>
                </w:rPr>
                <w:t>Six</w:t>
              </w:r>
            </w:hyperlink>
            <w:hyperlink w:anchor="i94297dc2d97e4e34aed4a2bdfd28cba8_25">
              <w:r>
                <w:rPr>
                  <w:rStyle w:val="InternetLink"/>
                  <w:rFonts w:ascii="Roboto;sans-serif" w:hAnsi="Roboto;sans-serif"/>
                  <w:b w:val="false"/>
                  <w:color w:val="000080"/>
                  <w:sz w:val="20"/>
                  <w:u w:val="single"/>
                </w:rPr>
                <w:t xml:space="preserve"> Months Ended </w:t>
              </w:r>
            </w:hyperlink>
            <w:hyperlink w:anchor="i94297dc2d97e4e34aed4a2bdfd28cba8_25">
              <w:r>
                <w:rPr>
                  <w:rStyle w:val="InternetLink"/>
                  <w:rFonts w:ascii="Roboto;sans-serif" w:hAnsi="Roboto;sans-serif"/>
                  <w:b w:val="false"/>
                  <w:color w:val="000080"/>
                  <w:sz w:val="20"/>
                  <w:u w:val="single"/>
                </w:rPr>
                <w:t>June 30</w:t>
              </w:r>
            </w:hyperlink>
            <w:hyperlink w:anchor="i94297dc2d97e4e34aed4a2bdfd28cba8_25">
              <w:r>
                <w:rPr>
                  <w:rStyle w:val="InternetLink"/>
                  <w:rFonts w:ascii="Roboto;sans-serif" w:hAnsi="Roboto;sans-serif"/>
                  <w:b w:val="false"/>
                  <w:color w:val="000080"/>
                  <w:sz w:val="20"/>
                  <w:u w:val="single"/>
                </w:rPr>
                <w:t>, 2026 and 2025</w:t>
              </w:r>
            </w:hyperlink>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25">
              <w:r>
                <w:rPr>
                  <w:rStyle w:val="InternetLink"/>
                  <w:rFonts w:ascii="Roboto;sans-serif" w:hAnsi="Roboto;sans-serif"/>
                  <w:b w:val="false"/>
                  <w:strike w:val="false"/>
                  <w:dstrike w:val="false"/>
                  <w:color w:val="000000"/>
                  <w:sz w:val="20"/>
                  <w:u w:val="none"/>
                  <w:effect w:val="none"/>
                </w:rPr>
                <w:t>6</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28">
              <w:r>
                <w:rPr>
                  <w:rStyle w:val="InternetLink"/>
                  <w:rFonts w:ascii="Roboto;sans-serif" w:hAnsi="Roboto;sans-serif"/>
                  <w:b w:val="false"/>
                  <w:color w:val="0000FF"/>
                  <w:sz w:val="20"/>
                  <w:u w:val="single"/>
                </w:rPr>
                <w:t xml:space="preserve">Notes to Condensed Consolidated Financial Statements </w:t>
              </w:r>
            </w:hyperlink>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28">
              <w:r>
                <w:rPr>
                  <w:rStyle w:val="InternetLink"/>
                  <w:rFonts w:ascii="Roboto;sans-serif" w:hAnsi="Roboto;sans-serif"/>
                  <w:b w:val="false"/>
                  <w:strike w:val="false"/>
                  <w:dstrike w:val="false"/>
                  <w:color w:val="000000"/>
                  <w:sz w:val="20"/>
                  <w:u w:val="none"/>
                  <w:effect w:val="none"/>
                </w:rPr>
                <w:t>7</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61">
              <w:r>
                <w:rPr>
                  <w:rStyle w:val="InternetLink"/>
                  <w:rFonts w:ascii="Roboto;sans-serif" w:hAnsi="Roboto;sans-serif"/>
                  <w:b w:val="false"/>
                  <w:color w:val="0000FF"/>
                  <w:sz w:val="20"/>
                  <w:u w:val="single"/>
                </w:rPr>
                <w:t>Item 2. Management’s Discussion and Analysis of Financial Condition and Results of Operations</w:t>
              </w:r>
            </w:hyperlink>
            <w:r>
              <w:rPr>
                <w:color w:val="000000"/>
              </w:rPr>
              <w:t xml:space="preserve"> </w:t>
            </w:r>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61">
              <w:r>
                <w:rPr>
                  <w:rStyle w:val="InternetLink"/>
                  <w:rFonts w:ascii="Roboto;sans-serif" w:hAnsi="Roboto;sans-serif"/>
                  <w:b w:val="false"/>
                  <w:strike w:val="false"/>
                  <w:dstrike w:val="false"/>
                  <w:color w:val="000000"/>
                  <w:sz w:val="20"/>
                  <w:u w:val="none"/>
                  <w:effect w:val="none"/>
                </w:rPr>
                <w:t>27</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82">
              <w:r>
                <w:rPr>
                  <w:rStyle w:val="InternetLink"/>
                  <w:rFonts w:ascii="Roboto;sans-serif" w:hAnsi="Roboto;sans-serif"/>
                  <w:b w:val="false"/>
                  <w:color w:val="0000FF"/>
                  <w:sz w:val="20"/>
                  <w:u w:val="single"/>
                </w:rPr>
                <w:t>Item 3. Quantitative and Qualitative Disclosures About Market Risk</w:t>
              </w:r>
            </w:hyperlink>
            <w:r>
              <w:rPr>
                <w:color w:val="000000"/>
              </w:rPr>
              <w:t xml:space="preserve"> </w:t>
            </w:r>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82">
              <w:r>
                <w:rPr>
                  <w:rStyle w:val="InternetLink"/>
                  <w:rFonts w:ascii="Roboto;sans-serif" w:hAnsi="Roboto;sans-serif"/>
                  <w:b w:val="false"/>
                  <w:strike w:val="false"/>
                  <w:dstrike w:val="false"/>
                  <w:color w:val="000000"/>
                  <w:sz w:val="20"/>
                  <w:u w:val="none"/>
                  <w:effect w:val="none"/>
                </w:rPr>
                <w:t>41</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85">
              <w:r>
                <w:rPr>
                  <w:rStyle w:val="InternetLink"/>
                  <w:rFonts w:ascii="Roboto;sans-serif" w:hAnsi="Roboto;sans-serif"/>
                  <w:b w:val="false"/>
                  <w:color w:val="0000FF"/>
                  <w:sz w:val="20"/>
                  <w:u w:val="single"/>
                </w:rPr>
                <w:t>Item 4. Controls and Procedures</w:t>
              </w:r>
            </w:hyperlink>
            <w:r>
              <w:rPr>
                <w:color w:val="000000"/>
              </w:rPr>
              <w:t xml:space="preserve"> </w:t>
            </w:r>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85">
              <w:r>
                <w:rPr>
                  <w:rStyle w:val="InternetLink"/>
                  <w:rFonts w:ascii="Roboto;sans-serif" w:hAnsi="Roboto;sans-serif"/>
                  <w:b w:val="false"/>
                  <w:strike w:val="false"/>
                  <w:dstrike w:val="false"/>
                  <w:color w:val="000000"/>
                  <w:sz w:val="20"/>
                  <w:u w:val="none"/>
                  <w:effect w:val="none"/>
                </w:rPr>
                <w:t>42</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shd w:fill="DF1995" w:val="clear"/>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88">
              <w:r>
                <w:rPr>
                  <w:rStyle w:val="InternetLink"/>
                  <w:rFonts w:ascii="Roboto;sans-serif" w:hAnsi="Roboto;sans-serif"/>
                  <w:b/>
                  <w:strike w:val="false"/>
                  <w:dstrike w:val="false"/>
                  <w:color w:val="FFFFFF"/>
                  <w:sz w:val="20"/>
                  <w:u w:val="none"/>
                  <w:effect w:val="none"/>
                </w:rPr>
                <w:t>PART II. OTHER INFORMATION</w:t>
              </w:r>
            </w:hyperlink>
          </w:p>
        </w:tc>
        <w:tc>
          <w:tcPr>
            <w:tcW w:w="707" w:type="dxa"/>
            <w:gridSpan w:val="3"/>
            <w:tcBorders/>
            <w:shd w:fill="DF19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91">
              <w:r>
                <w:rPr>
                  <w:rStyle w:val="InternetLink"/>
                  <w:rFonts w:ascii="Roboto;sans-serif" w:hAnsi="Roboto;sans-serif"/>
                  <w:b w:val="false"/>
                  <w:color w:val="0000FF"/>
                  <w:sz w:val="20"/>
                  <w:u w:val="single"/>
                </w:rPr>
                <w:t>Item 1. Legal Proceedings</w:t>
              </w:r>
            </w:hyperlink>
            <w:r>
              <w:rPr>
                <w:color w:val="000000"/>
              </w:rPr>
              <w:t xml:space="preserve"> </w:t>
            </w:r>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91">
              <w:r>
                <w:rPr>
                  <w:rStyle w:val="InternetLink"/>
                  <w:rFonts w:ascii="Roboto;sans-serif" w:hAnsi="Roboto;sans-serif"/>
                  <w:b w:val="false"/>
                  <w:strike w:val="false"/>
                  <w:dstrike w:val="false"/>
                  <w:color w:val="000000"/>
                  <w:sz w:val="20"/>
                  <w:u w:val="none"/>
                  <w:effect w:val="none"/>
                </w:rPr>
                <w:t>44</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94">
              <w:r>
                <w:rPr>
                  <w:rStyle w:val="InternetLink"/>
                  <w:rFonts w:ascii="Roboto;sans-serif" w:hAnsi="Roboto;sans-serif"/>
                  <w:b w:val="false"/>
                  <w:color w:val="0000FF"/>
                  <w:sz w:val="20"/>
                  <w:u w:val="single"/>
                </w:rPr>
                <w:t xml:space="preserve">Item 1A. Risk Factors </w:t>
              </w:r>
            </w:hyperlink>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94">
              <w:r>
                <w:rPr>
                  <w:rStyle w:val="InternetLink"/>
                  <w:rFonts w:ascii="Roboto;sans-serif" w:hAnsi="Roboto;sans-serif"/>
                  <w:b w:val="false"/>
                  <w:strike w:val="false"/>
                  <w:dstrike w:val="false"/>
                  <w:color w:val="000000"/>
                  <w:sz w:val="20"/>
                  <w:u w:val="none"/>
                  <w:effect w:val="none"/>
                </w:rPr>
                <w:t>45</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97">
              <w:r>
                <w:rPr>
                  <w:rStyle w:val="InternetLink"/>
                  <w:rFonts w:ascii="Roboto;sans-serif" w:hAnsi="Roboto;sans-serif"/>
                  <w:b w:val="false"/>
                  <w:color w:val="0000FF"/>
                  <w:sz w:val="20"/>
                  <w:u w:val="single"/>
                </w:rPr>
                <w:t>Item 2. Unregistered Sales of Equity Securities and Use of Proceeds</w:t>
              </w:r>
            </w:hyperlink>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97">
              <w:r>
                <w:rPr>
                  <w:rStyle w:val="InternetLink"/>
                  <w:rFonts w:ascii="Roboto;sans-serif" w:hAnsi="Roboto;sans-serif"/>
                  <w:b w:val="false"/>
                  <w:strike w:val="false"/>
                  <w:dstrike w:val="false"/>
                  <w:color w:val="000000"/>
                  <w:sz w:val="20"/>
                  <w:u w:val="none"/>
                  <w:effect w:val="none"/>
                </w:rPr>
                <w:t>87</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100">
              <w:r>
                <w:rPr>
                  <w:rStyle w:val="InternetLink"/>
                  <w:rFonts w:ascii="Roboto;sans-serif" w:hAnsi="Roboto;sans-serif"/>
                  <w:b w:val="false"/>
                  <w:color w:val="0000FF"/>
                  <w:sz w:val="20"/>
                  <w:u w:val="single"/>
                </w:rPr>
                <w:t xml:space="preserve">Item 3. Defaults Upon Senior Securities </w:t>
              </w:r>
            </w:hyperlink>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100">
              <w:r>
                <w:rPr>
                  <w:rStyle w:val="InternetLink"/>
                  <w:rFonts w:ascii="Roboto;sans-serif" w:hAnsi="Roboto;sans-serif"/>
                  <w:b w:val="false"/>
                  <w:strike w:val="false"/>
                  <w:dstrike w:val="false"/>
                  <w:color w:val="000000"/>
                  <w:sz w:val="20"/>
                  <w:u w:val="none"/>
                  <w:effect w:val="none"/>
                </w:rPr>
                <w:t>88</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103">
              <w:r>
                <w:rPr>
                  <w:rStyle w:val="InternetLink"/>
                  <w:rFonts w:ascii="Roboto;sans-serif" w:hAnsi="Roboto;sans-serif"/>
                  <w:b w:val="false"/>
                  <w:color w:val="0000FF"/>
                  <w:sz w:val="20"/>
                  <w:u w:val="single"/>
                </w:rPr>
                <w:t xml:space="preserve">Item 4. Mine Safety Disclosures </w:t>
              </w:r>
            </w:hyperlink>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103">
              <w:r>
                <w:rPr>
                  <w:rStyle w:val="InternetLink"/>
                  <w:rFonts w:ascii="Roboto;sans-serif" w:hAnsi="Roboto;sans-serif"/>
                  <w:b w:val="false"/>
                  <w:strike w:val="false"/>
                  <w:dstrike w:val="false"/>
                  <w:color w:val="000000"/>
                  <w:sz w:val="20"/>
                  <w:u w:val="none"/>
                  <w:effect w:val="none"/>
                </w:rPr>
                <w:t>88</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106">
              <w:r>
                <w:rPr>
                  <w:rStyle w:val="InternetLink"/>
                  <w:rFonts w:ascii="Roboto;sans-serif" w:hAnsi="Roboto;sans-serif"/>
                  <w:b w:val="false"/>
                  <w:color w:val="0000FF"/>
                  <w:sz w:val="20"/>
                  <w:u w:val="single"/>
                </w:rPr>
                <w:t>Item 5. Other Information</w:t>
              </w:r>
            </w:hyperlink>
            <w:r>
              <w:rPr>
                <w:color w:val="000000"/>
              </w:rPr>
              <w:t xml:space="preserve"> </w:t>
            </w:r>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106">
              <w:r>
                <w:rPr>
                  <w:rStyle w:val="InternetLink"/>
                  <w:rFonts w:ascii="Roboto;sans-serif" w:hAnsi="Roboto;sans-serif"/>
                  <w:b w:val="false"/>
                  <w:strike w:val="false"/>
                  <w:dstrike w:val="false"/>
                  <w:color w:val="000000"/>
                  <w:sz w:val="20"/>
                  <w:u w:val="none"/>
                  <w:effect w:val="none"/>
                </w:rPr>
                <w:t>88</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109">
              <w:r>
                <w:rPr>
                  <w:rStyle w:val="InternetLink"/>
                  <w:rFonts w:ascii="Roboto;sans-serif" w:hAnsi="Roboto;sans-serif"/>
                  <w:b w:val="false"/>
                  <w:color w:val="0000FF"/>
                  <w:sz w:val="20"/>
                  <w:u w:val="single"/>
                </w:rPr>
                <w:t>Item 6. Exhibits</w:t>
              </w:r>
            </w:hyperlink>
            <w:r>
              <w:rPr>
                <w:color w:val="000000"/>
              </w:rPr>
              <w:t xml:space="preserve"> </w:t>
            </w:r>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109">
              <w:r>
                <w:rPr>
                  <w:rStyle w:val="InternetLink"/>
                  <w:rFonts w:ascii="Roboto;sans-serif" w:hAnsi="Roboto;sans-serif"/>
                  <w:b w:val="false"/>
                  <w:strike w:val="false"/>
                  <w:dstrike w:val="false"/>
                  <w:color w:val="000000"/>
                  <w:sz w:val="20"/>
                  <w:u w:val="none"/>
                  <w:effect w:val="none"/>
                </w:rPr>
                <w:t>89</w:t>
              </w:r>
            </w:hyperlink>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297dc2d97e4e34aed4a2bdfd28cba8_112">
              <w:r>
                <w:rPr>
                  <w:rStyle w:val="InternetLink"/>
                  <w:rFonts w:ascii="Roboto;sans-serif" w:hAnsi="Roboto;sans-serif"/>
                  <w:b w:val="false"/>
                  <w:color w:val="0000FF"/>
                  <w:sz w:val="20"/>
                  <w:u w:val="single"/>
                </w:rPr>
                <w:t>Signatures</w:t>
              </w:r>
            </w:hyperlink>
          </w:p>
        </w:tc>
        <w:tc>
          <w:tcPr>
            <w:tcW w:w="70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4297dc2d97e4e34aed4a2bdfd28cba8_112">
              <w:r>
                <w:rPr>
                  <w:rStyle w:val="InternetLink"/>
                  <w:rFonts w:ascii="Roboto;sans-serif" w:hAnsi="Roboto;sans-serif"/>
                  <w:b w:val="false"/>
                  <w:strike w:val="false"/>
                  <w:dstrike w:val="false"/>
                  <w:color w:val="000000"/>
                  <w:sz w:val="20"/>
                  <w:u w:val="none"/>
                  <w:effect w:val="none"/>
                </w:rPr>
                <w:t>90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112520"/>
                <wp:effectExtent l="0" t="0" r="0" b="0"/>
                <wp:wrapNone/>
                <wp:docPr id="3" name="Frame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457200" cy="95250"/>
                                                </a:xfrm>
                                                <a:prstGeom prst="rect">
                                                  <a:avLst/>
                                                </a:prstGeom>
                                              </pic:spPr>
                                            </pic:pic>
                                          </a:graphicData>
                                        </a:graphic>
                                      </wp:inline>
                                    </w:drawing>
                                  </w:r>
                                  <w:bookmarkStart w:id="1" w:name="i-2"/>
                                  <w:bookmarkEnd w:id="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457200" cy="95250"/>
                                          </a:xfrm>
                                          <a:prstGeom prst="rect">
                                            <a:avLst/>
                                          </a:prstGeom>
                                        </pic:spPr>
                                      </pic:pic>
                                    </a:graphicData>
                                  </a:graphic>
                                </wp:inline>
                              </w:drawing>
                            </w:r>
                            <w:bookmarkStart w:id="2" w:name="i-2"/>
                            <w:bookmarkEnd w:id="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0" w:after="0"/>
        <w:jc w:val="center"/>
        <w:rPr>
          <w:rFonts w:ascii="Roboto;sans-serif" w:hAnsi="Roboto;sans-serif"/>
          <w:b/>
          <w:color w:val="DF1995"/>
          <w:sz w:val="24"/>
        </w:rPr>
      </w:pPr>
      <w:r>
        <w:rPr>
          <w:rFonts w:ascii="Roboto;sans-serif" w:hAnsi="Roboto;sans-serif"/>
          <w:b/>
          <w:color w:val="DF1995"/>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75" w:type="dxa"/>
        <w:jc w:val="left"/>
        <w:tblInd w:w="0" w:type="dxa"/>
        <w:tblLayout w:type="fixed"/>
        <w:tblCellMar>
          <w:top w:w="28" w:type="dxa"/>
          <w:left w:w="28" w:type="dxa"/>
          <w:bottom w:w="28" w:type="dxa"/>
          <w:right w:w="28" w:type="dxa"/>
        </w:tblCellMar>
      </w:tblPr>
      <w:tblGrid>
        <w:gridCol w:w="1464"/>
        <w:gridCol w:w="1287"/>
        <w:gridCol w:w="1824"/>
      </w:tblGrid>
      <w:tr>
        <w:trPr/>
        <w:tc>
          <w:tcPr>
            <w:tcW w:w="146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DF1995"/>
              <w:bottom w:val="single" w:sz="8" w:space="0" w:color="DF1995"/>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4"/>
              </w:rPr>
            </w:pPr>
            <w:r>
              <w:rPr>
                <w:rFonts w:ascii="Roboto;sans-serif" w:hAnsi="Roboto;sans-serif"/>
                <w:b/>
                <w:color w:val="DF1995"/>
                <w:sz w:val="24"/>
              </w:rPr>
              <w:t>ITEM 1.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15" w:type="dxa"/>
        <w:jc w:val="left"/>
        <w:tblInd w:w="0" w:type="dxa"/>
        <w:tblLayout w:type="fixed"/>
        <w:tblCellMar>
          <w:top w:w="28" w:type="dxa"/>
          <w:left w:w="28" w:type="dxa"/>
          <w:bottom w:w="28" w:type="dxa"/>
          <w:right w:w="28" w:type="dxa"/>
        </w:tblCellMar>
      </w:tblPr>
      <w:tblGrid>
        <w:gridCol w:w="1826"/>
        <w:gridCol w:w="1605"/>
        <w:gridCol w:w="2284"/>
      </w:tblGrid>
      <w:tr>
        <w:trPr/>
        <w:tc>
          <w:tcPr>
            <w:tcW w:w="182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BALANCE SHEETS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10205" w:type="dxa"/>
        <w:jc w:val="left"/>
        <w:tblInd w:w="0" w:type="dxa"/>
        <w:tblLayout w:type="fixed"/>
        <w:tblCellMar>
          <w:top w:w="28" w:type="dxa"/>
          <w:left w:w="28" w:type="dxa"/>
          <w:bottom w:w="28" w:type="dxa"/>
          <w:right w:w="28" w:type="dxa"/>
        </w:tblCellMar>
      </w:tblPr>
      <w:tblGrid>
        <w:gridCol w:w="2764"/>
        <w:gridCol w:w="2213"/>
        <w:gridCol w:w="2221"/>
        <w:gridCol w:w="229"/>
        <w:gridCol w:w="963"/>
        <w:gridCol w:w="109"/>
        <w:gridCol w:w="109"/>
        <w:gridCol w:w="109"/>
        <w:gridCol w:w="109"/>
        <w:gridCol w:w="234"/>
        <w:gridCol w:w="981"/>
        <w:gridCol w:w="164"/>
      </w:tblGrid>
      <w:tr>
        <w:trPr/>
        <w:tc>
          <w:tcPr>
            <w:tcW w:w="2764"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 except par value)</w:t>
            </w:r>
          </w:p>
        </w:tc>
        <w:tc>
          <w:tcPr>
            <w:tcW w:w="130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December 31,</w:t>
              <w:br/>
              <w:t>2025</w:t>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Assets</w:t>
            </w:r>
          </w:p>
        </w:tc>
        <w:tc>
          <w:tcPr>
            <w:tcW w:w="130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Current assets </w:t>
            </w:r>
          </w:p>
        </w:tc>
        <w:tc>
          <w:tcPr>
            <w:tcW w:w="130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Cash and cash equivalents </w:t>
            </w:r>
          </w:p>
        </w:tc>
        <w:tc>
          <w:tcPr>
            <w:tcW w:w="229"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3"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61,003 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1"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63,707 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Investments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175,870 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215,799 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31,104 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35,448 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61,084 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49,285 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Prepaid expenses and other current assets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9,545 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10,793 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current assets </w:t>
            </w:r>
          </w:p>
        </w:tc>
        <w:tc>
          <w:tcPr>
            <w:tcW w:w="1192"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338,639 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375,052 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Property and equipment, net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26,972 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24,146 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lease right-of-use assets, net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40,331 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41,695 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1,571 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13,084 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15,124 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317,761 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317,761 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long-term assets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13,492 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8,773 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assets </w:t>
            </w:r>
          </w:p>
        </w:tc>
        <w:tc>
          <w:tcPr>
            <w:tcW w:w="229"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3"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751,850 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784,083 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 xml:space="preserve">Liabilities and Stockholders’ (Deficit) Equity </w:t>
            </w:r>
          </w:p>
        </w:tc>
        <w:tc>
          <w:tcPr>
            <w:tcW w:w="130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30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Accounts payable </w:t>
            </w:r>
          </w:p>
        </w:tc>
        <w:tc>
          <w:tcPr>
            <w:tcW w:w="229"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3"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19,224 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1"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20,770 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Accrued expenses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30,322 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33,646 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Deferred revenue, current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16,103 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15,936 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1,371 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liabilities, current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1,786 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current liabilities </w:t>
            </w:r>
          </w:p>
        </w:tc>
        <w:tc>
          <w:tcPr>
            <w:tcW w:w="1192"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68,806 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72,831 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Deferred revenue, non-current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3,339 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3,929 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lease liabilities, non-current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60,424 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56,592 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Convertible senior notes, net, non-current</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644,332 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645,382 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liabilities, non-current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8,162 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liabilities </w:t>
            </w:r>
          </w:p>
        </w:tc>
        <w:tc>
          <w:tcPr>
            <w:tcW w:w="1192"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785,063 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778,734 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Commitments and contingencies </w:t>
            </w:r>
          </w:p>
        </w:tc>
        <w:tc>
          <w:tcPr>
            <w:tcW w:w="130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Stockholders’ (deficit) equity </w:t>
            </w:r>
          </w:p>
        </w:tc>
        <w:tc>
          <w:tcPr>
            <w:tcW w:w="130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Preferred stock, $0.001 par value:</w:t>
            </w:r>
          </w:p>
        </w:tc>
        <w:tc>
          <w:tcPr>
            <w:tcW w:w="130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Authorized 50,000 shares; No shares issued or outstanding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Common stock, $0.001 par value:</w:t>
            </w:r>
          </w:p>
        </w:tc>
        <w:tc>
          <w:tcPr>
            <w:tcW w:w="130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Authorized 1,000,000 shares; issued and outstanding 310,810 and 301,956 shares at June 30, 2026 and December 31, 2025, respectively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Additional paid-in capital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2,715,297 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2,699,892 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Accumulated other comprehensive (loss) income</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(503)</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Accumulated deficit </w:t>
            </w:r>
          </w:p>
        </w:tc>
        <w:tc>
          <w:tcPr>
            <w:tcW w:w="119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(2,748,318)</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(2,695,302)</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stockholders’ (deficit) equity </w:t>
            </w:r>
          </w:p>
        </w:tc>
        <w:tc>
          <w:tcPr>
            <w:tcW w:w="1192"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(33,213)</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5,349 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liabilities and stockholders’ (deficit) equity </w:t>
            </w:r>
          </w:p>
        </w:tc>
        <w:tc>
          <w:tcPr>
            <w:tcW w:w="22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63"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751,850 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784,083 </w:t>
            </w:r>
          </w:p>
        </w:tc>
        <w:tc>
          <w:tcPr>
            <w:tcW w:w="1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94297dc2d97e4e34aed4a2bdfd28cba8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112520"/>
                <wp:effectExtent l="0" t="0" r="0" b="0"/>
                <wp:wrapNone/>
                <wp:docPr id="6" name="Frame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457200" cy="95250"/>
                                                </a:xfrm>
                                                <a:prstGeom prst="rect">
                                                  <a:avLst/>
                                                </a:prstGeom>
                                              </pic:spPr>
                                            </pic:pic>
                                          </a:graphicData>
                                        </a:graphic>
                                      </wp:inline>
                                    </w:drawing>
                                  </w:r>
                                  <w:bookmarkStart w:id="3" w:name="i-3"/>
                                  <w:bookmarkEnd w:id="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457200" cy="95250"/>
                                          </a:xfrm>
                                          <a:prstGeom prst="rect">
                                            <a:avLst/>
                                          </a:prstGeom>
                                        </pic:spPr>
                                      </pic:pic>
                                    </a:graphicData>
                                  </a:graphic>
                                </wp:inline>
                              </w:drawing>
                            </w:r>
                            <w:bookmarkStart w:id="4" w:name="i-3"/>
                            <w:bookmarkEnd w:id="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10155" w:type="dxa"/>
        <w:jc w:val="left"/>
        <w:tblInd w:w="0" w:type="dxa"/>
        <w:tblLayout w:type="fixed"/>
        <w:tblCellMar>
          <w:top w:w="28" w:type="dxa"/>
          <w:left w:w="28" w:type="dxa"/>
          <w:bottom w:w="28" w:type="dxa"/>
          <w:right w:w="28" w:type="dxa"/>
        </w:tblCellMar>
      </w:tblPr>
      <w:tblGrid>
        <w:gridCol w:w="3250"/>
        <w:gridCol w:w="2856"/>
        <w:gridCol w:w="4049"/>
      </w:tblGrid>
      <w:tr>
        <w:trPr/>
        <w:tc>
          <w:tcPr>
            <w:tcW w:w="3250"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10155"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STATEMENTS OF OPERATIONS AND COMPREHENSIVE LOSS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10205" w:type="dxa"/>
        <w:jc w:val="left"/>
        <w:tblInd w:w="0" w:type="dxa"/>
        <w:tblLayout w:type="fixed"/>
        <w:tblCellMar>
          <w:top w:w="28" w:type="dxa"/>
          <w:left w:w="28" w:type="dxa"/>
          <w:bottom w:w="28" w:type="dxa"/>
          <w:right w:w="28" w:type="dxa"/>
        </w:tblCellMar>
      </w:tblPr>
      <w:tblGrid>
        <w:gridCol w:w="1677"/>
        <w:gridCol w:w="1257"/>
        <w:gridCol w:w="1260"/>
        <w:gridCol w:w="226"/>
        <w:gridCol w:w="882"/>
        <w:gridCol w:w="109"/>
        <w:gridCol w:w="109"/>
        <w:gridCol w:w="109"/>
        <w:gridCol w:w="109"/>
        <w:gridCol w:w="226"/>
        <w:gridCol w:w="882"/>
        <w:gridCol w:w="109"/>
        <w:gridCol w:w="109"/>
        <w:gridCol w:w="109"/>
        <w:gridCol w:w="109"/>
        <w:gridCol w:w="226"/>
        <w:gridCol w:w="877"/>
        <w:gridCol w:w="109"/>
        <w:gridCol w:w="109"/>
        <w:gridCol w:w="109"/>
        <w:gridCol w:w="109"/>
        <w:gridCol w:w="226"/>
        <w:gridCol w:w="997"/>
        <w:gridCol w:w="161"/>
      </w:tblGrid>
      <w:tr>
        <w:trPr/>
        <w:tc>
          <w:tcPr>
            <w:tcW w:w="167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Six Months Ended June 30,</w:t>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1217"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2025</w:t>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21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82"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32,950 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77"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64,484 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7"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64,196 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6,057 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11,701 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12,723 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108"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39,007 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39,766 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76,185 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76,919 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21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20,944 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40,916 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46,355 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5,242 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9,424 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8,631 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4,528 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4,092 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108"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26,369 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25,082 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50,706 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63,606 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108"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12,638 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14,684 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25,479 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13,313 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21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23,022 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42,630 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51,582 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33,393 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64,546 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76,343 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Settlement charges</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15,400 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Gain on disposal of assets</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(45,796)</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833 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1,666 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362,875 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(18,700)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108"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57,248 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59,537 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78,446 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487,100 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(44,610)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(44,853)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(52,967)</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(473,787)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19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(2,110)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(3,850)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(3,475)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2,037 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4,043 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8,990 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108"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(44,683)</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(41,895)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(52,774)</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(468,272)</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Income tax provision (benefit)</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58 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1108"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(44,741)</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(41,930)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(53,016)</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(468,005)</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121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Unrealized loss on investments </w:t>
            </w:r>
          </w:p>
        </w:tc>
        <w:tc>
          <w:tcPr>
            <w:tcW w:w="110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(356)</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(960)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Comprehensive loss</w:t>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82"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(45,097)</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(42,044)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77"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(53,976)</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(468,160)</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 per share:</w:t>
            </w:r>
          </w:p>
        </w:tc>
        <w:tc>
          <w:tcPr>
            <w:tcW w:w="1217"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Basic </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82"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(0.14)</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77"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(0.17)</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7"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Diluted </w:t>
            </w:r>
          </w:p>
        </w:tc>
        <w:tc>
          <w:tcPr>
            <w:tcW w:w="226"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82"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(0.14)</w:t>
            </w:r>
          </w:p>
        </w:tc>
        <w:tc>
          <w:tcPr>
            <w:tcW w:w="109" w:type="dxa"/>
            <w:tcBorders>
              <w:top w:val="doub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2"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(0.14)</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77"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(0.17)</w:t>
            </w:r>
          </w:p>
        </w:tc>
        <w:tc>
          <w:tcPr>
            <w:tcW w:w="109" w:type="dxa"/>
            <w:tcBorders>
              <w:top w:val="doub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7"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(1.57)</w:t>
            </w:r>
          </w:p>
        </w:tc>
        <w:tc>
          <w:tcPr>
            <w:tcW w:w="16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outstanding used in calculating net loss per share:</w:t>
            </w:r>
          </w:p>
        </w:tc>
        <w:tc>
          <w:tcPr>
            <w:tcW w:w="1217"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Basic </w:t>
            </w:r>
          </w:p>
        </w:tc>
        <w:tc>
          <w:tcPr>
            <w:tcW w:w="1217"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310,655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308,250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298,519</w:t>
            </w:r>
          </w:p>
        </w:tc>
      </w:tr>
      <w:tr>
        <w:trPr/>
        <w:tc>
          <w:tcPr>
            <w:tcW w:w="4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Diluted </w:t>
            </w:r>
          </w:p>
        </w:tc>
        <w:tc>
          <w:tcPr>
            <w:tcW w:w="1217" w:type="dxa"/>
            <w:gridSpan w:val="3"/>
            <w:tcBorders>
              <w:top w:val="doub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310,655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308,250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298,519</w:t>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94297dc2d97e4e34aed4a2bdfd28cba8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 xml:space="preserve">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112520"/>
                <wp:effectExtent l="0" t="0" r="0" b="0"/>
                <wp:wrapNone/>
                <wp:docPr id="9" name="Frame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457200" cy="95250"/>
                                                </a:xfrm>
                                                <a:prstGeom prst="rect">
                                                  <a:avLst/>
                                                </a:prstGeom>
                                              </pic:spPr>
                                            </pic:pic>
                                          </a:graphicData>
                                        </a:graphic>
                                      </wp:inline>
                                    </w:drawing>
                                  </w:r>
                                  <w:bookmarkStart w:id="5" w:name="i-4"/>
                                  <w:bookmarkEnd w:id="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457200" cy="95250"/>
                                          </a:xfrm>
                                          <a:prstGeom prst="rect">
                                            <a:avLst/>
                                          </a:prstGeom>
                                        </pic:spPr>
                                      </pic:pic>
                                    </a:graphicData>
                                  </a:graphic>
                                </wp:inline>
                              </w:drawing>
                            </w:r>
                            <w:bookmarkStart w:id="6" w:name="i-4"/>
                            <w:bookmarkEnd w:id="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9389" w:type="dxa"/>
        <w:jc w:val="left"/>
        <w:tblInd w:w="0" w:type="dxa"/>
        <w:tblLayout w:type="fixed"/>
        <w:tblCellMar>
          <w:top w:w="28" w:type="dxa"/>
          <w:left w:w="28" w:type="dxa"/>
          <w:bottom w:w="28" w:type="dxa"/>
          <w:right w:w="28" w:type="dxa"/>
        </w:tblCellMar>
      </w:tblPr>
      <w:tblGrid>
        <w:gridCol w:w="3005"/>
        <w:gridCol w:w="2640"/>
        <w:gridCol w:w="3744"/>
      </w:tblGrid>
      <w:tr>
        <w:trPr/>
        <w:tc>
          <w:tcPr>
            <w:tcW w:w="3005"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9389"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STATEMENTS OF STOCKHOLDERS' (DEFICIT) EQUITY</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10205" w:type="dxa"/>
        <w:jc w:val="center"/>
        <w:tblInd w:w="0" w:type="dxa"/>
        <w:tblLayout w:type="fixed"/>
        <w:tblCellMar>
          <w:top w:w="28" w:type="dxa"/>
          <w:left w:w="28" w:type="dxa"/>
          <w:bottom w:w="28" w:type="dxa"/>
          <w:right w:w="28" w:type="dxa"/>
        </w:tblCellMar>
      </w:tblPr>
      <w:tblGrid>
        <w:gridCol w:w="1002"/>
        <w:gridCol w:w="462"/>
        <w:gridCol w:w="465"/>
        <w:gridCol w:w="259"/>
        <w:gridCol w:w="259"/>
        <w:gridCol w:w="263"/>
        <w:gridCol w:w="109"/>
        <w:gridCol w:w="109"/>
        <w:gridCol w:w="109"/>
        <w:gridCol w:w="211"/>
        <w:gridCol w:w="466"/>
        <w:gridCol w:w="109"/>
        <w:gridCol w:w="109"/>
        <w:gridCol w:w="109"/>
        <w:gridCol w:w="109"/>
        <w:gridCol w:w="211"/>
        <w:gridCol w:w="976"/>
        <w:gridCol w:w="109"/>
        <w:gridCol w:w="109"/>
        <w:gridCol w:w="109"/>
        <w:gridCol w:w="109"/>
        <w:gridCol w:w="341"/>
        <w:gridCol w:w="779"/>
        <w:gridCol w:w="177"/>
        <w:gridCol w:w="109"/>
        <w:gridCol w:w="109"/>
        <w:gridCol w:w="109"/>
        <w:gridCol w:w="211"/>
        <w:gridCol w:w="999"/>
        <w:gridCol w:w="109"/>
        <w:gridCol w:w="109"/>
        <w:gridCol w:w="109"/>
        <w:gridCol w:w="109"/>
        <w:gridCol w:w="213"/>
        <w:gridCol w:w="788"/>
        <w:gridCol w:w="161"/>
      </w:tblGrid>
      <w:tr>
        <w:trPr/>
        <w:tc>
          <w:tcPr>
            <w:tcW w:w="100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3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Three Months Ended June 30, 2026</w:t>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(Deficit) Equity</w:t>
            </w:r>
          </w:p>
        </w:tc>
      </w:tr>
      <w:tr>
        <w:trPr/>
        <w:tc>
          <w:tcPr>
            <w:tcW w:w="19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92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383C6"/>
                <w:sz w:val="16"/>
              </w:rPr>
            </w:pPr>
            <w:r>
              <w:rPr>
                <w:rFonts w:ascii="Roboto;sans-serif" w:hAnsi="Roboto;sans-serif"/>
                <w:b/>
                <w:color w:val="1383C6"/>
                <w:sz w:val="16"/>
              </w:rPr>
              <w:t>Balance at March 31, 2026</w:t>
            </w:r>
          </w:p>
        </w:tc>
        <w:tc>
          <w:tcPr>
            <w:tcW w:w="781"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310,487</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6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311 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7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2,705,779 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79"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(147)</w:t>
            </w:r>
          </w:p>
        </w:tc>
        <w:tc>
          <w:tcPr>
            <w:tcW w:w="177"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99"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(2,703,577)</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88"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2,366 </w:t>
            </w:r>
          </w:p>
        </w:tc>
        <w:tc>
          <w:tcPr>
            <w:tcW w:w="161"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Net loss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7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(44,741)</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(44,741)</w:t>
            </w:r>
          </w:p>
        </w:tc>
        <w:tc>
          <w:tcPr>
            <w:tcW w:w="16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16"/>
              </w:rPr>
            </w:pPr>
            <w:r>
              <w:rPr>
                <w:rFonts w:ascii="Roboto;sans-serif" w:hAnsi="Roboto;sans-serif"/>
                <w:b w:val="false"/>
                <w:color w:val="1383C6"/>
                <w:sz w:val="16"/>
              </w:rPr>
              <w:t>Other comprehensive loss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(356)</w:t>
            </w:r>
          </w:p>
        </w:tc>
        <w:tc>
          <w:tcPr>
            <w:tcW w:w="17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(356)</w:t>
            </w:r>
          </w:p>
        </w:tc>
        <w:tc>
          <w:tcPr>
            <w:tcW w:w="16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Issuance of common stock in conjunction with equity plans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323</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255 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7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255 </w:t>
            </w:r>
          </w:p>
        </w:tc>
        <w:tc>
          <w:tcPr>
            <w:tcW w:w="16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Share-based compensation expense</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9,263 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7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9,263 </w:t>
            </w:r>
          </w:p>
        </w:tc>
        <w:tc>
          <w:tcPr>
            <w:tcW w:w="16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383C6"/>
                <w:sz w:val="16"/>
              </w:rPr>
            </w:pPr>
            <w:r>
              <w:rPr>
                <w:rFonts w:ascii="Roboto;sans-serif" w:hAnsi="Roboto;sans-serif"/>
                <w:b/>
                <w:color w:val="1383C6"/>
                <w:sz w:val="16"/>
              </w:rPr>
              <w:t>Balance at June 30, 2026</w:t>
            </w:r>
          </w:p>
        </w:tc>
        <w:tc>
          <w:tcPr>
            <w:tcW w:w="781" w:type="dxa"/>
            <w:gridSpan w:val="3"/>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310,810</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6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311 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7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2,715,297 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7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(503)</w:t>
            </w:r>
          </w:p>
        </w:tc>
        <w:tc>
          <w:tcPr>
            <w:tcW w:w="177"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9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(2,748,318)</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88"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(33,213)</w:t>
            </w:r>
          </w:p>
        </w:tc>
        <w:tc>
          <w:tcPr>
            <w:tcW w:w="16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32"/>
        <w:gridCol w:w="485"/>
        <w:gridCol w:w="439"/>
        <w:gridCol w:w="259"/>
        <w:gridCol w:w="259"/>
        <w:gridCol w:w="263"/>
        <w:gridCol w:w="109"/>
        <w:gridCol w:w="109"/>
        <w:gridCol w:w="109"/>
        <w:gridCol w:w="211"/>
        <w:gridCol w:w="466"/>
        <w:gridCol w:w="109"/>
        <w:gridCol w:w="109"/>
        <w:gridCol w:w="109"/>
        <w:gridCol w:w="109"/>
        <w:gridCol w:w="211"/>
        <w:gridCol w:w="976"/>
        <w:gridCol w:w="109"/>
        <w:gridCol w:w="109"/>
        <w:gridCol w:w="109"/>
        <w:gridCol w:w="109"/>
        <w:gridCol w:w="362"/>
        <w:gridCol w:w="825"/>
        <w:gridCol w:w="187"/>
        <w:gridCol w:w="109"/>
        <w:gridCol w:w="109"/>
        <w:gridCol w:w="109"/>
        <w:gridCol w:w="211"/>
        <w:gridCol w:w="998"/>
        <w:gridCol w:w="109"/>
        <w:gridCol w:w="109"/>
        <w:gridCol w:w="109"/>
        <w:gridCol w:w="109"/>
        <w:gridCol w:w="213"/>
        <w:gridCol w:w="786"/>
        <w:gridCol w:w="160"/>
      </w:tblGrid>
      <w:tr>
        <w:trPr/>
        <w:tc>
          <w:tcPr>
            <w:tcW w:w="93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9" w:type="dxa"/>
            <w:gridSpan w:val="3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Six Months Ended June 30, 2026</w:t>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Accumulated</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Other</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(Deficit) Equity</w:t>
            </w:r>
          </w:p>
        </w:tc>
      </w:tr>
      <w:tr>
        <w:trPr/>
        <w:tc>
          <w:tcPr>
            <w:tcW w:w="18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85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383C6"/>
                <w:sz w:val="16"/>
              </w:rPr>
            </w:pPr>
            <w:r>
              <w:rPr>
                <w:rFonts w:ascii="Roboto;sans-serif" w:hAnsi="Roboto;sans-serif"/>
                <w:b/>
                <w:color w:val="1383C6"/>
                <w:sz w:val="16"/>
              </w:rPr>
              <w:t>Balance at December 31, 2025</w:t>
            </w:r>
          </w:p>
        </w:tc>
        <w:tc>
          <w:tcPr>
            <w:tcW w:w="781"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301,956</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6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302 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7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2,699,892 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5"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457 </w:t>
            </w:r>
          </w:p>
        </w:tc>
        <w:tc>
          <w:tcPr>
            <w:tcW w:w="187"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98"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(2,695,302)</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8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5,349 </w:t>
            </w:r>
          </w:p>
        </w:tc>
        <w:tc>
          <w:tcPr>
            <w:tcW w:w="160"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Net loss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8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(53,016)</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(53,016)</w:t>
            </w:r>
          </w:p>
        </w:tc>
        <w:tc>
          <w:tcPr>
            <w:tcW w:w="1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1383C6"/>
                <w:sz w:val="16"/>
              </w:rPr>
            </w:pPr>
            <w:r>
              <w:rPr>
                <w:rFonts w:ascii="Roboto;sans-serif" w:hAnsi="Roboto;sans-serif"/>
                <w:b w:val="false"/>
                <w:color w:val="1383C6"/>
                <w:sz w:val="16"/>
              </w:rPr>
              <w:t>Other comprehensive loss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(960)</w:t>
            </w:r>
          </w:p>
        </w:tc>
        <w:tc>
          <w:tcPr>
            <w:tcW w:w="18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(960)</w:t>
            </w:r>
          </w:p>
        </w:tc>
        <w:tc>
          <w:tcPr>
            <w:tcW w:w="1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Issuance of common stock in conjunction with equity plans</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8,854</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1,683 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8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1,692 </w:t>
            </w:r>
          </w:p>
        </w:tc>
        <w:tc>
          <w:tcPr>
            <w:tcW w:w="1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Share-based compensation expense</w:t>
            </w:r>
          </w:p>
        </w:tc>
        <w:tc>
          <w:tcPr>
            <w:tcW w:w="7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13,722 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8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13,722 </w:t>
            </w:r>
          </w:p>
        </w:tc>
        <w:tc>
          <w:tcPr>
            <w:tcW w:w="16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383C6"/>
                <w:sz w:val="16"/>
              </w:rPr>
            </w:pPr>
            <w:r>
              <w:rPr>
                <w:rFonts w:ascii="Roboto;sans-serif" w:hAnsi="Roboto;sans-serif"/>
                <w:b/>
                <w:color w:val="1383C6"/>
                <w:sz w:val="16"/>
              </w:rPr>
              <w:t>Balance at June 30, 2026</w:t>
            </w:r>
          </w:p>
        </w:tc>
        <w:tc>
          <w:tcPr>
            <w:tcW w:w="781" w:type="dxa"/>
            <w:gridSpan w:val="3"/>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310,810</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6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311 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7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2,715,297 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5"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(503)</w:t>
            </w:r>
          </w:p>
        </w:tc>
        <w:tc>
          <w:tcPr>
            <w:tcW w:w="187"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998"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(2,748,318)</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8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(33,213)</w:t>
            </w:r>
          </w:p>
        </w:tc>
        <w:tc>
          <w:tcPr>
            <w:tcW w:w="160"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99"/>
        <w:gridCol w:w="459"/>
        <w:gridCol w:w="462"/>
        <w:gridCol w:w="259"/>
        <w:gridCol w:w="259"/>
        <w:gridCol w:w="263"/>
        <w:gridCol w:w="109"/>
        <w:gridCol w:w="109"/>
        <w:gridCol w:w="109"/>
        <w:gridCol w:w="211"/>
        <w:gridCol w:w="466"/>
        <w:gridCol w:w="109"/>
        <w:gridCol w:w="109"/>
        <w:gridCol w:w="109"/>
        <w:gridCol w:w="109"/>
        <w:gridCol w:w="211"/>
        <w:gridCol w:w="976"/>
        <w:gridCol w:w="109"/>
        <w:gridCol w:w="109"/>
        <w:gridCol w:w="109"/>
        <w:gridCol w:w="109"/>
        <w:gridCol w:w="355"/>
        <w:gridCol w:w="784"/>
        <w:gridCol w:w="185"/>
        <w:gridCol w:w="109"/>
        <w:gridCol w:w="109"/>
        <w:gridCol w:w="109"/>
        <w:gridCol w:w="211"/>
        <w:gridCol w:w="999"/>
        <w:gridCol w:w="109"/>
        <w:gridCol w:w="109"/>
        <w:gridCol w:w="109"/>
        <w:gridCol w:w="109"/>
        <w:gridCol w:w="221"/>
        <w:gridCol w:w="757"/>
        <w:gridCol w:w="166"/>
      </w:tblGrid>
      <w:tr>
        <w:trPr/>
        <w:tc>
          <w:tcPr>
            <w:tcW w:w="99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Three Months Ended June 30, 2025</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Accumulated</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Other</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Balance at March 31, 2025</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2,665,958 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84"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381 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9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(2,575,001)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5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91,638 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(41,930)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(41,930)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Other comprehensive loss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(114)</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(114)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Issuance of common stock in conjunction with equity plans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11,895 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11,895 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Balance at June 30, 2025</w:t>
            </w:r>
          </w:p>
        </w:tc>
        <w:tc>
          <w:tcPr>
            <w:tcW w:w="78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300,350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2,677,853 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267 </w:t>
            </w:r>
          </w:p>
        </w:tc>
        <w:tc>
          <w:tcPr>
            <w:tcW w:w="1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(2,616,931)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61,489 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38"/>
        <w:gridCol w:w="493"/>
        <w:gridCol w:w="446"/>
        <w:gridCol w:w="259"/>
        <w:gridCol w:w="259"/>
        <w:gridCol w:w="263"/>
        <w:gridCol w:w="109"/>
        <w:gridCol w:w="109"/>
        <w:gridCol w:w="109"/>
        <w:gridCol w:w="211"/>
        <w:gridCol w:w="466"/>
        <w:gridCol w:w="109"/>
        <w:gridCol w:w="109"/>
        <w:gridCol w:w="109"/>
        <w:gridCol w:w="109"/>
        <w:gridCol w:w="211"/>
        <w:gridCol w:w="976"/>
        <w:gridCol w:w="109"/>
        <w:gridCol w:w="109"/>
        <w:gridCol w:w="109"/>
        <w:gridCol w:w="109"/>
        <w:gridCol w:w="353"/>
        <w:gridCol w:w="780"/>
        <w:gridCol w:w="184"/>
        <w:gridCol w:w="109"/>
        <w:gridCol w:w="109"/>
        <w:gridCol w:w="109"/>
        <w:gridCol w:w="211"/>
        <w:gridCol w:w="998"/>
        <w:gridCol w:w="109"/>
        <w:gridCol w:w="109"/>
        <w:gridCol w:w="109"/>
        <w:gridCol w:w="109"/>
        <w:gridCol w:w="211"/>
        <w:gridCol w:w="826"/>
        <w:gridCol w:w="158"/>
      </w:tblGrid>
      <w:tr>
        <w:trPr/>
        <w:tc>
          <w:tcPr>
            <w:tcW w:w="9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8" w:type="dxa"/>
            <w:gridSpan w:val="3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Six Months Ended June 30, 2025</w:t>
            </w:r>
          </w:p>
        </w:tc>
      </w:tr>
      <w:tr>
        <w:trPr/>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Accumulated</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Other</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Balance at December 31, 2024</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294,418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2,654,804 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8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422 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9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(2,148,926)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506,594 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Net loss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(468,005)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(468,005)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Other comprehensive loss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(155)</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Issuance of common stock in conjunction with equity plans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5,932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1,959 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Share-based compensation expense</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21,096 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Balance at June 30, 2025</w:t>
            </w:r>
          </w:p>
        </w:tc>
        <w:tc>
          <w:tcPr>
            <w:tcW w:w="78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300,350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2,677,853 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267 </w:t>
            </w:r>
          </w:p>
        </w:tc>
        <w:tc>
          <w:tcPr>
            <w:tcW w:w="1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(2,616,931)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61,489 </w:t>
            </w:r>
          </w:p>
        </w:tc>
        <w:tc>
          <w:tcPr>
            <w:tcW w:w="1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Roboto;sans-serif" w:hAnsi="Roboto;sans-serif"/>
          <w:b w:val="false"/>
          <w:color w:val="000000"/>
          <w:sz w:val="20"/>
        </w:rPr>
        <w:t xml:space="preserve">See accompanying </w:t>
      </w:r>
      <w:hyperlink w:anchor="i94297dc2d97e4e34aed4a2bdfd28cba8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12520"/>
                <wp:effectExtent l="0" t="0" r="0" b="0"/>
                <wp:wrapNone/>
                <wp:docPr id="12" name="Frame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457200" cy="95250"/>
                                                </a:xfrm>
                                                <a:prstGeom prst="rect">
                                                  <a:avLst/>
                                                </a:prstGeom>
                                              </pic:spPr>
                                            </pic:pic>
                                          </a:graphicData>
                                        </a:graphic>
                                      </wp:inline>
                                    </w:drawing>
                                  </w:r>
                                  <w:bookmarkStart w:id="7" w:name="i-5"/>
                                  <w:bookmarkEnd w:id="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457200" cy="95250"/>
                                          </a:xfrm>
                                          <a:prstGeom prst="rect">
                                            <a:avLst/>
                                          </a:prstGeom>
                                        </pic:spPr>
                                      </pic:pic>
                                    </a:graphicData>
                                  </a:graphic>
                                </wp:inline>
                              </w:drawing>
                            </w:r>
                            <w:bookmarkStart w:id="8" w:name="i-5"/>
                            <w:bookmarkEnd w:id="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6990" w:type="dxa"/>
        <w:jc w:val="center"/>
        <w:tblInd w:w="0" w:type="dxa"/>
        <w:tblLayout w:type="fixed"/>
        <w:tblCellMar>
          <w:top w:w="28" w:type="dxa"/>
          <w:left w:w="28" w:type="dxa"/>
          <w:bottom w:w="28" w:type="dxa"/>
          <w:right w:w="28" w:type="dxa"/>
        </w:tblCellMar>
      </w:tblPr>
      <w:tblGrid>
        <w:gridCol w:w="2233"/>
        <w:gridCol w:w="1964"/>
        <w:gridCol w:w="2793"/>
      </w:tblGrid>
      <w:tr>
        <w:trPr/>
        <w:tc>
          <w:tcPr>
            <w:tcW w:w="2233"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CONDENSED CONSOLIDATED STATEMENTS OF CASH FLOWS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tbl>
      <w:tblPr>
        <w:tblW w:w="8529" w:type="dxa"/>
        <w:jc w:val="center"/>
        <w:tblInd w:w="0" w:type="dxa"/>
        <w:tblLayout w:type="fixed"/>
        <w:tblCellMar>
          <w:top w:w="28" w:type="dxa"/>
          <w:left w:w="28" w:type="dxa"/>
          <w:bottom w:w="28" w:type="dxa"/>
          <w:right w:w="28" w:type="dxa"/>
        </w:tblCellMar>
      </w:tblPr>
      <w:tblGrid>
        <w:gridCol w:w="2174"/>
        <w:gridCol w:w="1913"/>
        <w:gridCol w:w="1928"/>
        <w:gridCol w:w="196"/>
        <w:gridCol w:w="721"/>
        <w:gridCol w:w="109"/>
        <w:gridCol w:w="109"/>
        <w:gridCol w:w="109"/>
        <w:gridCol w:w="109"/>
        <w:gridCol w:w="196"/>
        <w:gridCol w:w="811"/>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5"/>
              </w:rPr>
            </w:pPr>
            <w:r>
              <w:rPr>
                <w:rFonts w:ascii="Roboto;sans-serif" w:hAnsi="Roboto;sans-serif"/>
                <w:b/>
                <w:color w:val="000000"/>
                <w:sz w:val="15"/>
              </w:rPr>
              <w:t>Six Months Ended June 30,</w:t>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5"/>
              </w:rPr>
            </w:pPr>
            <w:r>
              <w:rPr>
                <w:rFonts w:ascii="Roboto;sans-serif" w:hAnsi="Roboto;sans-serif"/>
                <w:b w:val="false"/>
                <w:i/>
                <w:color w:val="000000"/>
                <w:sz w:val="15"/>
              </w:rPr>
              <w:t>(In thousands)</w:t>
            </w:r>
          </w:p>
        </w:tc>
        <w:tc>
          <w:tcPr>
            <w:tcW w:w="1026"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5"/>
              </w:rPr>
            </w:pPr>
            <w:r>
              <w:rPr>
                <w:rFonts w:ascii="Roboto;sans-serif" w:hAnsi="Roboto;sans-serif"/>
                <w:b/>
                <w:color w:val="1383C6"/>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5"/>
              </w:rPr>
            </w:pPr>
            <w:r>
              <w:rPr>
                <w:rFonts w:ascii="Roboto;sans-serif" w:hAnsi="Roboto;sans-serif"/>
                <w:b/>
                <w:color w:val="000000"/>
                <w:sz w:val="15"/>
              </w:rPr>
              <w:t>2025</w:t>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5"/>
              </w:rPr>
            </w:pPr>
            <w:r>
              <w:rPr>
                <w:rFonts w:ascii="Roboto;sans-serif" w:hAnsi="Roboto;sans-serif"/>
                <w:b/>
                <w:color w:val="000000"/>
                <w:sz w:val="15"/>
              </w:rPr>
              <w:t>Cash flows from operating activities</w:t>
            </w:r>
          </w:p>
        </w:tc>
        <w:tc>
          <w:tcPr>
            <w:tcW w:w="102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Net loss</w:t>
            </w:r>
          </w:p>
        </w:tc>
        <w:tc>
          <w:tcPr>
            <w:tcW w:w="19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5"/>
              </w:rPr>
            </w:pPr>
            <w:r>
              <w:rPr>
                <w:rFonts w:ascii="Roboto;sans-serif" w:hAnsi="Roboto;sans-serif"/>
                <w:b w:val="false"/>
                <w:color w:val="1383C6"/>
                <w:sz w:val="15"/>
              </w:rPr>
              <w:t>$</w:t>
            </w:r>
          </w:p>
        </w:tc>
        <w:tc>
          <w:tcPr>
            <w:tcW w:w="72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bookmarkStart w:id="9" w:name="ic1a7fcb800834143a2eee6df0b8f4da6_3-1-1-"/>
            <w:bookmarkEnd w:id="9"/>
            <w:r>
              <w:rPr>
                <w:rFonts w:ascii="Roboto;sans-serif" w:hAnsi="Roboto;sans-serif"/>
                <w:b w:val="false"/>
                <w:color w:val="1383C6"/>
                <w:sz w:val="15"/>
              </w:rPr>
              <w:t>(53,016)</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(468,005)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Adjustments to reconcile net loss to net cash used in operating activities</w:t>
            </w:r>
          </w:p>
        </w:tc>
        <w:tc>
          <w:tcPr>
            <w:tcW w:w="10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Depreciation </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4,521 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7,790 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Amortization of intangible assets</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2,040 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367,409 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Amortization of right-of-use assets</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1,513 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2,162 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Amortization of patent license</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516 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Share-based compensation expense</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13,722 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21,096 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Impairment charges</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15,000 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Gain on disposal of assets</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(48,100)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Accretion of discount on marketable securities, net</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(515)</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(2,982)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Change in the estimated fair value of contingent consideration</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(18,700)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Inventory provision</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1,417 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8,542 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Deferred income taxes</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(546)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Other</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450 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1,059 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Changes in assets and liabilities </w:t>
            </w:r>
          </w:p>
        </w:tc>
        <w:tc>
          <w:tcPr>
            <w:tcW w:w="10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Accounts receivable, net</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4,344 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(4,733)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Inventory, net</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(14,467)</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(3,868)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Prepaid expenses and other assets </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(429)</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6,809 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Accounts payable </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1,156 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(505)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Accrued expenses </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(1,763)</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(2,407)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Deferred revenue </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(423)</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808 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Operating lease liabilities</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2,894 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(1,730)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Other liabilities </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5,866 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(632)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Net cash used in operating activities </w:t>
            </w:r>
          </w:p>
        </w:tc>
        <w:tc>
          <w:tcPr>
            <w:tcW w:w="917"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(80,274)</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(73,433)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5"/>
              </w:rPr>
            </w:pPr>
            <w:r>
              <w:rPr>
                <w:rFonts w:ascii="Roboto;sans-serif" w:hAnsi="Roboto;sans-serif"/>
                <w:b/>
                <w:color w:val="000000"/>
                <w:sz w:val="15"/>
              </w:rPr>
              <w:t>Cash flows from investing activities</w:t>
            </w:r>
          </w:p>
        </w:tc>
        <w:tc>
          <w:tcPr>
            <w:tcW w:w="102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5"/>
              </w:rPr>
            </w:pPr>
            <w:r>
              <w:rPr>
                <w:rFonts w:ascii="Roboto;sans-serif" w:hAnsi="Roboto;sans-serif"/>
                <w:b w:val="false"/>
                <w:color w:val="000000"/>
                <w:sz w:val="15"/>
              </w:rPr>
              <w:t>Proceeds from disposal of assets</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50,000 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Payment for waiver of milestone obligation</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(1,900)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Purchases of property and equipment </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(4,598)</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(1,939)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Purchases of intangible assets</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(5,000)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(5,000)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Purchase of patent license</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(2,056)</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Purchases of investments </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(57,547)</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(117,992)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Maturities of investments </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97,031 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195,448 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Net cash provided by investing activities </w:t>
            </w:r>
          </w:p>
        </w:tc>
        <w:tc>
          <w:tcPr>
            <w:tcW w:w="917"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75,930 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70,517 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5"/>
              </w:rPr>
            </w:pPr>
            <w:r>
              <w:rPr>
                <w:rFonts w:ascii="Roboto;sans-serif" w:hAnsi="Roboto;sans-serif"/>
                <w:b/>
                <w:color w:val="000000"/>
                <w:sz w:val="15"/>
              </w:rPr>
              <w:t>Cash flows from financing activities</w:t>
            </w:r>
          </w:p>
        </w:tc>
        <w:tc>
          <w:tcPr>
            <w:tcW w:w="102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Proceeds from issuance of common stock from equity plans</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1,692 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1,959 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Net cash provided by financing activities </w:t>
            </w:r>
          </w:p>
        </w:tc>
        <w:tc>
          <w:tcPr>
            <w:tcW w:w="917"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1,692 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1,959 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Net decrease in cash, cash equivalents, and restricted cash</w:t>
            </w:r>
          </w:p>
        </w:tc>
        <w:tc>
          <w:tcPr>
            <w:tcW w:w="917"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(2,652)</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(957)</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Cash, cash equivalents, and restricted cash at beginning of period </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65,259 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57,592 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Cash, cash equivalents, and restricted cash at end of period </w:t>
            </w:r>
          </w:p>
        </w:tc>
        <w:tc>
          <w:tcPr>
            <w:tcW w:w="19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5"/>
              </w:rPr>
            </w:pPr>
            <w:r>
              <w:rPr>
                <w:rFonts w:ascii="Roboto;sans-serif" w:hAnsi="Roboto;sans-serif"/>
                <w:b w:val="false"/>
                <w:color w:val="1383C6"/>
                <w:sz w:val="15"/>
              </w:rPr>
              <w:t>$</w:t>
            </w:r>
          </w:p>
        </w:tc>
        <w:tc>
          <w:tcPr>
            <w:tcW w:w="72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62,607 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w:t>
            </w:r>
          </w:p>
        </w:tc>
        <w:tc>
          <w:tcPr>
            <w:tcW w:w="8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56,635 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Cash and cash equivalents at end of period </w:t>
            </w:r>
          </w:p>
        </w:tc>
        <w:tc>
          <w:tcPr>
            <w:tcW w:w="917" w:type="dxa"/>
            <w:gridSpan w:val="2"/>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61,003 </w:t>
            </w:r>
          </w:p>
        </w:tc>
        <w:tc>
          <w:tcPr>
            <w:tcW w:w="109" w:type="dxa"/>
            <w:tcBorders>
              <w:top w:val="doub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54,803 </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Restricted cash at end of period </w:t>
            </w:r>
          </w:p>
        </w:tc>
        <w:tc>
          <w:tcPr>
            <w:tcW w:w="9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1,604 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1,832 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 xml:space="preserve">Cash, cash equivalents, and restricted cash at end of period </w:t>
            </w:r>
          </w:p>
        </w:tc>
        <w:tc>
          <w:tcPr>
            <w:tcW w:w="19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5"/>
              </w:rPr>
            </w:pPr>
            <w:r>
              <w:rPr>
                <w:rFonts w:ascii="Roboto;sans-serif" w:hAnsi="Roboto;sans-serif"/>
                <w:b w:val="false"/>
                <w:color w:val="1383C6"/>
                <w:sz w:val="15"/>
              </w:rPr>
              <w:t>$</w:t>
            </w:r>
          </w:p>
        </w:tc>
        <w:tc>
          <w:tcPr>
            <w:tcW w:w="72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5"/>
              </w:rPr>
            </w:pPr>
            <w:r>
              <w:rPr>
                <w:rFonts w:ascii="Roboto;sans-serif" w:hAnsi="Roboto;sans-serif"/>
                <w:b w:val="false"/>
                <w:color w:val="1383C6"/>
                <w:sz w:val="15"/>
              </w:rPr>
              <w:t>62,607 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w:t>
            </w:r>
          </w:p>
        </w:tc>
        <w:tc>
          <w:tcPr>
            <w:tcW w:w="8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56,635 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5"/>
              </w:rPr>
            </w:pPr>
            <w:r>
              <w:rPr>
                <w:rFonts w:ascii="Roboto;sans-serif" w:hAnsi="Roboto;sans-serif"/>
                <w:b/>
                <w:color w:val="000000"/>
                <w:sz w:val="15"/>
              </w:rPr>
              <w:t>Supplemental disclosure of non-cash investing and financing activities</w:t>
            </w:r>
          </w:p>
        </w:tc>
        <w:tc>
          <w:tcPr>
            <w:tcW w:w="10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Right-of-use asset and lease liability recognized due to lease extension</w:t>
            </w:r>
          </w:p>
        </w:tc>
        <w:tc>
          <w:tcPr>
            <w:tcW w:w="196"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5"/>
              </w:rPr>
            </w:pPr>
            <w:r>
              <w:rPr>
                <w:rFonts w:ascii="Roboto;sans-serif" w:hAnsi="Roboto;sans-serif"/>
                <w:b w:val="false"/>
                <w:color w:val="1383C6"/>
                <w:sz w:val="15"/>
              </w:rPr>
              <w:t>$</w:t>
            </w:r>
          </w:p>
        </w:tc>
        <w:tc>
          <w:tcPr>
            <w:tcW w:w="721" w:type="dxa"/>
            <w:tcBorders>
              <w:bottom w:val="double" w:sz="8" w:space="0" w:color="000000"/>
            </w:tcBorders>
            <w:shd w:fill="E7F2F9" w:val="clear"/>
            <w:tcMar>
              <w:top w:w="0"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bottom w:val="double" w:sz="8" w:space="0" w:color="000000"/>
            </w:tcBorders>
            <w:shd w:fill="E7F2F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5"/>
              </w:rPr>
            </w:pPr>
            <w:r>
              <w:rPr>
                <w:rFonts w:ascii="Roboto;sans-serif" w:hAnsi="Roboto;sans-serif"/>
                <w:b w:val="false"/>
                <w:color w:val="000000"/>
                <w:sz w:val="15"/>
              </w:rPr>
              <w:t>$</w:t>
            </w:r>
          </w:p>
        </w:tc>
        <w:tc>
          <w:tcPr>
            <w:tcW w:w="811"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5"/>
              </w:rPr>
            </w:pPr>
            <w:r>
              <w:rPr>
                <w:rFonts w:ascii="Roboto;sans-serif" w:hAnsi="Roboto;sans-serif"/>
                <w:b w:val="false"/>
                <w:color w:val="000000"/>
                <w:sz w:val="15"/>
              </w:rPr>
              <w:t>29,575 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pPr>
      <w:r>
        <w:rPr>
          <w:rFonts w:ascii="Roboto;sans-serif" w:hAnsi="Roboto;sans-serif"/>
          <w:b w:val="false"/>
          <w:color w:val="000000"/>
          <w:sz w:val="16"/>
        </w:rPr>
        <w:t xml:space="preserve">See accompanying </w:t>
      </w:r>
      <w:hyperlink w:anchor="i94297dc2d97e4e34aed4a2bdfd28cba8_28">
        <w:r>
          <w:rPr>
            <w:rStyle w:val="InternetLink"/>
            <w:rFonts w:ascii="Roboto;sans-serif" w:hAnsi="Roboto;sans-serif"/>
            <w:b w:val="false"/>
            <w:color w:val="0000FF"/>
            <w:sz w:val="16"/>
            <w:u w:val="single"/>
          </w:rPr>
          <w:t>notes</w:t>
        </w:r>
      </w:hyperlink>
      <w:r>
        <w:rPr>
          <w:color w:val="000000"/>
        </w:rPr>
        <w:t xml:space="preserve"> </w:t>
      </w:r>
      <w:r>
        <w:rPr>
          <w:rFonts w:ascii="Roboto;sans-serif" w:hAnsi="Roboto;sans-serif"/>
          <w:b w:val="false"/>
          <w:color w:val="000000"/>
          <w:sz w:val="16"/>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12520"/>
                <wp:effectExtent l="0" t="0" r="0" b="0"/>
                <wp:wrapNone/>
                <wp:docPr id="15" name="Frame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457200" cy="95250"/>
                                                </a:xfrm>
                                                <a:prstGeom prst="rect">
                                                  <a:avLst/>
                                                </a:prstGeom>
                                              </pic:spPr>
                                            </pic:pic>
                                          </a:graphicData>
                                        </a:graphic>
                                      </wp:inline>
                                    </w:drawing>
                                  </w:r>
                                  <w:bookmarkStart w:id="10" w:name="i-6"/>
                                  <w:bookmarkEnd w:id="1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457200" cy="95250"/>
                                          </a:xfrm>
                                          <a:prstGeom prst="rect">
                                            <a:avLst/>
                                          </a:prstGeom>
                                        </pic:spPr>
                                      </pic:pic>
                                    </a:graphicData>
                                  </a:graphic>
                                </wp:inline>
                              </w:drawing>
                            </w:r>
                            <w:bookmarkStart w:id="11" w:name="i-6"/>
                            <w:bookmarkEnd w:id="1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7485" w:type="dxa"/>
        <w:jc w:val="left"/>
        <w:tblInd w:w="0" w:type="dxa"/>
        <w:tblLayout w:type="fixed"/>
        <w:tblCellMar>
          <w:top w:w="28" w:type="dxa"/>
          <w:left w:w="28" w:type="dxa"/>
          <w:bottom w:w="28" w:type="dxa"/>
          <w:right w:w="28" w:type="dxa"/>
        </w:tblCellMar>
      </w:tblPr>
      <w:tblGrid>
        <w:gridCol w:w="2391"/>
        <w:gridCol w:w="2103"/>
        <w:gridCol w:w="2991"/>
      </w:tblGrid>
      <w:tr>
        <w:trPr/>
        <w:tc>
          <w:tcPr>
            <w:tcW w:w="2391"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r>
      <w:tr>
        <w:trPr/>
        <w:tc>
          <w:tcPr>
            <w:tcW w:w="7485" w:type="dxa"/>
            <w:gridSpan w:val="3"/>
            <w:tcBorders/>
            <w:shd w:fill="DF1995" w:val="clear"/>
            <w:tcMar>
              <w:top w:w="0" w:type="dxa"/>
              <w:left w:w="0" w:type="dxa"/>
              <w:bottom w:w="0" w:type="dxa"/>
              <w:right w:w="0" w:type="dxa"/>
            </w:tcMar>
            <w:vAlign w:val="center"/>
          </w:tcPr>
          <w:p>
            <w:pPr>
              <w:pStyle w:val="TableContents"/>
              <w:bidi w:val="0"/>
              <w:spacing w:lineRule="auto" w:line="288" w:before="0" w:after="0"/>
              <w:ind w:left="0" w:right="0" w:hanging="990"/>
              <w:jc w:val="left"/>
              <w:rPr>
                <w:rFonts w:ascii="Roboto;sans-serif" w:hAnsi="Roboto;sans-serif"/>
                <w:b/>
                <w:color w:val="FFFFFF"/>
                <w:sz w:val="22"/>
              </w:rPr>
            </w:pPr>
            <w:r>
              <w:rPr>
                <w:rFonts w:ascii="Roboto;sans-serif" w:hAnsi="Roboto;sans-serif"/>
                <w:b/>
                <w:color w:val="FFFFFF"/>
                <w:sz w:val="22"/>
              </w:rPr>
              <w:t>PACIFIC BIOSCIENCES OF CALIFORNIA, INC.</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NOTES TO CONDENSED CONSOLIDATED FINANCIAL STATEMENTS</w:t>
            </w:r>
          </w:p>
          <w:p>
            <w:pPr>
              <w:pStyle w:val="TableContents"/>
              <w:bidi w:val="0"/>
              <w:spacing w:lineRule="auto" w:line="288" w:before="0" w:after="0"/>
              <w:ind w:left="0" w:right="0" w:hanging="990"/>
              <w:jc w:val="left"/>
              <w:rPr>
                <w:rFonts w:ascii="Roboto;sans-serif" w:hAnsi="Roboto;sans-serif"/>
                <w:b w:val="false"/>
                <w:color w:val="FFFFFF"/>
                <w:sz w:val="22"/>
              </w:rPr>
            </w:pPr>
            <w:r>
              <w:rPr>
                <w:rFonts w:ascii="Roboto;sans-serif" w:hAnsi="Roboto;sans-serif"/>
                <w:b w:val="false"/>
                <w:color w:val="FFFFFF"/>
                <w:sz w:val="22"/>
              </w:rPr>
              <w:t>(Unaudited)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10" w:type="dxa"/>
        <w:jc w:val="left"/>
        <w:tblInd w:w="0" w:type="dxa"/>
        <w:tblLayout w:type="fixed"/>
        <w:tblCellMar>
          <w:top w:w="28" w:type="dxa"/>
          <w:left w:w="28" w:type="dxa"/>
          <w:bottom w:w="28" w:type="dxa"/>
          <w:right w:w="28" w:type="dxa"/>
        </w:tblCellMar>
      </w:tblPr>
      <w:tblGrid>
        <w:gridCol w:w="2757"/>
        <w:gridCol w:w="2419"/>
        <w:gridCol w:w="3434"/>
      </w:tblGrid>
      <w:tr>
        <w:trPr/>
        <w:tc>
          <w:tcPr>
            <w:tcW w:w="2757"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r>
      <w:tr>
        <w:trPr/>
        <w:tc>
          <w:tcPr>
            <w:tcW w:w="8610"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1. ORGANIZATION AND SIGNIFICANT ACCOUNTING POLICIES</w:t>
            </w:r>
          </w:p>
        </w:tc>
      </w:tr>
    </w:tbl>
    <w:tbl>
      <w:tblPr>
        <w:tblW w:w="2549" w:type="dxa"/>
        <w:jc w:val="left"/>
        <w:tblInd w:w="0" w:type="dxa"/>
        <w:tblLayout w:type="fixed"/>
        <w:tblCellMar>
          <w:top w:w="28" w:type="dxa"/>
          <w:left w:w="28" w:type="dxa"/>
          <w:bottom w:w="28" w:type="dxa"/>
          <w:right w:w="28" w:type="dxa"/>
        </w:tblCellMar>
      </w:tblPr>
      <w:tblGrid>
        <w:gridCol w:w="815"/>
        <w:gridCol w:w="717"/>
        <w:gridCol w:w="1017"/>
      </w:tblGrid>
      <w:tr>
        <w:trPr/>
        <w:tc>
          <w:tcPr>
            <w:tcW w:w="8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Business Overview</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a life science technology company that designs, develops, and manufactures advanced sequencing solutions that enable scientists and clinical researchers to improve their understanding of the genome and ultimately, resolve genetically complex problems.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and technology, which primarily consist of our HiFi long-read sequencing systems, address a broad set of applications including human germline sequencing, plant and animal sciences, infectious disease and microbiology, oncology, and other emerging applications.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focus is on creating some of the world's most advanced sequencing systems to provide our customers with the most complete and accurate view of genomes, transcriptomes, and epigenomes.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customers include academic and governmental research institutions, commercial testing and service laboratories, genome centers, public health labs, hospitals and clinical research institutes, contract research organizations, pharmaceutical companies, and agricultural companies.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References in this report to “PacBio,” “we,” “us,” the “Company,” and “our” refer to Pacific Biosciences of California, Inc. and its consolidated subsidiaries.</w:t>
      </w:r>
    </w:p>
    <w:tbl>
      <w:tblPr>
        <w:tblW w:w="5204" w:type="dxa"/>
        <w:jc w:val="left"/>
        <w:tblInd w:w="0" w:type="dxa"/>
        <w:tblLayout w:type="fixed"/>
        <w:tblCellMar>
          <w:top w:w="28" w:type="dxa"/>
          <w:left w:w="28" w:type="dxa"/>
          <w:bottom w:w="28" w:type="dxa"/>
          <w:right w:w="28" w:type="dxa"/>
        </w:tblCellMar>
      </w:tblPr>
      <w:tblGrid>
        <w:gridCol w:w="1665"/>
        <w:gridCol w:w="1464"/>
        <w:gridCol w:w="2075"/>
      </w:tblGrid>
      <w:tr>
        <w:trPr/>
        <w:tc>
          <w:tcPr>
            <w:tcW w:w="1665"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Basis of Presentation and Consolidation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unaudited condensed consolidated financial statements have been prepared in conformity with accounting principles generally accepted in the United States, or U.S. GAAP and applicable rules and regulations of the SEC regarding interim financial reporting and do not contain all information that is included in the annual financial statements and notes thereto of the Company.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2025 audited consolidated financial statements and include all adjustments, consisting of only normal recurring adjustments, necessary to fairly state our financial position, results of operations, comprehensive loss, and cash flows for the period, but are not necessarily indicative of the results to be expected for the entire year or any future periods. All intercompany transactions and balances have been eliminated.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financial statements should be read in conjunction with the audited consolidated financial statements and notes included in our Annual Report on Form 10-K for the year ended December 31, 2025 (the "2025 Annual Report").</w:t>
      </w:r>
    </w:p>
    <w:tbl>
      <w:tblPr>
        <w:tblW w:w="2279" w:type="dxa"/>
        <w:jc w:val="left"/>
        <w:tblInd w:w="0" w:type="dxa"/>
        <w:tblLayout w:type="fixed"/>
        <w:tblCellMar>
          <w:top w:w="28" w:type="dxa"/>
          <w:left w:w="28" w:type="dxa"/>
          <w:bottom w:w="28" w:type="dxa"/>
          <w:right w:w="28" w:type="dxa"/>
        </w:tblCellMar>
      </w:tblPr>
      <w:tblGrid>
        <w:gridCol w:w="730"/>
        <w:gridCol w:w="641"/>
        <w:gridCol w:w="908"/>
      </w:tblGrid>
      <w:tr>
        <w:trPr/>
        <w:tc>
          <w:tcPr>
            <w:tcW w:w="7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Use of Estimates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preparation of financial statements in conformity with U.S. GAAP requires us to make estimates and assumptions that affect the amounts reported in the financial statements and accompanying notes to the financial statements. On an ongoing basis, we evaluate our significant estimates, including those relating to the valuation of inventory, fair value of contingent consideration, valuation of acquired intangible assets, useful lives assigned to finite-lived assets, asset impairment assessments, computation of provisions for income taxes, and valuations related to our convertible senior notes. While the extent of the potential impact of current macroeconomic conditions on our business is highly uncertain, we considered information available related to assumptions and estimates used to determine the results reported and asset valuations as of June 30, 2026. Actual results could differ materially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12520"/>
                <wp:effectExtent l="0" t="0" r="0" b="0"/>
                <wp:wrapNone/>
                <wp:docPr id="18" name="Frame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457200" cy="95250"/>
                                                </a:xfrm>
                                                <a:prstGeom prst="rect">
                                                  <a:avLst/>
                                                </a:prstGeom>
                                              </pic:spPr>
                                            </pic:pic>
                                          </a:graphicData>
                                        </a:graphic>
                                      </wp:inline>
                                    </w:drawing>
                                  </w:r>
                                  <w:bookmarkStart w:id="12" w:name="i-7"/>
                                  <w:bookmarkEnd w:id="1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457200" cy="95250"/>
                                          </a:xfrm>
                                          <a:prstGeom prst="rect">
                                            <a:avLst/>
                                          </a:prstGeom>
                                        </pic:spPr>
                                      </pic:pic>
                                    </a:graphicData>
                                  </a:graphic>
                                </wp:inline>
                              </w:drawing>
                            </w:r>
                            <w:bookmarkStart w:id="13" w:name="i-7"/>
                            <w:bookmarkEnd w:id="1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7590" w:type="dxa"/>
        <w:jc w:val="left"/>
        <w:tblInd w:w="0" w:type="dxa"/>
        <w:tblLayout w:type="fixed"/>
        <w:tblCellMar>
          <w:top w:w="28" w:type="dxa"/>
          <w:left w:w="28" w:type="dxa"/>
          <w:bottom w:w="28" w:type="dxa"/>
          <w:right w:w="28" w:type="dxa"/>
        </w:tblCellMar>
      </w:tblPr>
      <w:tblGrid>
        <w:gridCol w:w="2429"/>
        <w:gridCol w:w="2135"/>
        <w:gridCol w:w="3026"/>
      </w:tblGrid>
      <w:tr>
        <w:trPr/>
        <w:tc>
          <w:tcPr>
            <w:tcW w:w="242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Cash Equivalents, Restricted Cash, and Investments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investments in debt securities as available-for-sale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income (loss) in stockholders’ (deficit) equity. Realized gains and losses, expected credit losses, as well as interest income, on available-for-sale securities are reported in other income,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net. We have the ability to hold, and do not intend to sell investments in unrealized loss positions before the recovery of their amortized cost bases.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investment portfolio at any point in time contains investments in cash deposits, money market funds, corporate debt securities and U.S. government and agency securities with high credit ratings. We have established guidelines regarding diversification and maturities of investments with the objectives of maintaining safety and liquidity, while maximizing yield.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Restricted cash includes cash that is not readily available for use in the Company’s operating activities. Restricted cash is primarily comprised of cash pledged under letters of credit.</w:t>
      </w:r>
    </w:p>
    <w:tbl>
      <w:tblPr>
        <w:tblW w:w="4049" w:type="dxa"/>
        <w:jc w:val="left"/>
        <w:tblInd w:w="0" w:type="dxa"/>
        <w:tblLayout w:type="fixed"/>
        <w:tblCellMar>
          <w:top w:w="28" w:type="dxa"/>
          <w:left w:w="28" w:type="dxa"/>
          <w:bottom w:w="28" w:type="dxa"/>
          <w:right w:w="28" w:type="dxa"/>
        </w:tblCellMar>
      </w:tblPr>
      <w:tblGrid>
        <w:gridCol w:w="1297"/>
        <w:gridCol w:w="1139"/>
        <w:gridCol w:w="1613"/>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Concentration and Other Risks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Financial instruments that potentially subject us to credit risk consist principally of interest-bearing investments and trade receivables. We maintain cash, cash equivalents, and investments with various major financial institutions. The counterparties to the agreements relating to our investment securities consist of various major corporations, financial institutions, municipalities, and government agencies of high credit standing. As of June 30, 2026, most of our cash was deposited with U.S. financial institutions. Our investment policy generally restricts the amount of credit exposure to any one issuer. There is no limit to the percentage of the portfolio that may be maintained in securities issued by the U.S. Treasury and U.S. Government Agencies, or other securities fully backed by U.S. Treasury or Government agencies. We have not experienced significant credit losses from financial institutions.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perform credit evaluations of our customers and generally require no collateral. We have not experienced significant credit losses on our financial instruments or trade receivables to date, although our exposure to credit losses may increase if our customers are adversely affected by economic pressures or other customer-specific factors.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 the three and six months ended June 30, 2026 and 2025, no customer accounted for 10% or more of our total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2026 and December 31, 2025, 42% and 40% of our accounts receivable were from domestic customers, respectively. As of June 30, 2026 and December 31, 2025, no customer represented 10% or more of our net accounts receivable.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currently purchase several key parts and components used in the manufacture of our products from a limited number of suppliers. Generally, we have been able to obtain an adequate supply of such parts and components but in certain instances have incurred additional costs to secure a supply of constrained material. An extended interruption in the supply of parts and components currently obtained from our suppliers could adversely affect our business and condensed consolidated financial statements.</w:t>
      </w:r>
    </w:p>
    <w:tbl>
      <w:tblPr>
        <w:tblW w:w="4785" w:type="dxa"/>
        <w:jc w:val="left"/>
        <w:tblInd w:w="0" w:type="dxa"/>
        <w:tblLayout w:type="fixed"/>
        <w:tblCellMar>
          <w:top w:w="28" w:type="dxa"/>
          <w:left w:w="28" w:type="dxa"/>
          <w:bottom w:w="28" w:type="dxa"/>
          <w:right w:w="28" w:type="dxa"/>
        </w:tblCellMar>
      </w:tblPr>
      <w:tblGrid>
        <w:gridCol w:w="1532"/>
        <w:gridCol w:w="1346"/>
        <w:gridCol w:w="1907"/>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Recent Accounting Pronouncements</w:t>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Accounting Pronouncements Pending Adoption</w:t>
      </w:r>
    </w:p>
    <w:p>
      <w:pPr>
        <w:pStyle w:val="TextBody"/>
        <w:bidi w:val="0"/>
        <w:spacing w:lineRule="auto" w:line="288" w:before="120" w:after="283"/>
        <w:jc w:val="both"/>
        <w:rPr/>
      </w:pPr>
      <w:r>
        <w:rPr>
          <w:rFonts w:ascii="Roboto;sans-serif" w:hAnsi="Roboto;sans-serif"/>
          <w:b w:val="false"/>
          <w:color w:val="000000"/>
          <w:sz w:val="20"/>
        </w:rPr>
        <w:t xml:space="preserve">In November 2024, the FASB issued ASU 2024-03, </w:t>
      </w:r>
      <w:r>
        <w:rPr>
          <w:rFonts w:ascii="Roboto;sans-serif" w:hAnsi="Roboto;sans-serif"/>
          <w:b w:val="false"/>
          <w:i/>
          <w:color w:val="000000"/>
          <w:sz w:val="20"/>
        </w:rPr>
        <w:t>Income Statement—Reporting Comprehensive Income—Expense Disaggregation Disclosures (Subtopic 220-40): Disaggregation of Income Statement Expenses</w:t>
      </w:r>
      <w:r>
        <w:rPr>
          <w:rFonts w:ascii="Roboto;sans-serif" w:hAnsi="Roboto;sans-serif"/>
          <w:b w:val="false"/>
          <w:color w:val="000000"/>
          <w:sz w:val="20"/>
        </w:rPr>
        <w:t xml:space="preserve">. This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12520"/>
                <wp:effectExtent l="0" t="0" r="0" b="0"/>
                <wp:wrapNone/>
                <wp:docPr id="21" name="Frame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457200" cy="95250"/>
                                                </a:xfrm>
                                                <a:prstGeom prst="rect">
                                                  <a:avLst/>
                                                </a:prstGeom>
                                              </pic:spPr>
                                            </pic:pic>
                                          </a:graphicData>
                                        </a:graphic>
                                      </wp:inline>
                                    </w:drawing>
                                  </w:r>
                                  <w:bookmarkStart w:id="14" w:name="i-8"/>
                                  <w:bookmarkEnd w:id="1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457200" cy="95250"/>
                                          </a:xfrm>
                                          <a:prstGeom prst="rect">
                                            <a:avLst/>
                                          </a:prstGeom>
                                        </pic:spPr>
                                      </pic:pic>
                                    </a:graphicData>
                                  </a:graphic>
                                </wp:inline>
                              </w:drawing>
                            </w:r>
                            <w:bookmarkStart w:id="15" w:name="i-8"/>
                            <w:bookmarkEnd w:id="1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standard requires a company to provide disaggregated disclosures, within the notes to the financial statements, of specified categories of expenses that are included in line items on the face of the income statement. The standard will be effective for us beginning in 2027, and interim periods within 2028, with early adoption permitted. The new standard is expected to be applied prospectively, but retrospective application is permitted. We are currently evaluating the impact of ASU 2024-03 on the consolidated financial statements and related disclosures.</w:t>
      </w:r>
    </w:p>
    <w:p>
      <w:pPr>
        <w:pStyle w:val="TextBody"/>
        <w:bidi w:val="0"/>
        <w:spacing w:lineRule="auto" w:line="288" w:before="120" w:after="283"/>
        <w:jc w:val="both"/>
        <w:rPr/>
      </w:pPr>
      <w:r>
        <w:rPr>
          <w:rFonts w:ascii="Roboto;sans-serif" w:hAnsi="Roboto;sans-serif"/>
          <w:b w:val="false"/>
          <w:color w:val="000000"/>
          <w:sz w:val="20"/>
        </w:rPr>
        <w:t xml:space="preserve">In September 2025, the FASB issued ASU 2025-06, </w:t>
      </w:r>
      <w:r>
        <w:rPr>
          <w:rFonts w:ascii="Roboto;sans-serif" w:hAnsi="Roboto;sans-serif"/>
          <w:b w:val="false"/>
          <w:i/>
          <w:color w:val="000000"/>
          <w:sz w:val="20"/>
        </w:rPr>
        <w:t>Intangibles—Goodwill and Other—Internal-Use Software (Subtopic 350-40): Targeted Improvements to the Accounting for Internal-Use Software.</w:t>
      </w:r>
      <w:r>
        <w:rPr>
          <w:color w:val="000000"/>
        </w:rPr>
        <w:t xml:space="preserve"> </w:t>
      </w:r>
      <w:r>
        <w:rPr>
          <w:rFonts w:ascii="Roboto;sans-serif" w:hAnsi="Roboto;sans-serif"/>
          <w:b w:val="false"/>
          <w:color w:val="000000"/>
          <w:sz w:val="20"/>
        </w:rPr>
        <w:t>This new standard clarifies and modernizes the recognition and disclosure framework for capitalized internal-use software costs by removing all references to project stages and introduces a more judgment-based approach. The standard also clarifies the threshold to be applied to begin capitalizing. The standard will be effective for us beginning in the first quarter of 2028, with early adoption permitted, and can be applied using a prospective, retrospective, or modified transition approach. We are currently evaluating the impact of ASU 2025-06 on the consolidated financial statements and related disclosures.</w:t>
      </w:r>
    </w:p>
    <w:p>
      <w:pPr>
        <w:pStyle w:val="TextBody"/>
        <w:bidi w:val="0"/>
        <w:spacing w:lineRule="auto" w:line="288" w:before="120" w:after="283"/>
        <w:jc w:val="both"/>
        <w:rPr/>
      </w:pPr>
      <w:r>
        <w:rPr>
          <w:rFonts w:ascii="Roboto;sans-serif" w:hAnsi="Roboto;sans-serif"/>
          <w:b w:val="false"/>
          <w:color w:val="000000"/>
          <w:sz w:val="20"/>
        </w:rPr>
        <w:t xml:space="preserve">In December 2025, the FASB issued ASU 2025-10, </w:t>
      </w:r>
      <w:r>
        <w:rPr>
          <w:rFonts w:ascii="Roboto;sans-serif" w:hAnsi="Roboto;sans-serif"/>
          <w:b w:val="false"/>
          <w:i/>
          <w:color w:val="000000"/>
          <w:sz w:val="20"/>
        </w:rPr>
        <w:t>Accounting for Government Grants Received by Business Entities</w:t>
      </w:r>
      <w:r>
        <w:rPr>
          <w:rFonts w:ascii="Roboto;sans-serif" w:hAnsi="Roboto;sans-serif"/>
          <w:b w:val="false"/>
          <w:color w:val="000000"/>
          <w:sz w:val="20"/>
        </w:rPr>
        <w:t>. This new standard provides guidance on the recognition, measurement, and presentation of government grants. The standard will be effective for us beginning in the first quarter of fiscal year 2029, with early adoption permitted, and can be applied using a modified prospective, modified retrospective or full retrospective transition approach. We are currently evaluating the impact of ASU 2025-10 on the consolidated financial statements.</w:t>
      </w:r>
    </w:p>
    <w:tbl>
      <w:tblPr>
        <w:tblW w:w="4080" w:type="dxa"/>
        <w:jc w:val="left"/>
        <w:tblInd w:w="0" w:type="dxa"/>
        <w:tblLayout w:type="fixed"/>
        <w:tblCellMar>
          <w:top w:w="28" w:type="dxa"/>
          <w:left w:w="28" w:type="dxa"/>
          <w:bottom w:w="28" w:type="dxa"/>
          <w:right w:w="28" w:type="dxa"/>
        </w:tblCellMar>
      </w:tblPr>
      <w:tblGrid>
        <w:gridCol w:w="1306"/>
        <w:gridCol w:w="1148"/>
        <w:gridCol w:w="1626"/>
      </w:tblGrid>
      <w:tr>
        <w:trPr/>
        <w:tc>
          <w:tcPr>
            <w:tcW w:w="130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Significant Accounting Policies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as disclosed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2. FINANCIAL INSTRUMENTS</w:t>
            </w:r>
          </w:p>
        </w:tc>
      </w:tr>
    </w:tbl>
    <w:tbl>
      <w:tblPr>
        <w:tblW w:w="4620" w:type="dxa"/>
        <w:jc w:val="left"/>
        <w:tblInd w:w="0" w:type="dxa"/>
        <w:tblLayout w:type="fixed"/>
        <w:tblCellMar>
          <w:top w:w="28" w:type="dxa"/>
          <w:left w:w="28" w:type="dxa"/>
          <w:bottom w:w="28" w:type="dxa"/>
          <w:right w:w="28" w:type="dxa"/>
        </w:tblCellMar>
      </w:tblPr>
      <w:tblGrid>
        <w:gridCol w:w="1480"/>
        <w:gridCol w:w="1301"/>
        <w:gridCol w:w="1839"/>
      </w:tblGrid>
      <w:tr>
        <w:trPr/>
        <w:tc>
          <w:tcPr>
            <w:tcW w:w="14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Fair Value of Financial Instruments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Fair value is the exchange price that would be received to sell an asset or paid to transfer a liability in an orderly transaction between market participants at the measurement date.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fair value hierarchy established under U.S. GAAP requires an entity to maximize the use of observable inputs and minimize the use of unobservable inputs when measuring fair value. The three levels of inputs that may be used to measure fair value are as follows: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1: quoted prices in active markets for identical assets or liabilities;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consider an active market as one in which transactions for the asset or liability occur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Assets and liabilities measured at fair value are classified in their entirety based on the lowest level input that is significant to the fair value measurement. Our assessment of the significance of a particular input to the entire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12520"/>
                <wp:effectExtent l="0" t="0" r="0" b="0"/>
                <wp:wrapNone/>
                <wp:docPr id="24" name="Frame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457200" cy="95250"/>
                                                </a:xfrm>
                                                <a:prstGeom prst="rect">
                                                  <a:avLst/>
                                                </a:prstGeom>
                                              </pic:spPr>
                                            </pic:pic>
                                          </a:graphicData>
                                        </a:graphic>
                                      </wp:inline>
                                    </w:drawing>
                                  </w:r>
                                  <w:bookmarkStart w:id="16" w:name="i-9"/>
                                  <w:bookmarkEnd w:id="1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30"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457200" cy="95250"/>
                                          </a:xfrm>
                                          <a:prstGeom prst="rect">
                                            <a:avLst/>
                                          </a:prstGeom>
                                        </pic:spPr>
                                      </pic:pic>
                                    </a:graphicData>
                                  </a:graphic>
                                </wp:inline>
                              </w:drawing>
                            </w:r>
                            <w:bookmarkStart w:id="17" w:name="i-9"/>
                            <w:bookmarkEnd w:id="1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fair value measurement requires management to make judgments and consider factors specific to the asset or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carrying amount of our accounts receivable, prepaid expenses and other current assets, accounts payable, accrued expenses and other liabilities, current, approximate fair value due to their short maturities.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Assets Measured at Fair Value on a Recurring Basis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sets forth the fair value of our financial assets that were measured on a recurring basis:</w:t>
      </w:r>
    </w:p>
    <w:tbl>
      <w:tblPr>
        <w:tblW w:w="11608" w:type="dxa"/>
        <w:jc w:val="left"/>
        <w:tblInd w:w="0" w:type="dxa"/>
        <w:tblLayout w:type="fixed"/>
        <w:tblCellMar>
          <w:top w:w="28" w:type="dxa"/>
          <w:left w:w="28" w:type="dxa"/>
          <w:bottom w:w="28" w:type="dxa"/>
          <w:right w:w="28" w:type="dxa"/>
        </w:tblCellMar>
      </w:tblPr>
      <w:tblGrid>
        <w:gridCol w:w="524"/>
        <w:gridCol w:w="315"/>
        <w:gridCol w:w="317"/>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5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December 31, 2025</w:t>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041"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Level 1</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Level 2</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Level 3</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Total</w:t>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Assets</w:t>
            </w:r>
          </w:p>
        </w:tc>
        <w:tc>
          <w:tcPr>
            <w:tcW w:w="104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and cash equivalents </w:t>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2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61,003 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0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61,003 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60,496 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63,707 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Investments:</w:t>
            </w:r>
          </w:p>
        </w:tc>
        <w:tc>
          <w:tcPr>
            <w:tcW w:w="10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Corporate debt securities </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20,203 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20,203 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23,250 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23,250 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U.S. government &amp; agency securities</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155,667 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155,667 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192,549 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192,549 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investments </w:t>
            </w:r>
          </w:p>
        </w:tc>
        <w:tc>
          <w:tcPr>
            <w:tcW w:w="932"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175,870 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175,870 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215,799 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215,799 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Short-term restricted cash</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33 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Long-term restricted cash</w:t>
            </w:r>
          </w:p>
        </w:tc>
        <w:tc>
          <w:tcPr>
            <w:tcW w:w="9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1,571 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1,571 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1,532 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assets measured at fair value </w:t>
            </w:r>
          </w:p>
        </w:tc>
        <w:tc>
          <w:tcPr>
            <w:tcW w:w="21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72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62,607 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175,870 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40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6"/>
              </w:rPr>
            </w:pPr>
            <w:r>
              <w:rPr>
                <w:rFonts w:ascii="Roboto;sans-serif" w:hAnsi="Roboto;sans-serif"/>
                <w:b w:val="false"/>
                <w:color w:val="1383C6"/>
                <w:sz w:val="16"/>
              </w:rPr>
              <w:t>$</w:t>
            </w:r>
          </w:p>
        </w:tc>
        <w:tc>
          <w:tcPr>
            <w:tcW w:w="8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6"/>
              </w:rPr>
            </w:pPr>
            <w:r>
              <w:rPr>
                <w:rFonts w:ascii="Roboto;sans-serif" w:hAnsi="Roboto;sans-serif"/>
                <w:b w:val="false"/>
                <w:color w:val="1383C6"/>
                <w:sz w:val="16"/>
              </w:rPr>
              <w:t>238,477 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62,048 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219,010 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281,058 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six months ended June 30, 2026, there were no transfers between Level 1, Level 2, or Level 3 assets reported at fair value on a recurring basis, and our valuation techniques did not change compared to the prior year.</w:t>
      </w:r>
    </w:p>
    <w:p>
      <w:pPr>
        <w:pStyle w:val="TextBody"/>
        <w:bidi w:val="0"/>
        <w:spacing w:lineRule="auto" w:line="288" w:before="180" w:after="283"/>
        <w:jc w:val="both"/>
        <w:rPr>
          <w:rFonts w:ascii="Roboto;sans-serif" w:hAnsi="Roboto;sans-serif"/>
          <w:b/>
          <w:color w:val="DF1995"/>
          <w:sz w:val="20"/>
          <w:u w:val="single"/>
        </w:rPr>
      </w:pPr>
      <w:r>
        <w:rPr>
          <w:rFonts w:ascii="Roboto;sans-serif" w:hAnsi="Roboto;sans-serif"/>
          <w:b/>
          <w:color w:val="DF1995"/>
          <w:sz w:val="20"/>
          <w:u w:val="single"/>
        </w:rPr>
        <w:t>Contingent Consideration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 connection with the August 2023 Apton Biosystems, Inc. (“Apton”) acquisition, contingent consideration of $25.0 million, which we could elect to pay in cash, shares of our common stock or a combination of cash and shares of our common stock, was due upon the achievement of a milestone, defined as the achievement of $50.0 million in revenue associated with Apton's technology, provided that the milestone event occurred prior to the five-year anniversary of the closing date of the acquisition.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January 30, 2026, we completed a disposition of certain assets (the "Asset Sale") to Illumina Cambridge Limited (the “Buyer”) pursuant to an Asset Purchase Agreement dated January 30, 2026. Under the agreement, Buyer acquired certain intellectual property and other assets related to our short-read DNA sequencing technology and related clustering, sequencing reagent, and detection technologies. In consideration, Buyer paid $50.0 million in cash, assumed certain liabilities, and granted us a non-exclusive license to certain intellectual property included in the purchased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three months ended March 31, 2026, in connection with the Asset Sale, Buyer paid, at our direction, 4% of the net cash proceeds to the former equity holders of Apton in connection with the waiver of remaining milestone obligations from the Apton acquisition. As a result, we received approximately $48.1 million in net cash proceeds from the Asset Sale. In connection with the transaction, the Company incurred transaction costs of $2.3 million in the first quarter of 2026 that are offset against the gain on disposal of assets on our condensed consolidated statements of operations and comprehensive loss.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contingent consideration was accounted for as a liability at fair value, with changes during each reporting period recognized in our condensed consolidated statements of operations and comprehensive loss. The fair value of the contingent consideration liability was calculated using a Monte Carlo simulation to estimate the volatility and systematic relative risk of revenues subject to sales milestone payments and discounting the associated cash payment amounts to their present values using a credit-risk-adjusted interest rate.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classified contingent consideration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12520"/>
                <wp:effectExtent l="0" t="0" r="0" b="0"/>
                <wp:wrapNone/>
                <wp:docPr id="27" name="Frame1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457200" cy="95250"/>
                                                </a:xfrm>
                                                <a:prstGeom prst="rect">
                                                  <a:avLst/>
                                                </a:prstGeom>
                                              </pic:spPr>
                                            </pic:pic>
                                          </a:graphicData>
                                        </a:graphic>
                                      </wp:inline>
                                    </w:drawing>
                                  </w:r>
                                  <w:bookmarkStart w:id="18" w:name="i-10"/>
                                  <w:bookmarkEnd w:id="1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457200" cy="95250"/>
                                          </a:xfrm>
                                          <a:prstGeom prst="rect">
                                            <a:avLst/>
                                          </a:prstGeom>
                                        </pic:spPr>
                                      </pic:pic>
                                    </a:graphicData>
                                  </a:graphic>
                                </wp:inline>
                              </w:drawing>
                            </w:r>
                            <w:bookmarkStart w:id="19" w:name="i-10"/>
                            <w:bookmarkEnd w:id="1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of March 31, 2025, primarily due to management's decision to cease development of the high-throughput short-read system, and the resulting changes in the expected future revenues, among other factors, and as the milestone event needed to occur prior to the five-year anniversary of the closing date of the acquisition, the estimated fair value of the contingent consideration liability was $0, resulting in a change in fair value for the first quarter of 2025 of $18.7 million. Changes to the fair value are recorded as change in fair value of contingent consideration in the condensed consolidated statements of operations and comprehensive loss for the three months ended March 31, 2025. </w:t>
      </w:r>
    </w:p>
    <w:tbl>
      <w:tblPr>
        <w:tblW w:w="7590" w:type="dxa"/>
        <w:jc w:val="left"/>
        <w:tblInd w:w="0" w:type="dxa"/>
        <w:tblLayout w:type="fixed"/>
        <w:tblCellMar>
          <w:top w:w="28" w:type="dxa"/>
          <w:left w:w="28" w:type="dxa"/>
          <w:bottom w:w="28" w:type="dxa"/>
          <w:right w:w="28" w:type="dxa"/>
        </w:tblCellMar>
      </w:tblPr>
      <w:tblGrid>
        <w:gridCol w:w="2429"/>
        <w:gridCol w:w="2135"/>
        <w:gridCol w:w="3026"/>
      </w:tblGrid>
      <w:tr>
        <w:trPr/>
        <w:tc>
          <w:tcPr>
            <w:tcW w:w="242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Cash Equivalents, Restricted Cash, and Investments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tables summarize our cash, cash equivalents, restricted cash, and investments:</w:t>
      </w:r>
    </w:p>
    <w:tbl>
      <w:tblPr>
        <w:tblW w:w="9965" w:type="dxa"/>
        <w:jc w:val="left"/>
        <w:tblInd w:w="0" w:type="dxa"/>
        <w:tblLayout w:type="fixed"/>
        <w:tblCellMar>
          <w:top w:w="28" w:type="dxa"/>
          <w:left w:w="28" w:type="dxa"/>
          <w:bottom w:w="28" w:type="dxa"/>
          <w:right w:w="28" w:type="dxa"/>
        </w:tblCellMar>
      </w:tblPr>
      <w:tblGrid>
        <w:gridCol w:w="1561"/>
        <w:gridCol w:w="1368"/>
        <w:gridCol w:w="1376"/>
        <w:gridCol w:w="226"/>
        <w:gridCol w:w="946"/>
        <w:gridCol w:w="109"/>
        <w:gridCol w:w="109"/>
        <w:gridCol w:w="109"/>
        <w:gridCol w:w="109"/>
        <w:gridCol w:w="271"/>
        <w:gridCol w:w="632"/>
        <w:gridCol w:w="133"/>
        <w:gridCol w:w="109"/>
        <w:gridCol w:w="109"/>
        <w:gridCol w:w="109"/>
        <w:gridCol w:w="267"/>
        <w:gridCol w:w="639"/>
        <w:gridCol w:w="130"/>
        <w:gridCol w:w="109"/>
        <w:gridCol w:w="109"/>
        <w:gridCol w:w="109"/>
        <w:gridCol w:w="226"/>
        <w:gridCol w:w="94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As of June 30, 2026</w:t>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1383C6"/>
                <w:sz w:val="16"/>
              </w:rPr>
            </w:pPr>
            <w:r>
              <w:rPr>
                <w:rFonts w:ascii="Roboto;sans-serif" w:hAnsi="Roboto;sans-serif"/>
                <w:b w:val="false"/>
                <w:i/>
                <w:color w:val="1383C6"/>
                <w:sz w:val="16"/>
              </w:rPr>
              <w:t>(In thousands)</w:t>
            </w:r>
          </w:p>
        </w:tc>
        <w:tc>
          <w:tcPr>
            <w:tcW w:w="1281"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Amortized</w:t>
              <w:br/>
              <w:t xml:space="preserve">Cost </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Gross</w:t>
              <w:br/>
              <w:t>unrealized</w:t>
              <w:br/>
              <w:t>gains</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Gross</w:t>
              <w:br/>
              <w:t>unrealized</w:t>
              <w:br/>
              <w:t>losses</w:t>
            </w:r>
          </w:p>
        </w:tc>
        <w:tc>
          <w:tcPr>
            <w:tcW w:w="327"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Fair</w:t>
              <w:br/>
              <w:t>Value</w:t>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Cash and cash equivalents</w:t>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61,003 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3"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0"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61,003 </w:t>
            </w:r>
          </w:p>
        </w:tc>
        <w:tc>
          <w:tcPr>
            <w:tcW w:w="154"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Investments:</w:t>
            </w:r>
          </w:p>
        </w:tc>
        <w:tc>
          <w:tcPr>
            <w:tcW w:w="128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 xml:space="preserve">Corporate debt securities </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20,242 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(54)</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20,203 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U.S. government &amp; agency securities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156,131 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(481)</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155,667 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 xml:space="preserve">Total investments </w:t>
            </w:r>
          </w:p>
        </w:tc>
        <w:tc>
          <w:tcPr>
            <w:tcW w:w="1172"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176,373 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32 </w:t>
            </w:r>
          </w:p>
        </w:tc>
        <w:tc>
          <w:tcPr>
            <w:tcW w:w="133"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(535)</w:t>
            </w:r>
          </w:p>
        </w:tc>
        <w:tc>
          <w:tcPr>
            <w:tcW w:w="130"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175,870 </w:t>
            </w:r>
          </w:p>
        </w:tc>
        <w:tc>
          <w:tcPr>
            <w:tcW w:w="154"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 xml:space="preserve">Total cash, cash equivalents and investments </w:t>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237,376 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32 </w:t>
            </w:r>
          </w:p>
        </w:tc>
        <w:tc>
          <w:tcPr>
            <w:tcW w:w="133"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(535)</w:t>
            </w:r>
          </w:p>
        </w:tc>
        <w:tc>
          <w:tcPr>
            <w:tcW w:w="130"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236,873 </w:t>
            </w:r>
          </w:p>
        </w:tc>
        <w:tc>
          <w:tcPr>
            <w:tcW w:w="154"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Short-term restricted cash</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33 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Long-term restricted cash</w:t>
            </w:r>
          </w:p>
        </w:tc>
        <w:tc>
          <w:tcPr>
            <w:tcW w:w="226"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1,571 </w:t>
            </w:r>
          </w:p>
        </w:tc>
        <w:tc>
          <w:tcPr>
            <w:tcW w:w="109" w:type="dxa"/>
            <w:tcBorders>
              <w:top w:val="doub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2"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3" w:type="dxa"/>
            <w:tcBorders>
              <w:top w:val="doub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639"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30" w:type="dxa"/>
            <w:tcBorders>
              <w:top w:val="doub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doub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1,571 </w:t>
            </w:r>
          </w:p>
        </w:tc>
        <w:tc>
          <w:tcPr>
            <w:tcW w:w="154" w:type="dxa"/>
            <w:tcBorders>
              <w:top w:val="doub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As of December 31, 2025</w:t>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Fair</w:t>
              <w:br/>
              <w:t>Value</w:t>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63,707 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63,707 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Investments: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Corporate debt securities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23,250 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192,170 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192,549 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investments</w:t>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215,342 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458 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215,799 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cash, cash equivalents and investments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279,049 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458 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279,506 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2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1,532 </w:t>
            </w:r>
          </w:p>
        </w:tc>
        <w:tc>
          <w:tcPr>
            <w:tcW w:w="15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following table summarizes the contractual maturities of our available-for-sale investments as of June 30, 2026:</w:t>
      </w:r>
    </w:p>
    <w:tbl>
      <w:tblPr>
        <w:tblW w:w="4910" w:type="dxa"/>
        <w:jc w:val="left"/>
        <w:tblInd w:w="0" w:type="dxa"/>
        <w:tblLayout w:type="fixed"/>
        <w:tblCellMar>
          <w:top w:w="28" w:type="dxa"/>
          <w:left w:w="28" w:type="dxa"/>
          <w:bottom w:w="28" w:type="dxa"/>
          <w:right w:w="28" w:type="dxa"/>
        </w:tblCellMar>
      </w:tblPr>
      <w:tblGrid>
        <w:gridCol w:w="1299"/>
        <w:gridCol w:w="1140"/>
        <w:gridCol w:w="1145"/>
        <w:gridCol w:w="226"/>
        <w:gridCol w:w="94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2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Fair Value</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in one year or less </w:t>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113,090 </w:t>
            </w:r>
          </w:p>
        </w:tc>
        <w:tc>
          <w:tcPr>
            <w:tcW w:w="154"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after one year through five years </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62,780 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175,870 </w:t>
            </w:r>
          </w:p>
        </w:tc>
        <w:tc>
          <w:tcPr>
            <w:tcW w:w="154"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Actual maturities may differ from contractual maturities because issuers may have the right to call or prepay obligations without call or prepayment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12520"/>
                <wp:effectExtent l="0" t="0" r="0" b="0"/>
                <wp:wrapNone/>
                <wp:docPr id="30" name="Frame1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457200" cy="95250"/>
                                                </a:xfrm>
                                                <a:prstGeom prst="rect">
                                                  <a:avLst/>
                                                </a:prstGeom>
                                              </pic:spPr>
                                            </pic:pic>
                                          </a:graphicData>
                                        </a:graphic>
                                      </wp:inline>
                                    </w:drawing>
                                  </w:r>
                                  <w:bookmarkStart w:id="20" w:name="i-11"/>
                                  <w:bookmarkEnd w:id="2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457200" cy="95250"/>
                                          </a:xfrm>
                                          <a:prstGeom prst="rect">
                                            <a:avLst/>
                                          </a:prstGeom>
                                        </pic:spPr>
                                      </pic:pic>
                                    </a:graphicData>
                                  </a:graphic>
                                </wp:inline>
                              </w:drawing>
                            </w:r>
                            <w:bookmarkStart w:id="21" w:name="i-11"/>
                            <w:bookmarkEnd w:id="2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 xml:space="preserve">Investment income included in other income, net </w:t>
      </w:r>
      <w:r>
        <w:rPr>
          <w:rFonts w:ascii="Roboto;sans-serif" w:hAnsi="Roboto;sans-serif"/>
          <w:b w:val="false"/>
          <w:color w:val="000000"/>
          <w:sz w:val="20"/>
          <w:shd w:fill="FFFFFF" w:val="clear"/>
        </w:rPr>
        <w:t xml:space="preserve">on the condensed consolidated statements of operations and comprehensive loss </w:t>
      </w:r>
      <w:r>
        <w:rPr>
          <w:rFonts w:ascii="Roboto;sans-serif" w:hAnsi="Roboto;sans-serif"/>
          <w:b w:val="false"/>
          <w:color w:val="000000"/>
          <w:sz w:val="20"/>
        </w:rPr>
        <w:t>was $2.2 million and $4.7 million for the three and six months ended June 30, 2026, respectively and $3.4 million and $7.3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64" w:type="dxa"/>
        <w:jc w:val="left"/>
        <w:tblInd w:w="0" w:type="dxa"/>
        <w:tblLayout w:type="fixed"/>
        <w:tblCellMar>
          <w:top w:w="28" w:type="dxa"/>
          <w:left w:w="28" w:type="dxa"/>
          <w:bottom w:w="28" w:type="dxa"/>
          <w:right w:w="28" w:type="dxa"/>
        </w:tblCellMar>
      </w:tblPr>
      <w:tblGrid>
        <w:gridCol w:w="1684"/>
        <w:gridCol w:w="1481"/>
        <w:gridCol w:w="2099"/>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bottom w:val="dotted" w:sz="8" w:space="0" w:color="DF1995"/>
            </w:tcBorders>
            <w:shd w:fill="1383C6" w:val="clear"/>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FFFFFF"/>
                <w:sz w:val="22"/>
              </w:rPr>
            </w:pPr>
            <w:r>
              <w:rPr>
                <w:rFonts w:ascii="Roboto;sans-serif" w:hAnsi="Roboto;sans-serif"/>
                <w:b/>
                <w:color w:val="FFFFFF"/>
                <w:sz w:val="22"/>
              </w:rPr>
              <w:t xml:space="preserve">NOTE 3. BALANCE SHEET COMPONENTS </w:t>
            </w:r>
          </w:p>
        </w:tc>
      </w:tr>
    </w:tbl>
    <w:tbl>
      <w:tblPr>
        <w:tblW w:w="2010" w:type="dxa"/>
        <w:jc w:val="left"/>
        <w:tblInd w:w="0" w:type="dxa"/>
        <w:tblLayout w:type="fixed"/>
        <w:tblCellMar>
          <w:top w:w="28" w:type="dxa"/>
          <w:left w:w="28" w:type="dxa"/>
          <w:bottom w:w="28" w:type="dxa"/>
          <w:right w:w="28" w:type="dxa"/>
        </w:tblCellMar>
      </w:tblPr>
      <w:tblGrid>
        <w:gridCol w:w="644"/>
        <w:gridCol w:w="565"/>
        <w:gridCol w:w="801"/>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Inventory,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inventory, net, consisted of the following components:</w:t>
      </w:r>
    </w:p>
    <w:tbl>
      <w:tblPr>
        <w:tblW w:w="4998" w:type="dxa"/>
        <w:jc w:val="left"/>
        <w:tblInd w:w="0" w:type="dxa"/>
        <w:tblLayout w:type="fixed"/>
        <w:tblCellMar>
          <w:top w:w="28" w:type="dxa"/>
          <w:left w:w="28" w:type="dxa"/>
          <w:bottom w:w="28" w:type="dxa"/>
          <w:right w:w="28" w:type="dxa"/>
        </w:tblCellMar>
      </w:tblPr>
      <w:tblGrid>
        <w:gridCol w:w="707"/>
        <w:gridCol w:w="620"/>
        <w:gridCol w:w="623"/>
        <w:gridCol w:w="226"/>
        <w:gridCol w:w="826"/>
        <w:gridCol w:w="109"/>
        <w:gridCol w:w="109"/>
        <w:gridCol w:w="109"/>
        <w:gridCol w:w="109"/>
        <w:gridCol w:w="292"/>
        <w:gridCol w:w="1069"/>
        <w:gridCol w:w="199"/>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16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2025</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Purchased materials</w:t>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28,002 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22,533 </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Work in process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20,579 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16,446 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Finished goods</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12,503 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10,306 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61,084 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49,285 </w:t>
            </w:r>
          </w:p>
        </w:tc>
        <w:tc>
          <w:tcPr>
            <w:tcW w:w="1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94" w:type="dxa"/>
        <w:jc w:val="left"/>
        <w:tblInd w:w="0" w:type="dxa"/>
        <w:tblLayout w:type="fixed"/>
        <w:tblCellMar>
          <w:top w:w="28" w:type="dxa"/>
          <w:left w:w="28" w:type="dxa"/>
          <w:bottom w:w="28" w:type="dxa"/>
          <w:right w:w="28" w:type="dxa"/>
        </w:tblCellMar>
      </w:tblPr>
      <w:tblGrid>
        <w:gridCol w:w="1311"/>
        <w:gridCol w:w="1152"/>
        <w:gridCol w:w="1631"/>
      </w:tblGrid>
      <w:tr>
        <w:trPr/>
        <w:tc>
          <w:tcPr>
            <w:tcW w:w="13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Goodwill and Intangible Assets</w:t>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Goodwill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Goodwill is reviewed for impairment at least annually during the second quarter, or more frequently if an event occurs indicating the potential for impairment. We completed our annual goodwill impairment assessment on April 1, 2026 and noted no impairment.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our future operating results, cash flows, share price, market capitalization or discount rates used when conducting future goodwill impairment tests could affect the implied fair value of goodwill and may result in additional impairment charges in the future.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Intangible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Intangible assets include developed technology, customer relationships, and acquired in-process research and development ("IPR&amp;D"). In connection with the Apton acquisition in August 2023, we allocated $55.0 million of the purchase price to IPR&amp;D. IPR&amp;D is reviewed for impairment at least annually, or more frequently if an event occurs indicating the potential for impairment. We recognized a $40.0 million impairment charge during the year ended December 31, 2024 as a result of a quantitative interim impairment test.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first quarter of 2025, based on our decision to cease development of the high-throughput short-read sequencing platform, which would utilize the IPR&amp;D, and the resulting changes to the expected future cash flows, among other factors, we concluded that it was more likely than not that the fair value of the IPR&amp;D was less than its carrying amount, requiring an interim impairment assessment. Using a discounted cash flow model under the income approach, we determined the fair value was $0 and recorded a $15.0 million impairment charge. The decline in the fair value of the IPR&amp;D to $0 as of March 31, 2025 resulted primarily from changes in the timing of expected future cash flows as compared to the fair value as of December 31, 2024, driven by the restructuring initiatives that prioritize accelerating adoption of HiFi sequencing and resulted in ceasing development of our high-throughput short-read sequencing platform. The impairment charge is included in our condensed consolidated statements of operations and comprehensive loss for the three months ended March 31, 2025.</w:t>
      </w:r>
    </w:p>
    <w:p>
      <w:pPr>
        <w:pStyle w:val="TextBody"/>
        <w:bidi w:val="0"/>
        <w:spacing w:lineRule="auto" w:line="288" w:before="180" w:after="283"/>
        <w:jc w:val="both"/>
        <w:rPr/>
      </w:pPr>
      <w:r>
        <w:rPr>
          <w:rFonts w:ascii="Roboto;sans-serif" w:hAnsi="Roboto;sans-serif"/>
          <w:b w:val="false"/>
          <w:color w:val="000000"/>
          <w:sz w:val="20"/>
        </w:rPr>
        <w:t xml:space="preserve">See </w:t>
      </w:r>
      <w:hyperlink w:anchor="i94297dc2d97e4e34aed4a2bdfd28cba8_46">
        <w:r>
          <w:rPr>
            <w:rStyle w:val="InternetLink"/>
            <w:rFonts w:ascii="Roboto;sans-serif" w:hAnsi="Roboto;sans-serif"/>
            <w:b w:val="false"/>
            <w:i/>
            <w:color w:val="0000FF"/>
            <w:sz w:val="20"/>
            <w:u w:val="single"/>
          </w:rPr>
          <w:t>Note 5. Restructuring</w:t>
        </w:r>
      </w:hyperlink>
      <w:r>
        <w:rPr>
          <w:color w:val="000000"/>
        </w:rPr>
        <w:t xml:space="preserve"> </w:t>
      </w:r>
      <w:r>
        <w:rPr>
          <w:rFonts w:ascii="Roboto;sans-serif" w:hAnsi="Roboto;sans-serif"/>
          <w:b w:val="false"/>
          <w:color w:val="000000"/>
          <w:sz w:val="20"/>
        </w:rPr>
        <w:t>for additional information on costs incurred in connection with our restructuring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12520"/>
                <wp:effectExtent l="0" t="0" r="0" b="0"/>
                <wp:wrapNone/>
                <wp:docPr id="33" name="Frame1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457200" cy="95250"/>
                                                </a:xfrm>
                                                <a:prstGeom prst="rect">
                                                  <a:avLst/>
                                                </a:prstGeom>
                                              </pic:spPr>
                                            </pic:pic>
                                          </a:graphicData>
                                        </a:graphic>
                                      </wp:inline>
                                    </w:drawing>
                                  </w:r>
                                  <w:bookmarkStart w:id="22" w:name="i-12"/>
                                  <w:bookmarkEnd w:id="2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457200" cy="95250"/>
                                          </a:xfrm>
                                          <a:prstGeom prst="rect">
                                            <a:avLst/>
                                          </a:prstGeom>
                                        </pic:spPr>
                                      </pic:pic>
                                    </a:graphicData>
                                  </a:graphic>
                                </wp:inline>
                              </w:drawing>
                            </w:r>
                            <w:bookmarkStart w:id="23" w:name="i-12"/>
                            <w:bookmarkEnd w:id="2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the following acquired finite-lived intangible assets:</w:t>
      </w:r>
    </w:p>
    <w:tbl>
      <w:tblPr>
        <w:tblW w:w="11830" w:type="dxa"/>
        <w:jc w:val="left"/>
        <w:tblInd w:w="0" w:type="dxa"/>
        <w:tblLayout w:type="fixed"/>
        <w:tblCellMar>
          <w:top w:w="28" w:type="dxa"/>
          <w:left w:w="28" w:type="dxa"/>
          <w:bottom w:w="28" w:type="dxa"/>
          <w:right w:w="28" w:type="dxa"/>
        </w:tblCellMar>
      </w:tblPr>
      <w:tblGrid>
        <w:gridCol w:w="600"/>
        <w:gridCol w:w="330"/>
        <w:gridCol w:w="331"/>
        <w:gridCol w:w="345"/>
        <w:gridCol w:w="345"/>
        <w:gridCol w:w="346"/>
        <w:gridCol w:w="109"/>
        <w:gridCol w:w="109"/>
        <w:gridCol w:w="109"/>
        <w:gridCol w:w="226"/>
        <w:gridCol w:w="946"/>
        <w:gridCol w:w="109"/>
        <w:gridCol w:w="109"/>
        <w:gridCol w:w="109"/>
        <w:gridCol w:w="109"/>
        <w:gridCol w:w="226"/>
        <w:gridCol w:w="986"/>
        <w:gridCol w:w="109"/>
        <w:gridCol w:w="109"/>
        <w:gridCol w:w="109"/>
        <w:gridCol w:w="109"/>
        <w:gridCol w:w="226"/>
        <w:gridCol w:w="826"/>
        <w:gridCol w:w="109"/>
        <w:gridCol w:w="109"/>
        <w:gridCol w:w="109"/>
        <w:gridCol w:w="109"/>
        <w:gridCol w:w="226"/>
        <w:gridCol w:w="946"/>
        <w:gridCol w:w="109"/>
        <w:gridCol w:w="109"/>
        <w:gridCol w:w="109"/>
        <w:gridCol w:w="109"/>
        <w:gridCol w:w="226"/>
        <w:gridCol w:w="986"/>
        <w:gridCol w:w="109"/>
        <w:gridCol w:w="109"/>
        <w:gridCol w:w="109"/>
        <w:gridCol w:w="109"/>
        <w:gridCol w:w="226"/>
        <w:gridCol w:w="826"/>
        <w:gridCol w:w="154"/>
      </w:tblGrid>
      <w:tr>
        <w:trPr/>
        <w:tc>
          <w:tcPr>
            <w:tcW w:w="6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As of December 31, 2025</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except years)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Estimated</w:t>
              <w:b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Net</w:t>
              <w:br/>
              <w:t>Carrying</w:t>
              <w:br/>
              <w:t>Amount</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Developed technology</w:t>
            </w:r>
          </w:p>
        </w:tc>
        <w:tc>
          <w:tcPr>
            <w:tcW w:w="1036"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3 — 15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421,179 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8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(408,095)</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13,084 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421,179 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(406,055)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15,124 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Customer relationships</w:t>
            </w:r>
          </w:p>
        </w:tc>
        <w:tc>
          <w:tcPr>
            <w:tcW w:w="1036"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2</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1036"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4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421,539 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8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(408,455)</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13,084 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421,539 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(406,415)</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15,124 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estimated future amortization expense of intangible assets with finite lives is as follows:</w:t>
      </w:r>
    </w:p>
    <w:tbl>
      <w:tblPr>
        <w:tblW w:w="3171" w:type="dxa"/>
        <w:jc w:val="left"/>
        <w:tblInd w:w="0" w:type="dxa"/>
        <w:tblLayout w:type="fixed"/>
        <w:tblCellMar>
          <w:top w:w="28" w:type="dxa"/>
          <w:left w:w="28" w:type="dxa"/>
          <w:bottom w:w="28" w:type="dxa"/>
          <w:right w:w="28" w:type="dxa"/>
        </w:tblCellMar>
      </w:tblPr>
      <w:tblGrid>
        <w:gridCol w:w="712"/>
        <w:gridCol w:w="625"/>
        <w:gridCol w:w="628"/>
        <w:gridCol w:w="226"/>
        <w:gridCol w:w="82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Remainder of 2026</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2,039 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4,079 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1,301 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745 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2030</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745 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2031 and thereafter</w:t>
            </w:r>
          </w:p>
        </w:tc>
        <w:tc>
          <w:tcPr>
            <w:tcW w:w="105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4,175 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13,084 </w:t>
            </w:r>
          </w:p>
        </w:tc>
        <w:tc>
          <w:tcPr>
            <w:tcW w:w="154"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For developed technology intangible assets that are utilized in both revenue generating activities and in research and development activities, we allocate the amortization expense between cost of revenue and operating expenses. The finite-lived intangible assets are amortized using the straight-line method over their estimated useful lives.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three months ended March 31, 2025, we revised the estimated useful life of the developed technology acquired in the 2021 Omniome, Inc. ("Omniome") acquisition. This change reflects updated strategic plans and restructuring initiatives focused on accelerating HiFi sequencing adoption, leading to ceased development of our high-throughput short-read platform and revised expectations for the timing and amount of future cash flows from short-read sequencing products and services. As a result of the change in estimate, during the three months ended March 31, 2025, we recognized accelerated amortization of $359.3 million within amortization of acquired intangible assets in operating expenses, reflecting our revised estimate that the asset will no longer generate economic benefit beyond March 31, 2025. This expense had a negative impact on basic and diluted net loss per share of $1.20 for the six months ended June 30, 2025.</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review finite-lived intangible assets for impairment when indication of potential impairment exists, such as a significant reduction in cash flows associated with the assets. In the first quarter of 2025, as part of our interim goodwill impairment test, we also performed a recoverability test for the definite-lived asset group and noted no impairment.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March 7, 2025, the Company entered into an agreement to acquire certain developed technology and related intellectual property from The Chinese University of Hong Kong for total consideration of $9.7 million. In addition, the Company entered into a license agreement for complementary developed technology during the three months ended March 31, 2025. Both the acquired technology and license are classified as intangible assets and are being amortized over an estimated useful life of three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12520"/>
                <wp:effectExtent l="0" t="0" r="0" b="0"/>
                <wp:wrapNone/>
                <wp:docPr id="36" name="Frame1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457200" cy="95250"/>
                                                </a:xfrm>
                                                <a:prstGeom prst="rect">
                                                  <a:avLst/>
                                                </a:prstGeom>
                                              </pic:spPr>
                                            </pic:pic>
                                          </a:graphicData>
                                        </a:graphic>
                                      </wp:inline>
                                    </w:drawing>
                                  </w:r>
                                  <w:bookmarkStart w:id="24" w:name="i-13"/>
                                  <w:bookmarkEnd w:id="2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457200" cy="95250"/>
                                          </a:xfrm>
                                          <a:prstGeom prst="rect">
                                            <a:avLst/>
                                          </a:prstGeom>
                                        </pic:spPr>
                                      </pic:pic>
                                    </a:graphicData>
                                  </a:graphic>
                                </wp:inline>
                              </w:drawing>
                            </w:r>
                            <w:bookmarkStart w:id="25" w:name="i-13"/>
                            <w:bookmarkEnd w:id="2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1874" w:type="dxa"/>
        <w:jc w:val="left"/>
        <w:tblInd w:w="0" w:type="dxa"/>
        <w:tblLayout w:type="fixed"/>
        <w:tblCellMar>
          <w:top w:w="28" w:type="dxa"/>
          <w:left w:w="28" w:type="dxa"/>
          <w:bottom w:w="28" w:type="dxa"/>
          <w:right w:w="28" w:type="dxa"/>
        </w:tblCellMar>
      </w:tblPr>
      <w:tblGrid>
        <w:gridCol w:w="600"/>
        <w:gridCol w:w="527"/>
        <w:gridCol w:w="747"/>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 xml:space="preserve">Other Assets </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first quarter of 2026, the Company entered into a license and settlement agreement with Personal Genomics of Taiwan, Inc. (“PGI”). PGI had previously filed a suit against the Company for alleged patent infringement and related matters. Under the terms of the agreement, the parties agreed to dismiss all claims and counterclaims and to release one another from all claims arising out of the litigation (the "PGI Settlement"). In connection with the settlement, PGI granted the Company a non-exclusive, royalty-free, worldwide license to certain patents and patent applications and provided a covenant not to sue the Company and its affiliates for patent infringement for a specified period.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Under the fixed payment structure, the Company paid PGI $8.0 million in the second quarter of 2026 and will pay $5.0 million in the first quarter of each of 2027, 2028 and 2029, with the payment in 2027 increasing by $1.0 million if the Company’s 2026 revenue is at least $165.0 million and another $1.0 million if it is at least $180.0 million.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Company accounted for the transaction as a settlement of litigation combined with a license to patents. The total consideration was allocated on a relative fair value basis between (i) the license to the patents and (ii) the settlement of past and potential claims relating to the patents and associated with the litigation.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fair value of the license was estimated using an income approach, specifically the relief-from-royalty method, which is based on the present value of hypothetical royalty payments avoided as a result of obtaining the license. The fair value of the settlement component was estimated using an income-based approach that considered a hypothetical royalty rate applied to historical revenues generated during the alleged infringement period. This valuation represents a level 3 fair value measurement due to its reliance on certain unobservable inputs. The determination of fair value involves estimates and assumptions, including projected future revenues attributable to the licensed patents, historical revenues generated during the alleged infringement period, an estimated royalty rate derived from comparable market transactions, and a discount rate applied to the projected cash flows. The royalty rate utilized in the valuation was 5%, the discount rate of 14.5% applied to the projected future revenues was based on the Company’s estimated weighted average cost of capital, considering market participant assumptions and risk factors specific to the asset, and the discount rate of 6.3% applied to the historical revenues was based on the Company's estimated cost of debt, considering market participant assumptions. The assumptions used were inherently subject to uncertainty.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portion of the consideration allocated to the license of $5.5 million was capitalized and included in other long-term assets on the condensed consolidated balance sheets. The asset is being amortized on a straight-line basis over a period of approximately three years, which approximates the remaining economic life of the underlying patent rights. The remaining portion of the consideration was recorded as a litigation settlement charge. In the first quarter of 2026, the Company recorded $0.5 million of settlement charges within cost of product revenue in the condensed consolidated statements of operations and comprehensive loss and $15.4 million of settlement charges within operating expenses in the condensed consolidated statements of operations and comprehensive loss.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Company recorded the liability at its present value of $21.4 million as of March 31, 2026. The liability will be accreted to its undiscounted amount using the effective interest method, resulting in an effective interest rate of 9.5%, with accretion recognized as interest expense in the condensed consolidated statements of operations. The liability for the settlement obligation is classified between current and non-current portions based on the timing of expected payments. As of June 30, 2026, $5.6 million is included in accrued expenses and $8.2 million is included in other liabilities, non-current in the condensed consolidated balance sheets.</w:t>
      </w:r>
    </w:p>
    <w:tbl>
      <w:tblPr>
        <w:tblW w:w="2459" w:type="dxa"/>
        <w:jc w:val="left"/>
        <w:tblInd w:w="0" w:type="dxa"/>
        <w:tblLayout w:type="fixed"/>
        <w:tblCellMar>
          <w:top w:w="28" w:type="dxa"/>
          <w:left w:w="28" w:type="dxa"/>
          <w:bottom w:w="28" w:type="dxa"/>
          <w:right w:w="28" w:type="dxa"/>
        </w:tblCellMar>
      </w:tblPr>
      <w:tblGrid>
        <w:gridCol w:w="786"/>
        <w:gridCol w:w="692"/>
        <w:gridCol w:w="981"/>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Deferred Revenue</w:t>
            </w:r>
          </w:p>
        </w:tc>
      </w:tr>
    </w:tbl>
    <w:p>
      <w:pPr>
        <w:pStyle w:val="TextBody"/>
        <w:bidi w:val="0"/>
        <w:spacing w:lineRule="auto" w:line="288" w:before="120" w:after="283"/>
        <w:jc w:val="both"/>
        <w:rPr/>
      </w:pPr>
      <w:r>
        <w:rPr>
          <w:rFonts w:ascii="Roboto;sans-serif" w:hAnsi="Roboto;sans-serif"/>
          <w:b w:val="false"/>
          <w:color w:val="000000"/>
          <w:sz w:val="20"/>
        </w:rPr>
        <w:t>As of June 30, 2026, we had a total of $19.4 million of deferred revenue, $16.1 million of which was recorded as deferred revenue, current, and $3.3 million of which was recorded as deferred revenue, non-current, which primarily relates to deferred service contract revenues and is scheduled to be recognized in the next six years. Revenue recorded in the three and six months ended June 30, 2026 includes $3.7 million and $8.7 million, respectively,</w:t>
      </w:r>
      <w:r>
        <w:rPr>
          <w:color w:val="000000"/>
        </w:rPr>
        <w:t xml:space="preserve"> </w:t>
      </w:r>
      <w:r>
        <w:rPr>
          <w:rFonts w:ascii="Roboto;sans-serif" w:hAnsi="Roboto;sans-serif"/>
          <w:b w:val="false"/>
          <w:color w:val="000000"/>
          <w:sz w:val="20"/>
        </w:rPr>
        <w:t>that was included in deferred revenue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112520"/>
                <wp:effectExtent l="0" t="0" r="0" b="0"/>
                <wp:wrapNone/>
                <wp:docPr id="39" name="Frame1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457200" cy="95250"/>
                                                </a:xfrm>
                                                <a:prstGeom prst="rect">
                                                  <a:avLst/>
                                                </a:prstGeom>
                                              </pic:spPr>
                                            </pic:pic>
                                          </a:graphicData>
                                        </a:graphic>
                                      </wp:inline>
                                    </w:drawing>
                                  </w:r>
                                  <w:bookmarkStart w:id="26" w:name="i-14"/>
                                  <w:bookmarkEnd w:id="2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457200" cy="95250"/>
                                          </a:xfrm>
                                          <a:prstGeom prst="rect">
                                            <a:avLst/>
                                          </a:prstGeom>
                                        </pic:spPr>
                                      </pic:pic>
                                    </a:graphicData>
                                  </a:graphic>
                                </wp:inline>
                              </w:drawing>
                            </w:r>
                            <w:bookmarkStart w:id="27" w:name="i-14"/>
                            <w:bookmarkEnd w:id="2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Performance Obligations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regularly enter into contracts with multiple performance obligations. These contracts are believed to be firm as of the balance sheet date. However, we may allow customers to make product substitutions or certain modifications at our discretion. The timing of shipments depends on several factors, including agreed upon shipping schedules, which may span multiple quarters. Most performance obligations are generally satisfied within a year of the contract execution date. As of June 30, 2026, the aggregate amount of the transaction price allocated to remaining performance obligations was $47.9 million, of which approximately 79% is expected to be converted to revenue over the next twelve months, approximately 17% in the following twelve months, and the remainder thereafter.</w:t>
      </w:r>
    </w:p>
    <w:tbl>
      <w:tblPr>
        <w:tblW w:w="2625" w:type="dxa"/>
        <w:jc w:val="left"/>
        <w:tblInd w:w="0" w:type="dxa"/>
        <w:tblLayout w:type="fixed"/>
        <w:tblCellMar>
          <w:top w:w="28" w:type="dxa"/>
          <w:left w:w="28" w:type="dxa"/>
          <w:bottom w:w="28" w:type="dxa"/>
          <w:right w:w="28" w:type="dxa"/>
        </w:tblCellMar>
      </w:tblPr>
      <w:tblGrid>
        <w:gridCol w:w="841"/>
        <w:gridCol w:w="738"/>
        <w:gridCol w:w="1046"/>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Product Warranties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Warranties are recorded as part of accrued expenses on the condensed consolidated balance sheets and warranty expense is recorded as a component of cost of product revenue in the condensed consolidated statements of operations and comprehensive loss. There were no material changes in estimates for the periods presented below.</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reserve for product warranties were as follows for the periods indicated:</w:t>
      </w:r>
    </w:p>
    <w:tbl>
      <w:tblPr>
        <w:tblW w:w="10205" w:type="dxa"/>
        <w:jc w:val="left"/>
        <w:tblInd w:w="0" w:type="dxa"/>
        <w:tblLayout w:type="fixed"/>
        <w:tblCellMar>
          <w:top w:w="28" w:type="dxa"/>
          <w:left w:w="28" w:type="dxa"/>
          <w:bottom w:w="28" w:type="dxa"/>
          <w:right w:w="28" w:type="dxa"/>
        </w:tblCellMar>
      </w:tblPr>
      <w:tblGrid>
        <w:gridCol w:w="1468"/>
        <w:gridCol w:w="1260"/>
        <w:gridCol w:w="1267"/>
        <w:gridCol w:w="285"/>
        <w:gridCol w:w="892"/>
        <w:gridCol w:w="137"/>
        <w:gridCol w:w="137"/>
        <w:gridCol w:w="137"/>
        <w:gridCol w:w="137"/>
        <w:gridCol w:w="285"/>
        <w:gridCol w:w="892"/>
        <w:gridCol w:w="137"/>
        <w:gridCol w:w="109"/>
        <w:gridCol w:w="109"/>
        <w:gridCol w:w="109"/>
        <w:gridCol w:w="261"/>
        <w:gridCol w:w="817"/>
        <w:gridCol w:w="125"/>
        <w:gridCol w:w="125"/>
        <w:gridCol w:w="125"/>
        <w:gridCol w:w="125"/>
        <w:gridCol w:w="261"/>
        <w:gridCol w:w="817"/>
        <w:gridCol w:w="188"/>
      </w:tblGrid>
      <w:tr>
        <w:trPr/>
        <w:tc>
          <w:tcPr>
            <w:tcW w:w="146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14"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285"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92"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2,821 </w:t>
            </w:r>
          </w:p>
        </w:tc>
        <w:tc>
          <w:tcPr>
            <w:tcW w:w="137"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2,859 </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17"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3,046 </w:t>
            </w:r>
          </w:p>
        </w:tc>
        <w:tc>
          <w:tcPr>
            <w:tcW w:w="125"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3,100 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Additions charged to cost of product revenue</w:t>
            </w:r>
          </w:p>
        </w:tc>
        <w:tc>
          <w:tcPr>
            <w:tcW w:w="11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1,226 </w:t>
            </w:r>
          </w:p>
        </w:tc>
        <w:tc>
          <w:tcPr>
            <w:tcW w:w="13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1,245 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2,691 </w:t>
            </w:r>
          </w:p>
        </w:tc>
        <w:tc>
          <w:tcPr>
            <w:tcW w:w="12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2,557 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Repairs and replacements</w:t>
            </w:r>
          </w:p>
        </w:tc>
        <w:tc>
          <w:tcPr>
            <w:tcW w:w="117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(1,237)</w:t>
            </w:r>
          </w:p>
        </w:tc>
        <w:tc>
          <w:tcPr>
            <w:tcW w:w="13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(1,416)</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(2,927)</w:t>
            </w:r>
          </w:p>
        </w:tc>
        <w:tc>
          <w:tcPr>
            <w:tcW w:w="12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(2,969)</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285"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92"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2,810 </w:t>
            </w:r>
          </w:p>
        </w:tc>
        <w:tc>
          <w:tcPr>
            <w:tcW w:w="137"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2,688 </w:t>
            </w:r>
          </w:p>
        </w:tc>
        <w:tc>
          <w:tcPr>
            <w:tcW w:w="1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17"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2,810 </w:t>
            </w:r>
          </w:p>
        </w:tc>
        <w:tc>
          <w:tcPr>
            <w:tcW w:w="125"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2,688 </w:t>
            </w:r>
          </w:p>
        </w:tc>
        <w:tc>
          <w:tcPr>
            <w:tcW w:w="1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12520"/>
                <wp:effectExtent l="0" t="0" r="0" b="0"/>
                <wp:wrapNone/>
                <wp:docPr id="42" name="Frame1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457200" cy="95250"/>
                                                </a:xfrm>
                                                <a:prstGeom prst="rect">
                                                  <a:avLst/>
                                                </a:prstGeom>
                                              </pic:spPr>
                                            </pic:pic>
                                          </a:graphicData>
                                        </a:graphic>
                                      </wp:inline>
                                    </w:drawing>
                                  </w:r>
                                  <w:bookmarkStart w:id="28" w:name="i-15"/>
                                  <w:bookmarkEnd w:id="2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457200" cy="95250"/>
                                          </a:xfrm>
                                          <a:prstGeom prst="rect">
                                            <a:avLst/>
                                          </a:prstGeom>
                                        </pic:spPr>
                                      </pic:pic>
                                    </a:graphicData>
                                  </a:graphic>
                                </wp:inline>
                              </w:drawing>
                            </w:r>
                            <w:bookmarkStart w:id="29" w:name="i-15"/>
                            <w:bookmarkEnd w:id="2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4995" w:type="dxa"/>
        <w:jc w:val="left"/>
        <w:tblInd w:w="0" w:type="dxa"/>
        <w:tblLayout w:type="fixed"/>
        <w:tblCellMar>
          <w:top w:w="28" w:type="dxa"/>
          <w:left w:w="28" w:type="dxa"/>
          <w:bottom w:w="28" w:type="dxa"/>
          <w:right w:w="28" w:type="dxa"/>
        </w:tblCellMar>
      </w:tblPr>
      <w:tblGrid>
        <w:gridCol w:w="1600"/>
        <w:gridCol w:w="1404"/>
        <w:gridCol w:w="1991"/>
      </w:tblGrid>
      <w:tr>
        <w:trPr/>
        <w:tc>
          <w:tcPr>
            <w:tcW w:w="16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4. CONVERTIBLE SENIOR NOTES</w:t>
            </w:r>
          </w:p>
        </w:tc>
      </w:tr>
    </w:tbl>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2029 Convertible Senior Notes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November 7, 2024, we entered into an exchange agreement with SB Northstar LP (“SBN”), a subsidiary of SoftBank Group Corp., pursuant to which we agreed to exchange the remaining approximately $459.0 million in aggregate principal amount of our previously held 1.50% Convertible Senior Notes due 2028 (the “2028 Notes”) outstanding for (i) $200.0 million aggregate principal amount of 1.50% Convertible Senior Notes due 2029 (the “2029 Notes”), (ii) 20,451,570 shares of common stock (the “Exchange Shares”) and (iii) $50.0 million of cash (the “2024 Exchange Transaction”). The Exchange Shares were issued on November 21, 2024 (the “Closing Date”). The 2029 Notes, the Exchange Shares, and shares of common stock issuable upon conversion of the 2029 Notes were subject to certain lock-up restrictions for a six-month period (the “Lock-Up Period”) beginning on the Closing Date of the 2024 Exchange Transaction.</w:t>
      </w:r>
    </w:p>
    <w:p>
      <w:pPr>
        <w:pStyle w:val="TextBody"/>
        <w:bidi w:val="0"/>
        <w:spacing w:lineRule="auto" w:line="288" w:before="120" w:after="283"/>
        <w:jc w:val="both"/>
        <w:rPr/>
      </w:pPr>
      <w:r>
        <w:rPr>
          <w:rFonts w:ascii="Roboto;sans-serif" w:hAnsi="Roboto;sans-serif"/>
          <w:b w:val="false"/>
          <w:color w:val="000000"/>
          <w:sz w:val="20"/>
        </w:rPr>
        <w:t>Additionally, on November 21, 2024, in connection with the issuance of the 2029 Notes, the Company and SBN entered into the Letter Agreement pursuant to which the Company and SBN agreed that, for so long as SBN and its affiliates hold at least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 amount of secured indebtedness pursuant to Credit Facilities (as defined in the Letter Agreement).</w:t>
      </w:r>
      <w:r>
        <w:rPr>
          <w:color w:val="000000"/>
        </w:rPr>
        <w:t xml:space="preserve"> </w:t>
      </w:r>
      <w:r>
        <w:rPr>
          <w:rFonts w:ascii="Roboto;sans-serif" w:hAnsi="Roboto;sans-serif"/>
          <w:b w:val="false"/>
          <w:color w:val="000000"/>
          <w:sz w:val="20"/>
        </w:rPr>
        <w:t>In addition, the Letter Agreement restricts the ability of the Company and its subsidiaries from guaranteeing any indebtedness or incurring certain indebtedness outside of the ordinary course of business unless, in each case, the Company and its subsidiaries concurrently provide a guarantee of the Company’s obligations under the 2029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any conversion of the 2029 Notes, SBN will not be entitled to be issued a number of shares of the Company’s common stock which would cause SBN's beneficial ownership of common stock to exceed either 9.9% of the total number of issued and outstanding shares of common stock or 9.9% of the combined voting power of all of the securities of the Company, in each case, following such conversion.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governed by an indenture (the “2029 Indenture”) between the Company and U.S. Bank Trust Company, National Association, as trustee. The 2029 Notes bear interest at a rate of 1.50% per annum. Interest on the 2029 Notes is payable semi-annually in arrears on February 15 and August 15, commencing on February 15, 2025. The 2029 Notes will mature on August 15, 2029, subject to earlier conversion, redemption or repurchase.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convertible at the option of the holder at any time from the expiration of the Lock-Up Period until the second scheduled trading day prior to the maturity date, including in connection with a redemption by the Company. The 2029 Notes are convertible into shares of our common stock based on an initial conversion rate of 204.5157 shares of common stock per $1,000 principal amount of the 2029 Notes (which is equal to an initial conversion price of approximately $4.89 per share of common stock), in each case subject to customary anti-dilution and other adjustments as a result of certain extraordinary transactions. Upon conversion of the 2029 Notes, we may elect to settle such conversion obligation in cash, shares of our common stock, or a combination of cash and shares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or after August 20, 2027, and prior to the 31st scheduled trading day immediately preceding the maturity date, the 2029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2029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2029 Indenture), the holders of the 2029 Notes may require that we repurchase all or part of the principal amount of the 2029 Notes at a purchase price of par plus unpaid interest up to, but excluding, the maturity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subject to certain debt and lien covenants as well as springing guarantees, in each case, the terms of which are set forth in a second letter agreement between the Company and SBN entered into in connection with the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112520"/>
                <wp:effectExtent l="0" t="0" r="0" b="0"/>
                <wp:wrapNone/>
                <wp:docPr id="45" name="Frame1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457200" cy="95250"/>
                                                </a:xfrm>
                                                <a:prstGeom prst="rect">
                                                  <a:avLst/>
                                                </a:prstGeom>
                                              </pic:spPr>
                                            </pic:pic>
                                          </a:graphicData>
                                        </a:graphic>
                                      </wp:inline>
                                    </w:drawing>
                                  </w:r>
                                  <w:bookmarkStart w:id="30" w:name="i-16"/>
                                  <w:bookmarkEnd w:id="3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457200" cy="95250"/>
                                          </a:xfrm>
                                          <a:prstGeom prst="rect">
                                            <a:avLst/>
                                          </a:prstGeom>
                                        </pic:spPr>
                                      </pic:pic>
                                    </a:graphicData>
                                  </a:graphic>
                                </wp:inline>
                              </w:drawing>
                            </w:r>
                            <w:bookmarkStart w:id="31" w:name="i-16"/>
                            <w:bookmarkEnd w:id="3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Indenture includes customary “events of default,” which may result in the acceleration of the maturity of the 2029 Notes under the 2029 Indenture. The 2029 Indenture also includes customary covenants for convertible notes of this type.</w:t>
      </w:r>
    </w:p>
    <w:p>
      <w:pPr>
        <w:pStyle w:val="TextBody"/>
        <w:bidi w:val="0"/>
        <w:spacing w:lineRule="auto" w:line="288" w:before="120" w:after="283"/>
        <w:jc w:val="both"/>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2029 Notes at a rate equal to (i) 0.25% per annum of the principal amount of the 2029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2029 Notes outstanding for each day from, and including, the 181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calendar day to, and including, the 360</w:t>
      </w:r>
      <w:r>
        <w:rPr>
          <w:rFonts w:ascii="Roboto;sans-serif" w:hAnsi="Roboto;sans-serif"/>
          <w:b w:val="false"/>
          <w:color w:val="000000"/>
          <w:sz w:val="13"/>
        </w:rPr>
        <w:t>th</w:t>
      </w:r>
      <w:r>
        <w:rPr>
          <w:color w:val="000000"/>
        </w:rPr>
        <w:t xml:space="preserve"> </w:t>
      </w:r>
      <w:r>
        <w:rPr>
          <w:rFonts w:ascii="Roboto;sans-serif" w:hAnsi="Roboto;sans-serif"/>
          <w:b w:val="false"/>
          <w:color w:val="000000"/>
          <w:sz w:val="20"/>
        </w:rPr>
        <w:t>calendar day after the occurrence of such an event of default during which such event of default is continuing (or, if earlier, the date on which such event of default is cured or waived as provided for in the 2029 Indenture). On the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after such event of default (if the event of default relating to our failure to comply with its obligations is not cured or waived prior to such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the 2029 Notes shall be subject to acceleration as provided for in the 2029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2029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2029 Notes is not accounted for as an embedded derivative because it is considered to be indexed to our common stock, and the 2029 Notes were not issued at a substantial premium; therefore, the 2029 Notes are accounted for in their entirety as a liability. Because we may elect to settle any conversions entirely in shares, and because settlement in shares is the default settlement method, the liability is classified as non-current.</w:t>
      </w:r>
    </w:p>
    <w:p>
      <w:pPr>
        <w:pStyle w:val="TextBody"/>
        <w:bidi w:val="0"/>
        <w:spacing w:lineRule="auto" w:line="288" w:before="120" w:after="283"/>
        <w:jc w:val="both"/>
        <w:rPr/>
      </w:pPr>
      <w:r>
        <w:rPr>
          <w:rFonts w:ascii="Roboto;sans-serif" w:hAnsi="Roboto;sans-serif"/>
          <w:b w:val="false"/>
          <w:color w:val="000000"/>
          <w:sz w:val="20"/>
        </w:rPr>
        <w:t xml:space="preserve">The requirement to repurchase the 2029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TextBody"/>
        <w:bidi w:val="0"/>
        <w:spacing w:lineRule="auto" w:line="288" w:before="120" w:after="283"/>
        <w:jc w:val="both"/>
        <w:rPr/>
      </w:pPr>
      <w:r>
        <w:rPr>
          <w:rFonts w:ascii="Roboto;sans-serif" w:hAnsi="Roboto;sans-serif"/>
          <w:b w:val="false"/>
          <w:color w:val="000000"/>
          <w:sz w:val="20"/>
        </w:rPr>
        <w:t xml:space="preserve">The exchange qualified as a troubled debt restructuring under ASC 470-60 – </w:t>
      </w:r>
      <w:r>
        <w:rPr>
          <w:rFonts w:ascii="Roboto;sans-serif" w:hAnsi="Roboto;sans-serif"/>
          <w:b w:val="false"/>
          <w:i/>
          <w:color w:val="000000"/>
          <w:sz w:val="20"/>
        </w:rPr>
        <w:t>Troubled Debt Restructurings by Debtors</w:t>
      </w:r>
      <w:r>
        <w:rPr>
          <w:rFonts w:ascii="Roboto;sans-serif" w:hAnsi="Roboto;sans-serif"/>
          <w:b w:val="false"/>
          <w:color w:val="000000"/>
          <w:sz w:val="20"/>
        </w:rPr>
        <w:t xml:space="preserve">. Since the undiscounted cash flows of the 2029 Notes were less than the carrying amount of the exchanged 2028 Notes, the carrying value of the 2029 Notes was determined based on the total undiscounted cash flows. As a result, no interest expense will be recognized for the 2029 Notes. The Company recorded a gain on debt restructuring of $154.4 million, which resulted in a decrease of basic net loss per share of $0.56, during the year ended December 31, 2024 in our consolidated statements of operations and comprehensive loss. The gain was calculated as the difference between the carrying amount of the old debt and the carrying amount of the new debt, adjusted for debt issuance costs.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incurred issuance costs related to the 2029 Notes of approximately $3.1 million, including $0.2 million of lender fees, which were recorded as a reduction to the gain on debt restructuring in our condensed consolidated statements of operations and comprehensive loss. We also paid accrued but unpaid interest of $1.8 million on the 2028 Notes in connection with the 2024 Exchange Transaction.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did not receive any cash proceeds from the 2024 Exchange Transaction. In exchange for issuing the 2029 Notes, Exchange Shares and paying $50.0 million of cash pursuant to the 2024 Exchange Transaction, we received and cancelled the exchanged 2028 Notes. Following the closing of the 2024 Exchange Transaction, no amounts were outstanding on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carrying amount of the liability for the 2029 Notes as of June 30, 2026 is $210.5 million, of which $207.5 million is included as convertible senior notes, net, non-current, and $3.0 million is included as accrued expenses on our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112520"/>
                <wp:effectExtent l="0" t="0" r="0" b="0"/>
                <wp:wrapNone/>
                <wp:docPr id="48" name="Frame1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457200" cy="95250"/>
                                                </a:xfrm>
                                                <a:prstGeom prst="rect">
                                                  <a:avLst/>
                                                </a:prstGeom>
                                              </pic:spPr>
                                            </pic:pic>
                                          </a:graphicData>
                                        </a:graphic>
                                      </wp:inline>
                                    </w:drawing>
                                  </w:r>
                                  <w:bookmarkStart w:id="32" w:name="i-17"/>
                                  <w:bookmarkEnd w:id="3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457200" cy="95250"/>
                                          </a:xfrm>
                                          <a:prstGeom prst="rect">
                                            <a:avLst/>
                                          </a:prstGeom>
                                        </pic:spPr>
                                      </pic:pic>
                                    </a:graphicData>
                                  </a:graphic>
                                </wp:inline>
                              </w:drawing>
                            </w:r>
                            <w:bookmarkStart w:id="33" w:name="i-17"/>
                            <w:bookmarkEnd w:id="3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the 2029 Notes during the six months ended June 30, 2026 were as follows:</w:t>
      </w:r>
    </w:p>
    <w:tbl>
      <w:tblPr>
        <w:tblW w:w="5585" w:type="dxa"/>
        <w:jc w:val="left"/>
        <w:tblInd w:w="0" w:type="dxa"/>
        <w:tblLayout w:type="fixed"/>
        <w:tblCellMar>
          <w:top w:w="28" w:type="dxa"/>
          <w:left w:w="28" w:type="dxa"/>
          <w:bottom w:w="28" w:type="dxa"/>
          <w:right w:w="28" w:type="dxa"/>
        </w:tblCellMar>
      </w:tblPr>
      <w:tblGrid>
        <w:gridCol w:w="1542"/>
        <w:gridCol w:w="1353"/>
        <w:gridCol w:w="1364"/>
        <w:gridCol w:w="226"/>
        <w:gridCol w:w="94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Carrying amount as of December 31, 2025</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212,000 </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Contractual interest expense</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(1,500)</w:t>
            </w:r>
          </w:p>
        </w:tc>
        <w:tc>
          <w:tcPr>
            <w:tcW w:w="154"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Carrying amount as of June 30, 2026</w:t>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4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210,500 </w:t>
            </w:r>
          </w:p>
        </w:tc>
        <w:tc>
          <w:tcPr>
            <w:tcW w:w="154"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2026, the estimated fair value (Level 2) of the 2029 Notes was $182.9 million. The fair value of the 2029 Notes is estimated using a binomial lattice model that is primarily affected by the trading price of our common stock, market interest rates and volatility.</w:t>
      </w:r>
    </w:p>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2030 Convertible Senior Notes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June 2023, we entered into a privately negotiated exchange agreement with a holder of our outstanding 2028 Notes, pursuant to which we issued $441.0 million in aggregate principal amount of our 1.375% Convertible Senior Notes due 2030 (the “2030 Notes” and together with the 2029 Notes, the “Notes”) in exchange for $441.0 million principal amount of the 2028 Notes (the “2023 Exchange Transaction”), pursuant to exemptions from registration under the Securities Act of 1933, as amended (the "Securities Act"), and the rules and regulations thereunder. The 2030 Notes were issued on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approximately $21.50 per share of common stock), in each case subject to customary anti-dilution and other adjustments as a result of certain extraordinary transactions. Upon conversion of the 2030 Notes, we may elect to settle such conversion obligation in cash, shares of our common stock, or a combination of cash and shares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or after June 20, 2028, and prior to the 31st scheduled trading day immediately preceding the maturity date, the 2030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Indenture includes customary “events of default,” which may result in the acceleration of the maturity of the 2030 Notes under the 2030 Indenture. The 2030 Indenture also includes customary covenants for convertible notes of this type.</w:t>
      </w:r>
    </w:p>
    <w:p>
      <w:pPr>
        <w:pStyle w:val="TextBody"/>
        <w:bidi w:val="0"/>
        <w:spacing w:lineRule="auto" w:line="288" w:before="120" w:after="283"/>
        <w:jc w:val="both"/>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 xml:space="preserve">calendar day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12520"/>
                <wp:effectExtent l="0" t="0" r="0" b="0"/>
                <wp:wrapNone/>
                <wp:docPr id="51" name="Frame1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457200" cy="95250"/>
                                                </a:xfrm>
                                                <a:prstGeom prst="rect">
                                                  <a:avLst/>
                                                </a:prstGeom>
                                              </pic:spPr>
                                            </pic:pic>
                                          </a:graphicData>
                                        </a:graphic>
                                      </wp:inline>
                                    </w:drawing>
                                  </w:r>
                                  <w:bookmarkStart w:id="34" w:name="i-18"/>
                                  <w:bookmarkEnd w:id="3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457200" cy="95250"/>
                                          </a:xfrm>
                                          <a:prstGeom prst="rect">
                                            <a:avLst/>
                                          </a:prstGeom>
                                        </pic:spPr>
                                      </pic:pic>
                                    </a:graphicData>
                                  </a:graphic>
                                </wp:inline>
                              </w:drawing>
                            </w:r>
                            <w:bookmarkStart w:id="35" w:name="i-18"/>
                            <w:bookmarkEnd w:id="3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and including, the 360</w:t>
      </w:r>
      <w:r>
        <w:rPr>
          <w:rFonts w:ascii="Roboto;sans-serif" w:hAnsi="Roboto;sans-serif"/>
          <w:b w:val="false"/>
          <w:color w:val="000000"/>
          <w:sz w:val="13"/>
        </w:rPr>
        <w:t>th</w:t>
      </w:r>
      <w:r>
        <w:rPr>
          <w:color w:val="000000"/>
        </w:rPr>
        <w:t xml:space="preserve"> </w:t>
      </w:r>
      <w:r>
        <w:rPr>
          <w:rFonts w:ascii="Roboto;sans-serif" w:hAnsi="Roboto;sans-serif"/>
          <w:b w:val="false"/>
          <w:color w:val="000000"/>
          <w:sz w:val="20"/>
        </w:rPr>
        <w:t>calendar day after the occurrence of such an event of default during which such event of default is continuing (or, if earlier, the date on which such event of default is cured or waived as provided for in the 2030 Indenture). On the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after such event of default (if the event of default relating to our failure to comply with its obligations is not cured or waived prior to such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the 2030 Notes shall be subject to acceleration as provided for in the 2030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w:t>
      </w:r>
    </w:p>
    <w:p>
      <w:pPr>
        <w:pStyle w:val="TextBody"/>
        <w:bidi w:val="0"/>
        <w:spacing w:lineRule="auto" w:line="288" w:before="120" w:after="283"/>
        <w:jc w:val="both"/>
        <w:rPr/>
      </w:pPr>
      <w:r>
        <w:rPr>
          <w:rFonts w:ascii="Roboto;sans-serif" w:hAnsi="Roboto;sans-serif"/>
          <w:b w:val="false"/>
          <w:color w:val="000000"/>
          <w:sz w:val="20"/>
        </w:rPr>
        <w:t>The requirement to repurchase the 2030 Notes, including unpaid interest to the maturity date in the event of a Fundamental Change, is considered a put option for certain periods requiring bifurcation under ASC 815</w:t>
      </w:r>
      <w:r>
        <w:rPr>
          <w:rFonts w:ascii="Roboto;sans-serif" w:hAnsi="Roboto;sans-serif"/>
          <w:b w:val="false"/>
          <w:i/>
          <w:color w:val="000000"/>
          <w:sz w:val="20"/>
        </w:rPr>
        <w:t>.</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incurred issuance costs related to the 2030 Notes of approximately $7.3 million, which were recorded as debt issuance costs and are presented as a reduction to the 2030 Notes in convertible senior notes, net, non-current on our condensed consolidated balance sheets. The debt issuance costs are amortized to interest expense using the effective interest method over the term of the 2030 Notes, resulting in an effective interest rate of 1.6%.</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did not receive any cash proceeds from the 2023 Exchange Transaction. In exchange for issuing the 2030 Notes pursuant to the 2023 Exchange Transaction, we received and cancelled the exchanged 2028 Notes. Following the closing of the 2023 Exchange Transaction, $459.0 million in aggregate principal amount of 2028 Notes remained outstanding with terms unchanged.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net carrying amount of the liability for the 2030 Notes is included as convertible senior notes, net, non-current in the condensed consolidated balance sheets as follows:</w:t>
      </w:r>
    </w:p>
    <w:tbl>
      <w:tblPr>
        <w:tblW w:w="6528" w:type="dxa"/>
        <w:jc w:val="left"/>
        <w:tblInd w:w="0" w:type="dxa"/>
        <w:tblLayout w:type="fixed"/>
        <w:tblCellMar>
          <w:top w:w="28" w:type="dxa"/>
          <w:left w:w="28" w:type="dxa"/>
          <w:bottom w:w="28" w:type="dxa"/>
          <w:right w:w="28" w:type="dxa"/>
        </w:tblCellMar>
      </w:tblPr>
      <w:tblGrid>
        <w:gridCol w:w="1218"/>
        <w:gridCol w:w="1069"/>
        <w:gridCol w:w="1073"/>
        <w:gridCol w:w="226"/>
        <w:gridCol w:w="946"/>
        <w:gridCol w:w="109"/>
        <w:gridCol w:w="109"/>
        <w:gridCol w:w="109"/>
        <w:gridCol w:w="109"/>
        <w:gridCol w:w="266"/>
        <w:gridCol w:w="1113"/>
        <w:gridCol w:w="181"/>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128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2025</w:t>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Principal amount</w:t>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4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441,000 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11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441,000 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Unamortized debt premium</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343 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379 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Unamortized debt issuance costs</w:t>
            </w:r>
          </w:p>
        </w:tc>
        <w:tc>
          <w:tcPr>
            <w:tcW w:w="117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(4,511)</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(4,997)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Net carrying amount</w:t>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4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436,832 </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1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436,382 </w:t>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Interest expense for the 2030 Notes was as follows:</w:t>
      </w:r>
    </w:p>
    <w:tbl>
      <w:tblPr>
        <w:tblW w:w="9918" w:type="dxa"/>
        <w:jc w:val="left"/>
        <w:tblInd w:w="0" w:type="dxa"/>
        <w:tblLayout w:type="fixed"/>
        <w:tblCellMar>
          <w:top w:w="28" w:type="dxa"/>
          <w:left w:w="28" w:type="dxa"/>
          <w:bottom w:w="28" w:type="dxa"/>
          <w:right w:w="28" w:type="dxa"/>
        </w:tblCellMar>
      </w:tblPr>
      <w:tblGrid>
        <w:gridCol w:w="1310"/>
        <w:gridCol w:w="1150"/>
        <w:gridCol w:w="1155"/>
        <w:gridCol w:w="291"/>
        <w:gridCol w:w="910"/>
        <w:gridCol w:w="140"/>
        <w:gridCol w:w="140"/>
        <w:gridCol w:w="140"/>
        <w:gridCol w:w="140"/>
        <w:gridCol w:w="291"/>
        <w:gridCol w:w="910"/>
        <w:gridCol w:w="140"/>
        <w:gridCol w:w="109"/>
        <w:gridCol w:w="109"/>
        <w:gridCol w:w="109"/>
        <w:gridCol w:w="265"/>
        <w:gridCol w:w="828"/>
        <w:gridCol w:w="127"/>
        <w:gridCol w:w="127"/>
        <w:gridCol w:w="127"/>
        <w:gridCol w:w="127"/>
        <w:gridCol w:w="265"/>
        <w:gridCol w:w="828"/>
        <w:gridCol w:w="180"/>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1341"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Contractual interest expense</w:t>
            </w:r>
          </w:p>
        </w:tc>
        <w:tc>
          <w:tcPr>
            <w:tcW w:w="29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10"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1,516 </w:t>
            </w:r>
          </w:p>
        </w:tc>
        <w:tc>
          <w:tcPr>
            <w:tcW w:w="140"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1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1,516 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28"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3,032 </w:t>
            </w:r>
          </w:p>
        </w:tc>
        <w:tc>
          <w:tcPr>
            <w:tcW w:w="127"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3,032 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Amortization of debt issuance costs</w:t>
            </w:r>
          </w:p>
        </w:tc>
        <w:tc>
          <w:tcPr>
            <w:tcW w:w="120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243 </w:t>
            </w:r>
          </w:p>
        </w:tc>
        <w:tc>
          <w:tcPr>
            <w:tcW w:w="14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240 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486 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479 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Total interest expense</w:t>
            </w:r>
          </w:p>
        </w:tc>
        <w:tc>
          <w:tcPr>
            <w:tcW w:w="29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10"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1,759 </w:t>
            </w:r>
          </w:p>
        </w:tc>
        <w:tc>
          <w:tcPr>
            <w:tcW w:w="140"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1,756 </w:t>
            </w:r>
          </w:p>
        </w:tc>
        <w:tc>
          <w:tcPr>
            <w:tcW w:w="1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28"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3,518 </w:t>
            </w:r>
          </w:p>
        </w:tc>
        <w:tc>
          <w:tcPr>
            <w:tcW w:w="127"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3,511 </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As of June 30, 2026, the estimated fair value (Level 2) of the 2030 Notes was $324.4 million. The fair value of the 2030 Notes is estimated using a binomial lattice model that is primarily affected by the trading price of our common stock, market interest rates and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12520"/>
                <wp:effectExtent l="0" t="0" r="0" b="0"/>
                <wp:wrapNone/>
                <wp:docPr id="54" name="Frame1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457200" cy="95250"/>
                                                </a:xfrm>
                                                <a:prstGeom prst="rect">
                                                  <a:avLst/>
                                                </a:prstGeom>
                                              </pic:spPr>
                                            </pic:pic>
                                          </a:graphicData>
                                        </a:graphic>
                                      </wp:inline>
                                    </w:drawing>
                                  </w:r>
                                  <w:bookmarkStart w:id="36" w:name="i-19"/>
                                  <w:bookmarkEnd w:id="3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457200" cy="95250"/>
                                          </a:xfrm>
                                          <a:prstGeom prst="rect">
                                            <a:avLst/>
                                          </a:prstGeom>
                                        </pic:spPr>
                                      </pic:pic>
                                    </a:graphicData>
                                  </a:graphic>
                                </wp:inline>
                              </w:drawing>
                            </w:r>
                            <w:bookmarkStart w:id="37" w:name="i-19"/>
                            <w:bookmarkEnd w:id="3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3389" w:type="dxa"/>
        <w:jc w:val="left"/>
        <w:tblInd w:w="0" w:type="dxa"/>
        <w:tblLayout w:type="fixed"/>
        <w:tblCellMar>
          <w:top w:w="28" w:type="dxa"/>
          <w:left w:w="28" w:type="dxa"/>
          <w:bottom w:w="28" w:type="dxa"/>
          <w:right w:w="28" w:type="dxa"/>
        </w:tblCellMar>
      </w:tblPr>
      <w:tblGrid>
        <w:gridCol w:w="1085"/>
        <w:gridCol w:w="954"/>
        <w:gridCol w:w="1350"/>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5. RESTRUCTURING</w:t>
            </w:r>
          </w:p>
        </w:tc>
      </w:tr>
    </w:tbl>
    <w:tbl>
      <w:tblPr>
        <w:tblW w:w="2595" w:type="dxa"/>
        <w:jc w:val="left"/>
        <w:tblInd w:w="0" w:type="dxa"/>
        <w:tblLayout w:type="fixed"/>
        <w:tblCellMar>
          <w:top w:w="28" w:type="dxa"/>
          <w:left w:w="28" w:type="dxa"/>
          <w:bottom w:w="28" w:type="dxa"/>
          <w:right w:w="28" w:type="dxa"/>
        </w:tblCellMar>
      </w:tblPr>
      <w:tblGrid>
        <w:gridCol w:w="831"/>
        <w:gridCol w:w="731"/>
        <w:gridCol w:w="1033"/>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2025 Restructuring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first quarter of 2025, we implemented an expense reduction initiative aimed at lowering our annualized run-rate operating expenses. These actions, which included workforce reductions and other cost-saving measures, were part of a broader strategic shift to prioritize the adoption of HiFi sequencing.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pre-tax restructuring charges are as follows:</w:t>
      </w:r>
    </w:p>
    <w:tbl>
      <w:tblPr>
        <w:tblW w:w="7132" w:type="dxa"/>
        <w:jc w:val="left"/>
        <w:tblInd w:w="0" w:type="dxa"/>
        <w:tblLayout w:type="fixed"/>
        <w:tblCellMar>
          <w:top w:w="28" w:type="dxa"/>
          <w:left w:w="28" w:type="dxa"/>
          <w:bottom w:w="28" w:type="dxa"/>
          <w:right w:w="28" w:type="dxa"/>
        </w:tblCellMar>
      </w:tblPr>
      <w:tblGrid>
        <w:gridCol w:w="1092"/>
        <w:gridCol w:w="959"/>
        <w:gridCol w:w="963"/>
        <w:gridCol w:w="109"/>
        <w:gridCol w:w="109"/>
        <w:gridCol w:w="809"/>
        <w:gridCol w:w="2533"/>
        <w:gridCol w:w="558"/>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Cumulative amount incurred to date</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Employee separation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253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4,787 </w:t>
            </w:r>
          </w:p>
        </w:tc>
        <w:tc>
          <w:tcPr>
            <w:tcW w:w="5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1,076 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20"/>
              </w:rPr>
              <w:t xml:space="preserve">Total restructuring charges </w:t>
            </w:r>
            <w:r>
              <w:rPr>
                <w:rFonts w:ascii="Roboto;sans-serif" w:hAnsi="Robot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25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5,863 </w:t>
            </w:r>
          </w:p>
        </w:tc>
        <w:tc>
          <w:tcPr>
            <w:tcW w:w="5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Roboto;sans-serif" w:hAnsi="Roboto;sans-serif"/>
          <w:b w:val="false"/>
          <w:color w:val="000000"/>
          <w:sz w:val="10"/>
        </w:rPr>
        <w:t>(1)</w:t>
      </w:r>
      <w:r>
        <w:rPr>
          <w:color w:val="000000"/>
        </w:rPr>
        <w:t xml:space="preserve"> </w:t>
      </w:r>
      <w:r>
        <w:rPr>
          <w:rFonts w:ascii="Roboto;sans-serif" w:hAnsi="Roboto;sans-serif"/>
          <w:b w:val="false"/>
          <w:color w:val="000000"/>
          <w:sz w:val="16"/>
        </w:rPr>
        <w:t>Cumulative charges incurred to date include $3.8 million in sales, general and administrative expense and $2.1 million in research and development expense.</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Charges included employee separation costs comprised of approximately $2.5 million related to salaries, wages and other employee benefits paid to terminated employees pursuant to the Worker Adjustment and Retraining Notification Act and approximately $2.3 million of severance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Charges included in other costs are primarily related to legal expenses incurred in connection with employee separation matters.</w:t>
      </w:r>
    </w:p>
    <w:p>
      <w:pPr>
        <w:pStyle w:val="TextBody"/>
        <w:bidi w:val="0"/>
        <w:spacing w:lineRule="auto" w:line="288" w:before="120" w:after="283"/>
        <w:jc w:val="both"/>
        <w:rPr/>
      </w:pPr>
      <w:r>
        <w:rPr>
          <w:rFonts w:ascii="Roboto;sans-serif" w:hAnsi="Roboto;sans-serif"/>
          <w:b w:val="false"/>
          <w:color w:val="000000"/>
          <w:sz w:val="20"/>
        </w:rPr>
        <w:t xml:space="preserve">In connection with the restructuring and strategic shift, we incurred an additional $389.9 million in costs. These primarily include $359.3 million of accelerated amortization of certain intangible assets, $15.0 million of IPR&amp;D impairment charges, charges of $8.1 million related to excess inventory due to decreased external demand, $3.9 million for estimated losses on purchase commitments tied to anticipated future excess inventory included in cost of revenue, and $3.1 million of accelerated depreciation of fixed assets. See </w:t>
      </w:r>
      <w:hyperlink w:anchor="i94297dc2d97e4e34aed4a2bdfd28cba8_37">
        <w:r>
          <w:rPr>
            <w:rStyle w:val="InternetLink"/>
            <w:rFonts w:ascii="Roboto;sans-serif" w:hAnsi="Roboto;sans-serif"/>
            <w:b w:val="false"/>
            <w:i/>
            <w:color w:val="0000FF"/>
            <w:sz w:val="20"/>
            <w:u w:val="single"/>
          </w:rPr>
          <w:t>Note 3. Balance Sheet Components</w:t>
        </w:r>
      </w:hyperlink>
      <w:r>
        <w:rPr>
          <w:color w:val="000000"/>
        </w:rPr>
        <w:t xml:space="preserve"> </w:t>
      </w:r>
      <w:r>
        <w:rPr>
          <w:rFonts w:ascii="Roboto;sans-serif" w:hAnsi="Roboto;sans-serif"/>
          <w:b w:val="false"/>
          <w:color w:val="000000"/>
          <w:sz w:val="20"/>
        </w:rPr>
        <w:t>for additional information on the IPR&amp;D impairment assessment and the change in estimated useful life of the intangible asset and accelerated amortization.</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A summary of the liabilities related to the restructuring is as follows:</w:t>
      </w:r>
    </w:p>
    <w:tbl>
      <w:tblPr>
        <w:tblW w:w="8148" w:type="dxa"/>
        <w:jc w:val="left"/>
        <w:tblInd w:w="0" w:type="dxa"/>
        <w:tblLayout w:type="fixed"/>
        <w:tblCellMar>
          <w:top w:w="28" w:type="dxa"/>
          <w:left w:w="28" w:type="dxa"/>
          <w:bottom w:w="28" w:type="dxa"/>
          <w:right w:w="28" w:type="dxa"/>
        </w:tblCellMar>
      </w:tblPr>
      <w:tblGrid>
        <w:gridCol w:w="2265"/>
        <w:gridCol w:w="1990"/>
        <w:gridCol w:w="1999"/>
        <w:gridCol w:w="109"/>
        <w:gridCol w:w="109"/>
        <w:gridCol w:w="109"/>
        <w:gridCol w:w="342"/>
        <w:gridCol w:w="797"/>
        <w:gridCol w:w="165"/>
        <w:gridCol w:w="109"/>
        <w:gridCol w:w="154"/>
      </w:tblGrid>
      <w:tr>
        <w:trPr/>
        <w:tc>
          <w:tcPr>
            <w:tcW w:w="226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Other Costs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Amount recorded in current liabilities as of December 31, 2025</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97"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389 </w:t>
            </w:r>
          </w:p>
        </w:tc>
        <w:tc>
          <w:tcPr>
            <w:tcW w:w="165"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Cash paid during 2026</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(389)</w:t>
            </w:r>
          </w:p>
        </w:tc>
        <w:tc>
          <w:tcPr>
            <w:tcW w:w="16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Amount recorded in current liabilities as of June 30, 2026</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797"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65"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Estimated total restructuring costs to still be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797"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During the six months ended June 30, 2026 no further restructuring charges related to the 2025 restructuring were incurred.</w:t>
      </w:r>
    </w:p>
    <w:tbl>
      <w:tblPr>
        <w:tblW w:w="2595" w:type="dxa"/>
        <w:jc w:val="left"/>
        <w:tblInd w:w="0" w:type="dxa"/>
        <w:tblLayout w:type="fixed"/>
        <w:tblCellMar>
          <w:top w:w="28" w:type="dxa"/>
          <w:left w:w="28" w:type="dxa"/>
          <w:bottom w:w="28" w:type="dxa"/>
          <w:right w:w="28" w:type="dxa"/>
        </w:tblCellMar>
      </w:tblPr>
      <w:tblGrid>
        <w:gridCol w:w="831"/>
        <w:gridCol w:w="731"/>
        <w:gridCol w:w="1033"/>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DF1995"/>
                <w:sz w:val="22"/>
              </w:rPr>
            </w:pPr>
            <w:r>
              <w:rPr>
                <w:rFonts w:ascii="Roboto;sans-serif" w:hAnsi="Roboto;sans-serif"/>
                <w:b/>
                <w:color w:val="DF1995"/>
                <w:sz w:val="22"/>
              </w:rPr>
              <w:t>2024 Restructuring</w:t>
            </w:r>
          </w:p>
        </w:tc>
      </w:tr>
    </w:tbl>
    <w:p>
      <w:pPr>
        <w:pStyle w:val="TextBody"/>
        <w:bidi w:val="0"/>
        <w:spacing w:lineRule="auto" w:line="288" w:before="120" w:after="283"/>
        <w:jc w:val="both"/>
        <w:rPr/>
      </w:pPr>
      <w:r>
        <w:rPr>
          <w:rFonts w:ascii="Roboto;sans-serif" w:hAnsi="Roboto;sans-serif"/>
          <w:b w:val="false"/>
          <w:color w:val="000000"/>
          <w:sz w:val="20"/>
        </w:rPr>
        <w:t xml:space="preserve">In the second quarter of 2024, we implemented an expense reduction initiative that included workforce reductions, the closing of our San Diego office, and other actions to reduce annualized run-rate operating expenses. We recognized approximately $0.9 million of expense related to the 2024 restructuring during the six months ended June 30, 2025. See </w:t>
      </w:r>
      <w:r>
        <w:rPr>
          <w:rFonts w:ascii="Roboto;sans-serif" w:hAnsi="Roboto;sans-serif"/>
          <w:b w:val="false"/>
          <w:i/>
          <w:color w:val="000000"/>
          <w:sz w:val="20"/>
        </w:rPr>
        <w:t>Note 6 – Restructuring</w:t>
      </w:r>
      <w:r>
        <w:rPr>
          <w:color w:val="000000"/>
        </w:rPr>
        <w:t xml:space="preserve"> </w:t>
      </w:r>
      <w:r>
        <w:rPr>
          <w:rFonts w:ascii="Roboto;sans-serif" w:hAnsi="Roboto;sans-serif"/>
          <w:b w:val="false"/>
          <w:color w:val="000000"/>
          <w:sz w:val="20"/>
        </w:rPr>
        <w:t>in Part II, Item 8 of the 2025 Annual Report for information regarding the 2024 restructuring initiative.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six months ended June 30, 2026 no further restructuring charges related to the 2024 restructuring were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12520"/>
                <wp:effectExtent l="0" t="0" r="0" b="0"/>
                <wp:wrapNone/>
                <wp:docPr id="57" name="Frame2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457200" cy="95250"/>
                                                </a:xfrm>
                                                <a:prstGeom prst="rect">
                                                  <a:avLst/>
                                                </a:prstGeom>
                                              </pic:spPr>
                                            </pic:pic>
                                          </a:graphicData>
                                        </a:graphic>
                                      </wp:inline>
                                    </w:drawing>
                                  </w:r>
                                  <w:bookmarkStart w:id="38" w:name="i-20"/>
                                  <w:bookmarkEnd w:id="3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457200" cy="95250"/>
                                          </a:xfrm>
                                          <a:prstGeom prst="rect">
                                            <a:avLst/>
                                          </a:prstGeom>
                                        </pic:spPr>
                                      </pic:pic>
                                    </a:graphicData>
                                  </a:graphic>
                                </wp:inline>
                              </w:drawing>
                            </w:r>
                            <w:bookmarkStart w:id="39" w:name="i-20"/>
                            <w:bookmarkEnd w:id="3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5969" w:type="dxa"/>
        <w:jc w:val="left"/>
        <w:tblInd w:w="0" w:type="dxa"/>
        <w:tblLayout w:type="fixed"/>
        <w:tblCellMar>
          <w:top w:w="28" w:type="dxa"/>
          <w:left w:w="28" w:type="dxa"/>
          <w:bottom w:w="28" w:type="dxa"/>
          <w:right w:w="28" w:type="dxa"/>
        </w:tblCellMar>
      </w:tblPr>
      <w:tblGrid>
        <w:gridCol w:w="1912"/>
        <w:gridCol w:w="1680"/>
        <w:gridCol w:w="2377"/>
      </w:tblGrid>
      <w:tr>
        <w:trPr/>
        <w:tc>
          <w:tcPr>
            <w:tcW w:w="191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6. COMMITMENTS AND CONTINGENCIES</w:t>
            </w:r>
          </w:p>
        </w:tc>
      </w:tr>
    </w:tbl>
    <w:tbl>
      <w:tblPr>
        <w:tblW w:w="1036" w:type="dxa"/>
        <w:jc w:val="left"/>
        <w:tblInd w:w="0" w:type="dxa"/>
        <w:tblLayout w:type="fixed"/>
        <w:tblCellMar>
          <w:top w:w="28" w:type="dxa"/>
          <w:left w:w="28" w:type="dxa"/>
          <w:bottom w:w="28" w:type="dxa"/>
          <w:right w:w="28" w:type="dxa"/>
        </w:tblCellMar>
      </w:tblPr>
      <w:tblGrid>
        <w:gridCol w:w="331"/>
        <w:gridCol w:w="291"/>
        <w:gridCol w:w="414"/>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Leases</w:t>
            </w:r>
          </w:p>
        </w:tc>
      </w:tr>
    </w:tbl>
    <w:p>
      <w:pPr>
        <w:pStyle w:val="TextBody"/>
        <w:bidi w:val="0"/>
        <w:spacing w:lineRule="auto" w:line="288" w:before="120" w:after="283"/>
        <w:jc w:val="both"/>
        <w:rPr/>
      </w:pPr>
      <w:r>
        <w:rPr>
          <w:rFonts w:ascii="Roboto;sans-serif" w:hAnsi="Roboto;sans-serif"/>
          <w:b w:val="false"/>
          <w:color w:val="000000"/>
          <w:sz w:val="20"/>
        </w:rPr>
        <w:t xml:space="preserve">The Company has entered into various operating lease agreements, primarily relating to our corporate offices. See </w:t>
      </w:r>
      <w:r>
        <w:rPr>
          <w:rFonts w:ascii="Roboto;sans-serif" w:hAnsi="Roboto;sans-serif"/>
          <w:b w:val="false"/>
          <w:i/>
          <w:color w:val="000000"/>
          <w:sz w:val="20"/>
        </w:rPr>
        <w:t>Note 7 – Commitments and Contingencies</w:t>
      </w:r>
      <w:r>
        <w:rPr>
          <w:rFonts w:ascii="Roboto;sans-serif" w:hAnsi="Roboto;sans-serif"/>
          <w:b w:val="false"/>
          <w:color w:val="000000"/>
          <w:sz w:val="20"/>
        </w:rPr>
        <w:t>, subsection titled “Leases”, in Part II, Item 8 of the 2025 Annual Report for information regarding the Company’s maturity of lease liabilities under its lease agreements.</w:t>
      </w:r>
    </w:p>
    <w:tbl>
      <w:tblPr>
        <w:tblW w:w="1966" w:type="dxa"/>
        <w:jc w:val="left"/>
        <w:tblInd w:w="0" w:type="dxa"/>
        <w:tblLayout w:type="fixed"/>
        <w:tblCellMar>
          <w:top w:w="28" w:type="dxa"/>
          <w:left w:w="28" w:type="dxa"/>
          <w:bottom w:w="28" w:type="dxa"/>
          <w:right w:w="28" w:type="dxa"/>
        </w:tblCellMar>
      </w:tblPr>
      <w:tblGrid>
        <w:gridCol w:w="629"/>
        <w:gridCol w:w="553"/>
        <w:gridCol w:w="78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Contingencies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pStyle w:val="TextBody"/>
        <w:bidi w:val="0"/>
        <w:spacing w:lineRule="auto" w:line="288" w:before="120" w:after="283"/>
        <w:jc w:val="both"/>
        <w:rPr/>
      </w:pPr>
      <w:r>
        <w:rPr>
          <w:rFonts w:ascii="Roboto;sans-serif" w:hAnsi="Roboto;sans-serif"/>
          <w:b w:val="false"/>
          <w:color w:val="000000"/>
          <w:sz w:val="20"/>
        </w:rPr>
        <w:t xml:space="preserve">Please see subsection titled </w:t>
      </w:r>
      <w:hyperlink w:anchor="i94297dc2d97e4e34aed4a2bdfd28cba8_91">
        <w:r>
          <w:rPr>
            <w:rStyle w:val="InternetLink"/>
            <w:rFonts w:ascii="Roboto;sans-serif" w:hAnsi="Roboto;sans-serif"/>
            <w:b w:val="false"/>
            <w:color w:val="0000FF"/>
            <w:sz w:val="20"/>
            <w:u w:val="single"/>
          </w:rPr>
          <w:t>Legal Proceedings, in Part II, Item 1</w:t>
        </w:r>
      </w:hyperlink>
      <w:r>
        <w:rPr>
          <w:color w:val="000000"/>
        </w:rPr>
        <w:t xml:space="preserve"> </w:t>
      </w:r>
      <w:r>
        <w:rPr>
          <w:rFonts w:ascii="Roboto;sans-serif" w:hAnsi="Roboto;sans-serif"/>
          <w:b w:val="false"/>
          <w:color w:val="000000"/>
          <w:sz w:val="20"/>
        </w:rPr>
        <w:t>of this Quarterly Report on Form 10-Q.</w:t>
      </w:r>
    </w:p>
    <w:tbl>
      <w:tblPr>
        <w:tblW w:w="2161" w:type="dxa"/>
        <w:jc w:val="left"/>
        <w:tblInd w:w="0" w:type="dxa"/>
        <w:tblLayout w:type="fixed"/>
        <w:tblCellMar>
          <w:top w:w="28" w:type="dxa"/>
          <w:left w:w="28" w:type="dxa"/>
          <w:bottom w:w="28" w:type="dxa"/>
          <w:right w:w="28" w:type="dxa"/>
        </w:tblCellMar>
      </w:tblPr>
      <w:tblGrid>
        <w:gridCol w:w="692"/>
        <w:gridCol w:w="608"/>
        <w:gridCol w:w="861"/>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Indemnification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54" w:type="dxa"/>
        <w:jc w:val="left"/>
        <w:tblInd w:w="0" w:type="dxa"/>
        <w:tblLayout w:type="fixed"/>
        <w:tblCellMar>
          <w:top w:w="28" w:type="dxa"/>
          <w:left w:w="28" w:type="dxa"/>
          <w:bottom w:w="28" w:type="dxa"/>
          <w:right w:w="28" w:type="dxa"/>
        </w:tblCellMar>
      </w:tblPr>
      <w:tblGrid>
        <w:gridCol w:w="2483"/>
        <w:gridCol w:w="2178"/>
        <w:gridCol w:w="3093"/>
      </w:tblGrid>
      <w:tr>
        <w:trPr/>
        <w:tc>
          <w:tcPr>
            <w:tcW w:w="2483"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7754"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7. EQUITY PLANS AND SHARE-BASED COMPENSATION</w:t>
            </w:r>
          </w:p>
        </w:tc>
      </w:tr>
    </w:tbl>
    <w:tbl>
      <w:tblPr>
        <w:tblW w:w="1739" w:type="dxa"/>
        <w:jc w:val="left"/>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Equity Plans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2026, the Company had share-based compensation awards outstanding under the 2020 Equity Incentive Plan (as amended, the "2020 Plan"), the 2020 Inducement Equity Incentive Plan (the “Inducement Plan”), the 2021 adopted Omniome Equity Incentive Plan of Pacific Biosciences of California, Inc. (the “Omniome Plan”) and the 2010 Employee Stock Purchase Plan ("ESPP"), from which we issued equity awards and employee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June 3, 2026, our stockholders approved an amendment to the 2020 Plan to reserve an additional 16 million shares of our common stock for issuance pursuant to equity awards granted under the 2020 Plan.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2026, we had 24.1 million shares remaining and available for future issuance under the 2020 Plan, Inducement Plan, and Omniome Plan. Shares remaining and available for future issuance reflect shares that may become eligible to vest upon the achievement of maximum targets for certain equity awards.</w:t>
      </w:r>
    </w:p>
    <w:p>
      <w:pPr>
        <w:pStyle w:val="TextBody"/>
        <w:bidi w:val="0"/>
        <w:spacing w:lineRule="auto" w:line="288" w:before="120" w:after="283"/>
        <w:jc w:val="both"/>
        <w:rPr/>
      </w:pPr>
      <w:r>
        <w:rPr>
          <w:rFonts w:ascii="Roboto;sans-serif" w:hAnsi="Roboto;sans-serif"/>
          <w:b w:val="false"/>
          <w:color w:val="000000"/>
          <w:sz w:val="20"/>
        </w:rPr>
        <w:t xml:space="preserve">Refer to </w:t>
      </w:r>
      <w:r>
        <w:rPr>
          <w:rFonts w:ascii="Roboto;sans-serif" w:hAnsi="Roboto;sans-serif"/>
          <w:b w:val="false"/>
          <w:i/>
          <w:color w:val="000000"/>
          <w:sz w:val="20"/>
        </w:rPr>
        <w:t>Note 9 – Stockholders' Equity</w:t>
      </w:r>
      <w:r>
        <w:rPr>
          <w:rFonts w:ascii="Roboto;sans-serif" w:hAnsi="Roboto;sans-serif"/>
          <w:b w:val="false"/>
          <w:color w:val="000000"/>
          <w:sz w:val="20"/>
        </w:rPr>
        <w:t>, in Part II, Item 8 of our 2025 Annual Report for more information on the Company's equity plans</w:t>
      </w:r>
      <w:r>
        <w:rPr>
          <w:rFonts w:ascii="Roboto;sans-serif" w:hAnsi="Roboto;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12520"/>
                <wp:effectExtent l="0" t="0" r="0" b="0"/>
                <wp:wrapNone/>
                <wp:docPr id="60" name="Frame2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457200" cy="95250"/>
                                                </a:xfrm>
                                                <a:prstGeom prst="rect">
                                                  <a:avLst/>
                                                </a:prstGeom>
                                              </pic:spPr>
                                            </pic:pic>
                                          </a:graphicData>
                                        </a:graphic>
                                      </wp:inline>
                                    </w:drawing>
                                  </w:r>
                                  <w:bookmarkStart w:id="40" w:name="i-21"/>
                                  <w:bookmarkEnd w:id="4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457200" cy="95250"/>
                                          </a:xfrm>
                                          <a:prstGeom prst="rect">
                                            <a:avLst/>
                                          </a:prstGeom>
                                        </pic:spPr>
                                      </pic:pic>
                                    </a:graphicData>
                                  </a:graphic>
                                </wp:inline>
                              </w:drawing>
                            </w:r>
                            <w:bookmarkStart w:id="41" w:name="i-21"/>
                            <w:bookmarkEnd w:id="4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1935" w:type="dxa"/>
        <w:jc w:val="left"/>
        <w:tblInd w:w="0" w:type="dxa"/>
        <w:tblLayout w:type="fixed"/>
        <w:tblCellMar>
          <w:top w:w="28" w:type="dxa"/>
          <w:left w:w="28" w:type="dxa"/>
          <w:bottom w:w="28" w:type="dxa"/>
          <w:right w:w="28" w:type="dxa"/>
        </w:tblCellMar>
      </w:tblPr>
      <w:tblGrid>
        <w:gridCol w:w="619"/>
        <w:gridCol w:w="544"/>
        <w:gridCol w:w="772"/>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Stock Options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stock option activity for time-based awards:</w:t>
      </w:r>
    </w:p>
    <w:tbl>
      <w:tblPr>
        <w:tblW w:w="6662" w:type="dxa"/>
        <w:jc w:val="left"/>
        <w:tblInd w:w="0" w:type="dxa"/>
        <w:tblLayout w:type="fixed"/>
        <w:tblCellMar>
          <w:top w:w="28" w:type="dxa"/>
          <w:left w:w="28" w:type="dxa"/>
          <w:bottom w:w="28" w:type="dxa"/>
          <w:right w:w="28" w:type="dxa"/>
        </w:tblCellMar>
      </w:tblPr>
      <w:tblGrid>
        <w:gridCol w:w="1276"/>
        <w:gridCol w:w="1121"/>
        <w:gridCol w:w="1127"/>
        <w:gridCol w:w="344"/>
        <w:gridCol w:w="344"/>
        <w:gridCol w:w="346"/>
        <w:gridCol w:w="109"/>
        <w:gridCol w:w="109"/>
        <w:gridCol w:w="109"/>
        <w:gridCol w:w="109"/>
        <w:gridCol w:w="109"/>
        <w:gridCol w:w="363"/>
        <w:gridCol w:w="946"/>
        <w:gridCol w:w="250"/>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(shares in thousands)</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Weighted</w:t>
              <w:br/>
              <w:t>average</w:t>
              <w:br/>
              <w:t>exercise price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Outstanding at December 31, 2025</w:t>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6.40 </w:t>
            </w:r>
          </w:p>
        </w:tc>
        <w:tc>
          <w:tcPr>
            <w:tcW w:w="2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 xml:space="preserve">Granted </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7,794</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1.66 </w:t>
            </w:r>
          </w:p>
        </w:tc>
        <w:tc>
          <w:tcPr>
            <w:tcW w:w="25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 xml:space="preserve">Exercised </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(244)</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1.28 </w:t>
            </w:r>
          </w:p>
        </w:tc>
        <w:tc>
          <w:tcPr>
            <w:tcW w:w="25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Canceled</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(813)</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5.32 </w:t>
            </w:r>
          </w:p>
        </w:tc>
        <w:tc>
          <w:tcPr>
            <w:tcW w:w="25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Expired</w:t>
            </w:r>
          </w:p>
        </w:tc>
        <w:tc>
          <w:tcPr>
            <w:tcW w:w="103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(442)</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8.93 </w:t>
            </w:r>
          </w:p>
        </w:tc>
        <w:tc>
          <w:tcPr>
            <w:tcW w:w="25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Outstanding at June 30, 2026</w:t>
            </w:r>
          </w:p>
        </w:tc>
        <w:tc>
          <w:tcPr>
            <w:tcW w:w="1034" w:type="dxa"/>
            <w:gridSpan w:val="3"/>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21,804</w:t>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4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4.75 </w:t>
            </w:r>
          </w:p>
        </w:tc>
        <w:tc>
          <w:tcPr>
            <w:tcW w:w="25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34" w:type="dxa"/>
        <w:jc w:val="left"/>
        <w:tblInd w:w="0" w:type="dxa"/>
        <w:tblLayout w:type="fixed"/>
        <w:tblCellMar>
          <w:top w:w="28" w:type="dxa"/>
          <w:left w:w="28" w:type="dxa"/>
          <w:bottom w:w="28" w:type="dxa"/>
          <w:right w:w="28" w:type="dxa"/>
        </w:tblCellMar>
      </w:tblPr>
      <w:tblGrid>
        <w:gridCol w:w="2829"/>
        <w:gridCol w:w="2488"/>
        <w:gridCol w:w="3517"/>
      </w:tblGrid>
      <w:tr>
        <w:trPr/>
        <w:tc>
          <w:tcPr>
            <w:tcW w:w="2829"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Restricted Stock Units ("RSU") and Performance Stock Units ("PSU")</w:t>
            </w:r>
          </w:p>
        </w:tc>
      </w:tr>
    </w:tbl>
    <w:p>
      <w:pPr>
        <w:pStyle w:val="TextBody"/>
        <w:bidi w:val="0"/>
        <w:spacing w:lineRule="auto" w:line="276" w:before="0" w:after="0"/>
        <w:jc w:val="both"/>
        <w:rPr>
          <w:rFonts w:ascii="Roboto;sans-serif" w:hAnsi="Roboto;sans-serif"/>
          <w:b w:val="false"/>
          <w:color w:val="000000"/>
          <w:sz w:val="20"/>
        </w:rPr>
      </w:pPr>
      <w:r>
        <w:rPr>
          <w:rFonts w:ascii="Roboto;sans-serif" w:hAnsi="Roboto;sans-serif"/>
          <w:b w:val="false"/>
          <w:color w:val="000000"/>
          <w:sz w:val="20"/>
        </w:rPr>
        <w:t>We grant RSUs for which the respective shares vest when the requisite service period is achieved. We granted PSUs during the first quarter of 2023 for which the number of shares issuable is based on performance relative to specified revenue targets and continued employment through the vesting period. The PSUs were issuable following the third year of the performance period. Maximum achievement of the revenue goal under the PSUs would result in up to 200% of the target number of shares subject to the PSUs to become eligible to vest, while not meeting the minimum achievement of the revenue goal under the PSUs would result in no shares subject to the PSUs becoming eligible to vest. The performance period ended on December 31, 2025. Because threshold levels of achievement were not met, the PSUs were forfeited based on the determination by the Board of Directors in the first quarter of 2026. The following table summarizes the time-based RSUs and PSUs activity:</w:t>
      </w:r>
    </w:p>
    <w:tbl>
      <w:tblPr>
        <w:tblW w:w="8996" w:type="dxa"/>
        <w:jc w:val="left"/>
        <w:tblInd w:w="0" w:type="dxa"/>
        <w:tblLayout w:type="fixed"/>
        <w:tblCellMar>
          <w:top w:w="28" w:type="dxa"/>
          <w:left w:w="28" w:type="dxa"/>
          <w:bottom w:w="28" w:type="dxa"/>
          <w:right w:w="28" w:type="dxa"/>
        </w:tblCellMar>
      </w:tblPr>
      <w:tblGrid>
        <w:gridCol w:w="1222"/>
        <w:gridCol w:w="1073"/>
        <w:gridCol w:w="1079"/>
        <w:gridCol w:w="413"/>
        <w:gridCol w:w="413"/>
        <w:gridCol w:w="176"/>
        <w:gridCol w:w="109"/>
        <w:gridCol w:w="109"/>
        <w:gridCol w:w="109"/>
        <w:gridCol w:w="307"/>
        <w:gridCol w:w="308"/>
        <w:gridCol w:w="176"/>
        <w:gridCol w:w="109"/>
        <w:gridCol w:w="109"/>
        <w:gridCol w:w="109"/>
        <w:gridCol w:w="324"/>
        <w:gridCol w:w="841"/>
        <w:gridCol w:w="156"/>
        <w:gridCol w:w="156"/>
        <w:gridCol w:w="156"/>
        <w:gridCol w:w="156"/>
        <w:gridCol w:w="324"/>
        <w:gridCol w:w="841"/>
        <w:gridCol w:w="221"/>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Weighted average grant date</w:t>
              <w:br/>
              <w:t>fair value</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(shares in thousands)</w:t>
            </w:r>
          </w:p>
        </w:tc>
        <w:tc>
          <w:tcPr>
            <w:tcW w:w="10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RSU</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PSU</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2025</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17,551 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392 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9.43 </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Granted</w:t>
            </w:r>
          </w:p>
        </w:tc>
        <w:tc>
          <w:tcPr>
            <w:tcW w:w="82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9,897 </w:t>
            </w:r>
          </w:p>
        </w:tc>
        <w:tc>
          <w:tcPr>
            <w:tcW w:w="17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7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4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1.68 </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4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22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Vested</w:t>
            </w:r>
          </w:p>
        </w:tc>
        <w:tc>
          <w:tcPr>
            <w:tcW w:w="82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(7,343)</w:t>
            </w:r>
          </w:p>
        </w:tc>
        <w:tc>
          <w:tcPr>
            <w:tcW w:w="17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7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4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3.59 </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4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22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Forfeited</w:t>
            </w:r>
          </w:p>
        </w:tc>
        <w:tc>
          <w:tcPr>
            <w:tcW w:w="826"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(1,121)</w:t>
            </w:r>
          </w:p>
        </w:tc>
        <w:tc>
          <w:tcPr>
            <w:tcW w:w="17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(392)</w:t>
            </w:r>
          </w:p>
        </w:tc>
        <w:tc>
          <w:tcPr>
            <w:tcW w:w="17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4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2.49 </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4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9.43 </w:t>
            </w:r>
          </w:p>
        </w:tc>
        <w:tc>
          <w:tcPr>
            <w:tcW w:w="22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Outstanding at June 30, 2026</w:t>
            </w:r>
          </w:p>
        </w:tc>
        <w:tc>
          <w:tcPr>
            <w:tcW w:w="826" w:type="dxa"/>
            <w:gridSpan w:val="2"/>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18,984 </w:t>
            </w:r>
          </w:p>
        </w:tc>
        <w:tc>
          <w:tcPr>
            <w:tcW w:w="17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color w:val="1383C6"/>
              </w:rPr>
            </w:pPr>
            <w:r>
              <w:rPr>
                <w:color w:val="1383C6"/>
              </w:rPr>
              <w:t>— </w:t>
            </w:r>
          </w:p>
        </w:tc>
        <w:tc>
          <w:tcPr>
            <w:tcW w:w="17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4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2.57 </w:t>
            </w:r>
          </w:p>
        </w:tc>
        <w:tc>
          <w:tcPr>
            <w:tcW w:w="15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841"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221"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1" w:type="dxa"/>
        <w:jc w:val="left"/>
        <w:tblInd w:w="0" w:type="dxa"/>
        <w:tblLayout w:type="fixed"/>
        <w:tblCellMar>
          <w:top w:w="28" w:type="dxa"/>
          <w:left w:w="28" w:type="dxa"/>
          <w:bottom w:w="28" w:type="dxa"/>
          <w:right w:w="28" w:type="dxa"/>
        </w:tblCellMar>
      </w:tblPr>
      <w:tblGrid>
        <w:gridCol w:w="259"/>
        <w:gridCol w:w="228"/>
        <w:gridCol w:w="324"/>
      </w:tblGrid>
      <w:tr>
        <w:trPr/>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ESPP</w:t>
            </w:r>
          </w:p>
        </w:tc>
      </w:tr>
    </w:tbl>
    <w:p>
      <w:pPr>
        <w:pStyle w:val="TextBody"/>
        <w:bidi w:val="0"/>
        <w:spacing w:lineRule="auto" w:line="288" w:before="120" w:after="283"/>
        <w:jc w:val="both"/>
        <w:rPr/>
      </w:pPr>
      <w:r>
        <w:rPr>
          <w:rFonts w:ascii="Roboto;sans-serif" w:hAnsi="Roboto;sans-serif"/>
          <w:b w:val="false"/>
          <w:color w:val="000000"/>
          <w:sz w:val="20"/>
          <w:shd w:fill="FFFFFF" w:val="clear"/>
        </w:rPr>
        <w:t>Shares issued under our ESPP wer</w:t>
      </w:r>
      <w:r>
        <w:rPr>
          <w:rFonts w:ascii="Roboto;sans-serif" w:hAnsi="Roboto;sans-serif"/>
          <w:b w:val="false"/>
          <w:color w:val="000000"/>
          <w:sz w:val="20"/>
        </w:rPr>
        <w:t>e 1,266,217 and 1,752,417</w:t>
      </w:r>
      <w:r>
        <w:rPr>
          <w:color w:val="000000"/>
          <w:shd w:fill="FFFFFF" w:val="clear"/>
        </w:rPr>
        <w:t xml:space="preserve"> </w:t>
      </w:r>
      <w:r>
        <w:rPr>
          <w:rFonts w:ascii="Roboto;sans-serif" w:hAnsi="Roboto;sans-serif"/>
          <w:b w:val="false"/>
          <w:color w:val="000000"/>
          <w:sz w:val="20"/>
          <w:shd w:fill="FFFFFF" w:val="clear"/>
        </w:rPr>
        <w:t>durin</w:t>
      </w:r>
      <w:r>
        <w:rPr>
          <w:rFonts w:ascii="Roboto;sans-serif" w:hAnsi="Roboto;sans-serif"/>
          <w:b w:val="false"/>
          <w:color w:val="000000"/>
          <w:sz w:val="20"/>
        </w:rPr>
        <w:t>g the six months ended June 30, 2026 and 2025, respectively. In the first quarter of 2026, an additional 4.0 million shares were reserved under the ESPP. As of June 30, 2026, 17.9 million shares of our common stock remain avai</w:t>
      </w:r>
      <w:r>
        <w:rPr>
          <w:rFonts w:ascii="Roboto;sans-serif" w:hAnsi="Roboto;sans-serif"/>
          <w:b w:val="false"/>
          <w:color w:val="000000"/>
          <w:sz w:val="20"/>
          <w:shd w:fill="FFFFFF" w:val="clear"/>
        </w:rPr>
        <w:t>lable for issuance under our ESPP.</w:t>
      </w:r>
    </w:p>
    <w:tbl>
      <w:tblPr>
        <w:tblW w:w="3644" w:type="dxa"/>
        <w:jc w:val="left"/>
        <w:tblInd w:w="0" w:type="dxa"/>
        <w:tblLayout w:type="fixed"/>
        <w:tblCellMar>
          <w:top w:w="28" w:type="dxa"/>
          <w:left w:w="28" w:type="dxa"/>
          <w:bottom w:w="28" w:type="dxa"/>
          <w:right w:w="28" w:type="dxa"/>
        </w:tblCellMar>
      </w:tblPr>
      <w:tblGrid>
        <w:gridCol w:w="1166"/>
        <w:gridCol w:w="1025"/>
        <w:gridCol w:w="1453"/>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Share-based Compensation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share-based compensation expense:</w:t>
      </w:r>
    </w:p>
    <w:tbl>
      <w:tblPr>
        <w:tblW w:w="10205" w:type="dxa"/>
        <w:jc w:val="left"/>
        <w:tblInd w:w="0" w:type="dxa"/>
        <w:tblLayout w:type="fixed"/>
        <w:tblCellMar>
          <w:top w:w="28" w:type="dxa"/>
          <w:left w:w="28" w:type="dxa"/>
          <w:bottom w:w="28" w:type="dxa"/>
          <w:right w:w="28" w:type="dxa"/>
        </w:tblCellMar>
      </w:tblPr>
      <w:tblGrid>
        <w:gridCol w:w="1452"/>
        <w:gridCol w:w="1261"/>
        <w:gridCol w:w="1253"/>
        <w:gridCol w:w="272"/>
        <w:gridCol w:w="852"/>
        <w:gridCol w:w="130"/>
        <w:gridCol w:w="130"/>
        <w:gridCol w:w="130"/>
        <w:gridCol w:w="130"/>
        <w:gridCol w:w="272"/>
        <w:gridCol w:w="997"/>
        <w:gridCol w:w="130"/>
        <w:gridCol w:w="109"/>
        <w:gridCol w:w="109"/>
        <w:gridCol w:w="109"/>
        <w:gridCol w:w="239"/>
        <w:gridCol w:w="878"/>
        <w:gridCol w:w="115"/>
        <w:gridCol w:w="115"/>
        <w:gridCol w:w="115"/>
        <w:gridCol w:w="115"/>
        <w:gridCol w:w="239"/>
        <w:gridCol w:w="878"/>
        <w:gridCol w:w="175"/>
      </w:tblGrid>
      <w:tr>
        <w:trPr/>
        <w:tc>
          <w:tcPr>
            <w:tcW w:w="145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1254"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Cost of revenue</w:t>
            </w:r>
          </w:p>
        </w:tc>
        <w:tc>
          <w:tcPr>
            <w:tcW w:w="272"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52"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694 </w:t>
            </w:r>
          </w:p>
        </w:tc>
        <w:tc>
          <w:tcPr>
            <w:tcW w:w="130"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9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925 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78"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1,342 </w:t>
            </w:r>
          </w:p>
        </w:tc>
        <w:tc>
          <w:tcPr>
            <w:tcW w:w="115"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7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2,090 </w:t>
            </w:r>
          </w:p>
        </w:tc>
        <w:tc>
          <w:tcPr>
            <w:tcW w:w="1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Research and development </w:t>
            </w:r>
          </w:p>
        </w:tc>
        <w:tc>
          <w:tcPr>
            <w:tcW w:w="112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2,405 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3,307 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1,633 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5,914 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Sales, general and administrative</w:t>
            </w:r>
          </w:p>
        </w:tc>
        <w:tc>
          <w:tcPr>
            <w:tcW w:w="112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6,164 </w:t>
            </w:r>
          </w:p>
        </w:tc>
        <w:tc>
          <w:tcPr>
            <w:tcW w:w="13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7,663 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10,747 </w:t>
            </w:r>
          </w:p>
        </w:tc>
        <w:tc>
          <w:tcPr>
            <w:tcW w:w="115"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13,092 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Total share-based compensation expense</w:t>
            </w:r>
          </w:p>
        </w:tc>
        <w:tc>
          <w:tcPr>
            <w:tcW w:w="272"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52"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9,263 </w:t>
            </w:r>
          </w:p>
        </w:tc>
        <w:tc>
          <w:tcPr>
            <w:tcW w:w="130"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9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11,895 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78"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13,722 </w:t>
            </w:r>
          </w:p>
        </w:tc>
        <w:tc>
          <w:tcPr>
            <w:tcW w:w="115"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21,096 </w:t>
            </w:r>
          </w:p>
        </w:tc>
        <w:tc>
          <w:tcPr>
            <w:tcW w:w="1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12520"/>
                <wp:effectExtent l="0" t="0" r="0" b="0"/>
                <wp:wrapNone/>
                <wp:docPr id="63" name="Frame2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457200" cy="95250"/>
                                                </a:xfrm>
                                                <a:prstGeom prst="rect">
                                                  <a:avLst/>
                                                </a:prstGeom>
                                              </pic:spPr>
                                            </pic:pic>
                                          </a:graphicData>
                                        </a:graphic>
                                      </wp:inline>
                                    </w:drawing>
                                  </w:r>
                                  <w:bookmarkStart w:id="42" w:name="i-22"/>
                                  <w:bookmarkEnd w:id="4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457200" cy="95250"/>
                                          </a:xfrm>
                                          <a:prstGeom prst="rect">
                                            <a:avLst/>
                                          </a:prstGeom>
                                        </pic:spPr>
                                      </pic:pic>
                                    </a:graphicData>
                                  </a:graphic>
                                </wp:inline>
                              </w:drawing>
                            </w:r>
                            <w:bookmarkStart w:id="43" w:name="i-22"/>
                            <w:bookmarkEnd w:id="4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3089" w:type="dxa"/>
        <w:jc w:val="left"/>
        <w:tblInd w:w="0" w:type="dxa"/>
        <w:tblLayout w:type="fixed"/>
        <w:tblCellMar>
          <w:top w:w="28" w:type="dxa"/>
          <w:left w:w="28" w:type="dxa"/>
          <w:bottom w:w="28" w:type="dxa"/>
          <w:right w:w="28" w:type="dxa"/>
        </w:tblCellMar>
      </w:tblPr>
      <w:tblGrid>
        <w:gridCol w:w="988"/>
        <w:gridCol w:w="869"/>
        <w:gridCol w:w="1232"/>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Determining Fair Value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and PSUs granted is the closing price of our shares on the date of grant and is generally recognized as compensation expense on a straight-line basis over the respective vesting period. For shares purchased under our ESPP, we estimate the grant-date fair value, and the resulting share-based compensation expense, using the Black-Scholes option-pricing model. We estimate forfeitures of stock options, RSUs and shares purchased under our ESPP which is utilized to determine the compensation expense to be recorded over the requisite service period.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Term - The expected term used in the Black-Scholes valuation method represents the period that the stock options are expected to be outstanding and is determined based on historical experience of similar awards, considering the contractual terms of the stock options and vesting schedules.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Volatility - The expected volatility used in the Black-Scholes valuation method is derived from the implied volatility related to our share price over the expected term.</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Expected Dividend - We have never paid dividends on our shares and, accordingly, the dividend yield percentage is zero for all periods.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Risk-Free Interest Rate - The risk-free interest rate used in the Black-Scholes valuation method is the implied yield currently available on U.S. Treasury constant maturities issued with a term equivalent to the expected terms.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fair value of employee stock options was estimated using the following assumptions:</w:t>
      </w:r>
    </w:p>
    <w:tbl>
      <w:tblPr>
        <w:tblW w:w="9587" w:type="dxa"/>
        <w:jc w:val="left"/>
        <w:tblInd w:w="0" w:type="dxa"/>
        <w:tblLayout w:type="fixed"/>
        <w:tblCellMar>
          <w:top w:w="28" w:type="dxa"/>
          <w:left w:w="28" w:type="dxa"/>
          <w:bottom w:w="28" w:type="dxa"/>
          <w:right w:w="28" w:type="dxa"/>
        </w:tblCellMar>
      </w:tblPr>
      <w:tblGrid>
        <w:gridCol w:w="1660"/>
        <w:gridCol w:w="1463"/>
        <w:gridCol w:w="1467"/>
        <w:gridCol w:w="109"/>
        <w:gridCol w:w="109"/>
        <w:gridCol w:w="566"/>
        <w:gridCol w:w="566"/>
        <w:gridCol w:w="566"/>
        <w:gridCol w:w="566"/>
        <w:gridCol w:w="569"/>
        <w:gridCol w:w="109"/>
        <w:gridCol w:w="109"/>
        <w:gridCol w:w="109"/>
        <w:gridCol w:w="472"/>
        <w:gridCol w:w="472"/>
        <w:gridCol w:w="675"/>
      </w:tblGrid>
      <w:tr>
        <w:trPr/>
        <w:tc>
          <w:tcPr>
            <w:tcW w:w="16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c>
          <w:tcPr>
            <w:tcW w:w="1946" w:type="dxa"/>
            <w:gridSpan w:val="6"/>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4.9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4.9</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color w:val="1383C6"/>
              </w:rPr>
            </w:pPr>
            <w:r>
              <w:rPr>
                <w:color w:val="1383C6"/>
              </w:rPr>
              <w:t> </w:t>
            </w:r>
            <w:r>
              <w:rPr>
                <w:rFonts w:ascii="Roboto;sans-serif" w:hAnsi="Roboto;sans-serif"/>
                <w:b w:val="false"/>
                <w:color w:val="1383C6"/>
                <w:sz w:val="18"/>
              </w:rPr>
              <w:t>96% — 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95% — 96%</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color w:val="1383C6"/>
              </w:rPr>
            </w:pPr>
            <w:r>
              <w:rPr>
                <w:color w:val="1383C6"/>
              </w:rPr>
              <w:t> </w:t>
            </w:r>
            <w:r>
              <w:rPr>
                <w:rFonts w:ascii="Roboto;sans-serif" w:hAnsi="Roboto;sans-serif"/>
                <w:b w:val="false"/>
                <w:color w:val="1383C6"/>
                <w:sz w:val="18"/>
              </w:rPr>
              <w:t>3.48% — 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3.89% — 4.29%</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color w:val="1383C6"/>
              </w:rPr>
            </w:pPr>
            <w:r>
              <w:rPr>
                <w:color w:val="1383C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$0.90</w:t>
            </w:r>
          </w:p>
        </w:tc>
      </w:tr>
    </w:tbl>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The fair value of shares to be issued under the ESPP was estimated using the following assumptions:</w:t>
      </w:r>
    </w:p>
    <w:tbl>
      <w:tblPr>
        <w:tblW w:w="9588" w:type="dxa"/>
        <w:jc w:val="left"/>
        <w:tblInd w:w="0" w:type="dxa"/>
        <w:tblLayout w:type="fixed"/>
        <w:tblCellMar>
          <w:top w:w="28" w:type="dxa"/>
          <w:left w:w="28" w:type="dxa"/>
          <w:bottom w:w="28" w:type="dxa"/>
          <w:right w:w="28" w:type="dxa"/>
        </w:tblCellMar>
      </w:tblPr>
      <w:tblGrid>
        <w:gridCol w:w="1660"/>
        <w:gridCol w:w="1463"/>
        <w:gridCol w:w="1467"/>
        <w:gridCol w:w="109"/>
        <w:gridCol w:w="109"/>
        <w:gridCol w:w="566"/>
        <w:gridCol w:w="566"/>
        <w:gridCol w:w="566"/>
        <w:gridCol w:w="566"/>
        <w:gridCol w:w="569"/>
        <w:gridCol w:w="109"/>
        <w:gridCol w:w="109"/>
        <w:gridCol w:w="109"/>
        <w:gridCol w:w="471"/>
        <w:gridCol w:w="471"/>
        <w:gridCol w:w="678"/>
      </w:tblGrid>
      <w:tr>
        <w:trPr/>
        <w:tc>
          <w:tcPr>
            <w:tcW w:w="16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c>
          <w:tcPr>
            <w:tcW w:w="1947" w:type="dxa"/>
            <w:gridSpan w:val="6"/>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0.5 —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0.5 — 2.0</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113%</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E7F2F9"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1383C6"/>
                <w:sz w:val="18"/>
              </w:rPr>
            </w:pPr>
            <w:r>
              <w:rPr>
                <w:rFonts w:ascii="Roboto;sans-serif" w:hAnsi="Roboto;sans-serif"/>
                <w:b w:val="false"/>
                <w:color w:val="1383C6"/>
                <w:sz w:val="18"/>
              </w:rPr>
              <w:t>3.47% — 3.68%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3.96% — 4.31%</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color w:val="1383C6"/>
              </w:rPr>
            </w:pPr>
            <w:r>
              <w:rPr>
                <w:color w:val="1383C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1383C6"/>
                <w:sz w:val="18"/>
              </w:rPr>
            </w:pPr>
            <w:r>
              <w:rPr>
                <w:rFonts w:ascii="Roboto;sans-serif" w:hAnsi="Roboto;sans-serif"/>
                <w:b w:val="false"/>
                <w:color w:val="1383C6"/>
                <w:sz w:val="18"/>
              </w:rPr>
              <w:t>$0.90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$0.93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05" w:type="dxa"/>
        <w:jc w:val="left"/>
        <w:tblInd w:w="0" w:type="dxa"/>
        <w:tblLayout w:type="fixed"/>
        <w:tblCellMar>
          <w:top w:w="28" w:type="dxa"/>
          <w:left w:w="28" w:type="dxa"/>
          <w:bottom w:w="28" w:type="dxa"/>
          <w:right w:w="28" w:type="dxa"/>
        </w:tblCellMar>
      </w:tblPr>
      <w:tblGrid>
        <w:gridCol w:w="1283"/>
        <w:gridCol w:w="1128"/>
        <w:gridCol w:w="1594"/>
      </w:tblGrid>
      <w:tr>
        <w:trPr/>
        <w:tc>
          <w:tcPr>
            <w:tcW w:w="12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8. NET LOSS PER SHARE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Basic net loss per share is computed by dividing net loss by the weighted average number of shares of common stock outstanding during the period. Diluted net loss per share is computed using the weighted average number of shares of common stock outstanding and potential shares assuming the dilutive effect of the Notes, using the if-converted method, and outstanding equity awards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12520"/>
                <wp:effectExtent l="0" t="0" r="0" b="0"/>
                <wp:wrapNone/>
                <wp:docPr id="66" name="Frame2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457200" cy="95250"/>
                                                </a:xfrm>
                                                <a:prstGeom prst="rect">
                                                  <a:avLst/>
                                                </a:prstGeom>
                                              </pic:spPr>
                                            </pic:pic>
                                          </a:graphicData>
                                        </a:graphic>
                                      </wp:inline>
                                    </w:drawing>
                                  </w:r>
                                  <w:bookmarkStart w:id="44" w:name="i-23"/>
                                  <w:bookmarkEnd w:id="4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457200" cy="95250"/>
                                          </a:xfrm>
                                          <a:prstGeom prst="rect">
                                            <a:avLst/>
                                          </a:prstGeom>
                                        </pic:spPr>
                                      </pic:pic>
                                    </a:graphicData>
                                  </a:graphic>
                                </wp:inline>
                              </w:drawing>
                            </w:r>
                            <w:bookmarkStart w:id="45" w:name="i-23"/>
                            <w:bookmarkEnd w:id="4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presents the calculation of the basic and diluted net loss per share amounts presented in the condensed consolidated 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1568"/>
        <w:gridCol w:w="1252"/>
        <w:gridCol w:w="1260"/>
        <w:gridCol w:w="236"/>
        <w:gridCol w:w="919"/>
        <w:gridCol w:w="113"/>
        <w:gridCol w:w="113"/>
        <w:gridCol w:w="113"/>
        <w:gridCol w:w="113"/>
        <w:gridCol w:w="236"/>
        <w:gridCol w:w="919"/>
        <w:gridCol w:w="113"/>
        <w:gridCol w:w="109"/>
        <w:gridCol w:w="109"/>
        <w:gridCol w:w="109"/>
        <w:gridCol w:w="226"/>
        <w:gridCol w:w="876"/>
        <w:gridCol w:w="109"/>
        <w:gridCol w:w="109"/>
        <w:gridCol w:w="109"/>
        <w:gridCol w:w="109"/>
        <w:gridCol w:w="226"/>
        <w:gridCol w:w="996"/>
        <w:gridCol w:w="163"/>
      </w:tblGrid>
      <w:tr>
        <w:trPr/>
        <w:tc>
          <w:tcPr>
            <w:tcW w:w="156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 except per share amounts)</w:t>
            </w:r>
          </w:p>
        </w:tc>
        <w:tc>
          <w:tcPr>
            <w:tcW w:w="1268"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Numerator:</w:t>
            </w:r>
          </w:p>
        </w:tc>
        <w:tc>
          <w:tcPr>
            <w:tcW w:w="1268"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Net loss</w:t>
            </w:r>
          </w:p>
        </w:tc>
        <w:tc>
          <w:tcPr>
            <w:tcW w:w="23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19"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(44,741)</w:t>
            </w:r>
          </w:p>
        </w:tc>
        <w:tc>
          <w:tcPr>
            <w:tcW w:w="113"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(41,930)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76"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(53,016)</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(468,005)</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Denominator:</w:t>
            </w:r>
          </w:p>
        </w:tc>
        <w:tc>
          <w:tcPr>
            <w:tcW w:w="126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Basic</w:t>
            </w:r>
          </w:p>
        </w:tc>
        <w:tc>
          <w:tcPr>
            <w:tcW w:w="126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Weighted average shares used in computing basic net loss per share</w:t>
            </w:r>
          </w:p>
        </w:tc>
        <w:tc>
          <w:tcPr>
            <w:tcW w:w="1268"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310,655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300,162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308,250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298,519</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Basic net loss per share</w:t>
            </w:r>
          </w:p>
        </w:tc>
        <w:tc>
          <w:tcPr>
            <w:tcW w:w="23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19"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(0.14)</w:t>
            </w:r>
          </w:p>
        </w:tc>
        <w:tc>
          <w:tcPr>
            <w:tcW w:w="113"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1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(0.14)</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7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(0.17)</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(1.57)</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Diluted</w:t>
            </w:r>
          </w:p>
        </w:tc>
        <w:tc>
          <w:tcPr>
            <w:tcW w:w="126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Weighted average shares used in computing diluted net loss per share</w:t>
            </w:r>
          </w:p>
        </w:tc>
        <w:tc>
          <w:tcPr>
            <w:tcW w:w="1268"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310,655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300,162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308,250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298,519</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Diluted net loss per share</w:t>
            </w:r>
          </w:p>
        </w:tc>
        <w:tc>
          <w:tcPr>
            <w:tcW w:w="23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1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(0.14)</w:t>
            </w:r>
          </w:p>
        </w:tc>
        <w:tc>
          <w:tcPr>
            <w:tcW w:w="113"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(0.14)</w:t>
            </w:r>
          </w:p>
        </w:tc>
        <w:tc>
          <w:tcPr>
            <w:tcW w:w="1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7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(0.17)</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(1.57)</w:t>
            </w:r>
          </w:p>
        </w:tc>
        <w:tc>
          <w:tcPr>
            <w:tcW w:w="1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The following shares issuable upon conversion of the Notes and outstanding equity awards were excluded from the computation of diluted net loss per share for the periods presented because the effect of including such shares would have been antidilutive:</w:t>
      </w:r>
    </w:p>
    <w:tbl>
      <w:tblPr>
        <w:tblW w:w="10205" w:type="dxa"/>
        <w:jc w:val="left"/>
        <w:tblInd w:w="0" w:type="dxa"/>
        <w:tblLayout w:type="fixed"/>
        <w:tblCellMar>
          <w:top w:w="28" w:type="dxa"/>
          <w:left w:w="28" w:type="dxa"/>
          <w:bottom w:w="28" w:type="dxa"/>
          <w:right w:w="28" w:type="dxa"/>
        </w:tblCellMar>
      </w:tblPr>
      <w:tblGrid>
        <w:gridCol w:w="1676"/>
        <w:gridCol w:w="1438"/>
        <w:gridCol w:w="1442"/>
        <w:gridCol w:w="345"/>
        <w:gridCol w:w="335"/>
        <w:gridCol w:w="274"/>
        <w:gridCol w:w="274"/>
        <w:gridCol w:w="274"/>
        <w:gridCol w:w="274"/>
        <w:gridCol w:w="345"/>
        <w:gridCol w:w="335"/>
        <w:gridCol w:w="274"/>
        <w:gridCol w:w="109"/>
        <w:gridCol w:w="109"/>
        <w:gridCol w:w="109"/>
        <w:gridCol w:w="306"/>
        <w:gridCol w:w="306"/>
        <w:gridCol w:w="260"/>
        <w:gridCol w:w="247"/>
        <w:gridCol w:w="247"/>
        <w:gridCol w:w="247"/>
        <w:gridCol w:w="306"/>
        <w:gridCol w:w="306"/>
        <w:gridCol w:w="367"/>
      </w:tblGrid>
      <w:tr>
        <w:trPr/>
        <w:tc>
          <w:tcPr>
            <w:tcW w:w="167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4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954"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4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Shares issuable upon conversion of convertible senior notes</w:t>
            </w:r>
          </w:p>
        </w:tc>
        <w:tc>
          <w:tcPr>
            <w:tcW w:w="954"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61,415</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61,415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61,415</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61,415</w:t>
            </w:r>
          </w:p>
        </w:tc>
      </w:tr>
      <w:tr>
        <w:trPr/>
        <w:tc>
          <w:tcPr>
            <w:tcW w:w="455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455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455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455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4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Equity awards</w:t>
            </w:r>
          </w:p>
        </w:tc>
        <w:tc>
          <w:tcPr>
            <w:tcW w:w="954"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46,451</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44,643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46,451</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44,643</w:t>
            </w:r>
          </w:p>
        </w:tc>
      </w:tr>
    </w:tbl>
    <w:p>
      <w:pPr>
        <w:pStyle w:val="TextBody"/>
        <w:bidi w:val="0"/>
        <w:spacing w:lineRule="auto" w:line="288" w:before="180" w:after="283"/>
        <w:jc w:val="both"/>
        <w:rPr/>
      </w:pPr>
      <w:r>
        <w:rPr>
          <w:rFonts w:ascii="Roboto;sans-serif" w:hAnsi="Roboto;sans-serif"/>
          <w:b w:val="false"/>
          <w:color w:val="000000"/>
          <w:sz w:val="20"/>
        </w:rPr>
        <w:t xml:space="preserve">See </w:t>
      </w:r>
      <w:hyperlink w:anchor="i94297dc2d97e4e34aed4a2bdfd28cba8_52">
        <w:r>
          <w:rPr>
            <w:rStyle w:val="InternetLink"/>
            <w:rFonts w:ascii="Roboto;sans-serif" w:hAnsi="Roboto;sans-serif"/>
            <w:b w:val="false"/>
            <w:i/>
            <w:color w:val="0000FF"/>
            <w:sz w:val="20"/>
            <w:u w:val="single"/>
          </w:rPr>
          <w:t>Note 7. Equity Plans and Share-Based Compensation</w:t>
        </w:r>
      </w:hyperlink>
      <w:r>
        <w:rPr>
          <w:color w:val="000000"/>
        </w:rPr>
        <w:t xml:space="preserve"> </w:t>
      </w:r>
      <w:r>
        <w:rPr>
          <w:rFonts w:ascii="Roboto;sans-serif" w:hAnsi="Roboto;sans-serif"/>
          <w:b w:val="false"/>
          <w:color w:val="000000"/>
          <w:sz w:val="20"/>
        </w:rPr>
        <w:t>for detailed information on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64" w:type="dxa"/>
        <w:jc w:val="left"/>
        <w:tblInd w:w="0" w:type="dxa"/>
        <w:tblLayout w:type="fixed"/>
        <w:tblCellMar>
          <w:top w:w="28" w:type="dxa"/>
          <w:left w:w="28" w:type="dxa"/>
          <w:bottom w:w="28" w:type="dxa"/>
          <w:right w:w="28" w:type="dxa"/>
        </w:tblCellMar>
      </w:tblPr>
      <w:tblGrid>
        <w:gridCol w:w="2166"/>
        <w:gridCol w:w="1901"/>
        <w:gridCol w:w="2697"/>
      </w:tblGrid>
      <w:tr>
        <w:trPr/>
        <w:tc>
          <w:tcPr>
            <w:tcW w:w="2166"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9. SEGMENT AND GEOGRAPHIC INFORMATION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organized as, and operate in, one reportable segment: the development, manufacturing, and marketing of integrated platforms for genetic analysis. Our chief operating decision-maker ("CODM") is our Chief Executive Officer. Our CODM reviews financial information presented on a consolidated basis for the purposes of evaluating financial performance and allocating resources.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a regular basis, our CODM reviews: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total revenues by category</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total expenses and expenses by function, including sales and marketing and general and administrative, which include depreciation and share-based compensation</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net loss per share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assets are primarily located in the United States of America and not allocated to any specific region, and we do not measure the performance of geographic regions based upon asset-based metrics. Therefore, geographic information is presented only for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12520"/>
                <wp:effectExtent l="0" t="0" r="0" b="0"/>
                <wp:wrapNone/>
                <wp:docPr id="69" name="Frame2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457200" cy="95250"/>
                                                </a:xfrm>
                                                <a:prstGeom prst="rect">
                                                  <a:avLst/>
                                                </a:prstGeom>
                                              </pic:spPr>
                                            </pic:pic>
                                          </a:graphicData>
                                        </a:graphic>
                                      </wp:inline>
                                    </w:drawing>
                                  </w:r>
                                  <w:bookmarkStart w:id="46" w:name="i-24"/>
                                  <w:bookmarkEnd w:id="4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457200" cy="95250"/>
                                          </a:xfrm>
                                          <a:prstGeom prst="rect">
                                            <a:avLst/>
                                          </a:prstGeom>
                                        </pic:spPr>
                                      </pic:pic>
                                    </a:graphicData>
                                  </a:graphic>
                                </wp:inline>
                              </w:drawing>
                            </w:r>
                            <w:bookmarkStart w:id="47" w:name="i-24"/>
                            <w:bookmarkEnd w:id="4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segment profit or loss, including significant segment expenses is as follows:</w:t>
      </w:r>
    </w:p>
    <w:tbl>
      <w:tblPr>
        <w:tblW w:w="10205" w:type="dxa"/>
        <w:jc w:val="left"/>
        <w:tblInd w:w="0" w:type="dxa"/>
        <w:tblLayout w:type="fixed"/>
        <w:tblCellMar>
          <w:top w:w="28" w:type="dxa"/>
          <w:left w:w="28" w:type="dxa"/>
          <w:bottom w:w="28" w:type="dxa"/>
          <w:right w:w="28" w:type="dxa"/>
        </w:tblCellMar>
      </w:tblPr>
      <w:tblGrid>
        <w:gridCol w:w="1471"/>
        <w:gridCol w:w="1246"/>
        <w:gridCol w:w="1217"/>
        <w:gridCol w:w="242"/>
        <w:gridCol w:w="960"/>
        <w:gridCol w:w="116"/>
        <w:gridCol w:w="116"/>
        <w:gridCol w:w="116"/>
        <w:gridCol w:w="116"/>
        <w:gridCol w:w="242"/>
        <w:gridCol w:w="960"/>
        <w:gridCol w:w="116"/>
        <w:gridCol w:w="109"/>
        <w:gridCol w:w="109"/>
        <w:gridCol w:w="109"/>
        <w:gridCol w:w="226"/>
        <w:gridCol w:w="895"/>
        <w:gridCol w:w="109"/>
        <w:gridCol w:w="109"/>
        <w:gridCol w:w="109"/>
        <w:gridCol w:w="109"/>
        <w:gridCol w:w="226"/>
        <w:gridCol w:w="1015"/>
        <w:gridCol w:w="162"/>
      </w:tblGrid>
      <w:tr>
        <w:trPr/>
        <w:tc>
          <w:tcPr>
            <w:tcW w:w="14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1318"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Total revenue</w:t>
            </w:r>
          </w:p>
        </w:tc>
        <w:tc>
          <w:tcPr>
            <w:tcW w:w="242"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9"/>
              </w:rPr>
            </w:pPr>
            <w:r>
              <w:rPr>
                <w:rFonts w:ascii="Roboto;sans-serif" w:hAnsi="Roboto;sans-serif"/>
                <w:b w:val="false"/>
                <w:color w:val="1383C6"/>
                <w:sz w:val="19"/>
              </w:rPr>
              <w:t>$</w:t>
            </w:r>
          </w:p>
        </w:tc>
        <w:tc>
          <w:tcPr>
            <w:tcW w:w="960"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39,007 </w:t>
            </w:r>
          </w:p>
        </w:tc>
        <w:tc>
          <w:tcPr>
            <w:tcW w:w="116"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w:t>
            </w:r>
          </w:p>
        </w:tc>
        <w:tc>
          <w:tcPr>
            <w:tcW w:w="96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39,766 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9"/>
              </w:rPr>
            </w:pPr>
            <w:r>
              <w:rPr>
                <w:rFonts w:ascii="Roboto;sans-serif" w:hAnsi="Roboto;sans-serif"/>
                <w:b w:val="false"/>
                <w:color w:val="1383C6"/>
                <w:sz w:val="19"/>
              </w:rPr>
              <w:t>$</w:t>
            </w:r>
          </w:p>
        </w:tc>
        <w:tc>
          <w:tcPr>
            <w:tcW w:w="895"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76,185 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w:t>
            </w:r>
          </w:p>
        </w:tc>
        <w:tc>
          <w:tcPr>
            <w:tcW w:w="101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76,919 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Less:</w:t>
            </w:r>
          </w:p>
        </w:tc>
        <w:tc>
          <w:tcPr>
            <w:tcW w:w="1318"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Cost of revenue</w:t>
            </w:r>
          </w:p>
        </w:tc>
        <w:tc>
          <w:tcPr>
            <w:tcW w:w="120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26,369 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25,082 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50,706 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63,606 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Research and development</w:t>
            </w:r>
          </w:p>
        </w:tc>
        <w:tc>
          <w:tcPr>
            <w:tcW w:w="120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23,022 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22,529 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42,630 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51,582 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Sales and marketing</w:t>
            </w:r>
          </w:p>
        </w:tc>
        <w:tc>
          <w:tcPr>
            <w:tcW w:w="120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18,492 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19,516 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34,270 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39,592 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General and administrative</w:t>
            </w:r>
          </w:p>
        </w:tc>
        <w:tc>
          <w:tcPr>
            <w:tcW w:w="120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14,901 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16,659 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30,276 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36,751 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Impairment charges</w:t>
            </w:r>
          </w:p>
        </w:tc>
        <w:tc>
          <w:tcPr>
            <w:tcW w:w="120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15,000 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Settlement charges</w:t>
            </w:r>
          </w:p>
        </w:tc>
        <w:tc>
          <w:tcPr>
            <w:tcW w:w="120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15,400 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Gain on disposal of assets</w:t>
            </w:r>
          </w:p>
        </w:tc>
        <w:tc>
          <w:tcPr>
            <w:tcW w:w="120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(45,796)</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Change in fair value of contingent consideration</w:t>
            </w:r>
          </w:p>
        </w:tc>
        <w:tc>
          <w:tcPr>
            <w:tcW w:w="120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(18,700)</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Amortization of acquired intangible assets</w:t>
            </w:r>
          </w:p>
        </w:tc>
        <w:tc>
          <w:tcPr>
            <w:tcW w:w="120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833 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833 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1,666 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362,875 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Operating loss</w:t>
            </w:r>
          </w:p>
        </w:tc>
        <w:tc>
          <w:tcPr>
            <w:tcW w:w="1202"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(44,610)</w:t>
            </w:r>
          </w:p>
        </w:tc>
        <w:tc>
          <w:tcPr>
            <w:tcW w:w="116"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(44,853)</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(52,967)</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(473,787)</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Other (expense) income, net</w:t>
            </w:r>
          </w:p>
        </w:tc>
        <w:tc>
          <w:tcPr>
            <w:tcW w:w="120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(73)</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2,958 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193 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5,515 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Loss before income taxes</w:t>
            </w:r>
          </w:p>
        </w:tc>
        <w:tc>
          <w:tcPr>
            <w:tcW w:w="1202"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(44,683)</w:t>
            </w:r>
          </w:p>
        </w:tc>
        <w:tc>
          <w:tcPr>
            <w:tcW w:w="116"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(41,895)</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(52,774)</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(468,272)</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Income tax provision (benefit)</w:t>
            </w:r>
          </w:p>
        </w:tc>
        <w:tc>
          <w:tcPr>
            <w:tcW w:w="120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58 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35 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242 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(267)</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Net loss</w:t>
            </w:r>
          </w:p>
        </w:tc>
        <w:tc>
          <w:tcPr>
            <w:tcW w:w="242"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9"/>
              </w:rPr>
            </w:pPr>
            <w:r>
              <w:rPr>
                <w:rFonts w:ascii="Roboto;sans-serif" w:hAnsi="Roboto;sans-serif"/>
                <w:b w:val="false"/>
                <w:color w:val="1383C6"/>
                <w:sz w:val="19"/>
              </w:rPr>
              <w:t>$</w:t>
            </w:r>
          </w:p>
        </w:tc>
        <w:tc>
          <w:tcPr>
            <w:tcW w:w="960"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(44,741)</w:t>
            </w:r>
          </w:p>
        </w:tc>
        <w:tc>
          <w:tcPr>
            <w:tcW w:w="11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w:t>
            </w:r>
          </w:p>
        </w:tc>
        <w:tc>
          <w:tcPr>
            <w:tcW w:w="9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(41,930)</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9"/>
              </w:rPr>
            </w:pPr>
            <w:r>
              <w:rPr>
                <w:rFonts w:ascii="Roboto;sans-serif" w:hAnsi="Roboto;sans-serif"/>
                <w:b w:val="false"/>
                <w:color w:val="1383C6"/>
                <w:sz w:val="19"/>
              </w:rPr>
              <w:t>$</w:t>
            </w:r>
          </w:p>
        </w:tc>
        <w:tc>
          <w:tcPr>
            <w:tcW w:w="895"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9"/>
              </w:rPr>
            </w:pPr>
            <w:r>
              <w:rPr>
                <w:rFonts w:ascii="Roboto;sans-serif" w:hAnsi="Roboto;sans-serif"/>
                <w:b w:val="false"/>
                <w:color w:val="1383C6"/>
                <w:sz w:val="19"/>
              </w:rPr>
              <w:t>(53,016)</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9"/>
              </w:rPr>
            </w:pPr>
            <w:r>
              <w:rPr>
                <w:rFonts w:ascii="Roboto;sans-serif" w:hAnsi="Roboto;sans-serif"/>
                <w:b w:val="false"/>
                <w:color w:val="000000"/>
                <w:sz w:val="19"/>
              </w:rPr>
              <w:t>$</w:t>
            </w:r>
          </w:p>
        </w:tc>
        <w:tc>
          <w:tcPr>
            <w:tcW w:w="10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9"/>
              </w:rPr>
            </w:pPr>
            <w:r>
              <w:rPr>
                <w:rFonts w:ascii="Roboto;sans-serif" w:hAnsi="Roboto;sans-serif"/>
                <w:b w:val="false"/>
                <w:color w:val="000000"/>
                <w:sz w:val="19"/>
              </w:rPr>
              <w:t>(468,005)</w:t>
            </w:r>
          </w:p>
        </w:tc>
        <w:tc>
          <w:tcPr>
            <w:tcW w:w="1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20" w:after="283"/>
        <w:jc w:val="both"/>
        <w:rPr>
          <w:rFonts w:ascii="Roboto;sans-serif" w:hAnsi="Roboto;sans-serif"/>
          <w:b w:val="false"/>
          <w:color w:val="000000"/>
          <w:sz w:val="20"/>
        </w:rPr>
      </w:pPr>
      <w:r>
        <w:rPr>
          <w:rFonts w:ascii="Roboto;sans-serif" w:hAnsi="Roboto;sans-serif"/>
          <w:b w:val="false"/>
          <w:color w:val="000000"/>
          <w:sz w:val="20"/>
        </w:rPr>
        <w:t>A summary of our revenue by geographic location is as follows:</w:t>
      </w:r>
    </w:p>
    <w:tbl>
      <w:tblPr>
        <w:tblW w:w="9391" w:type="dxa"/>
        <w:jc w:val="left"/>
        <w:tblInd w:w="0" w:type="dxa"/>
        <w:tblLayout w:type="fixed"/>
        <w:tblCellMar>
          <w:top w:w="28" w:type="dxa"/>
          <w:left w:w="28" w:type="dxa"/>
          <w:bottom w:w="28" w:type="dxa"/>
          <w:right w:w="28" w:type="dxa"/>
        </w:tblCellMar>
      </w:tblPr>
      <w:tblGrid>
        <w:gridCol w:w="1119"/>
        <w:gridCol w:w="983"/>
        <w:gridCol w:w="987"/>
        <w:gridCol w:w="264"/>
        <w:gridCol w:w="968"/>
        <w:gridCol w:w="127"/>
        <w:gridCol w:w="127"/>
        <w:gridCol w:w="127"/>
        <w:gridCol w:w="127"/>
        <w:gridCol w:w="264"/>
        <w:gridCol w:w="968"/>
        <w:gridCol w:w="127"/>
        <w:gridCol w:w="109"/>
        <w:gridCol w:w="109"/>
        <w:gridCol w:w="109"/>
        <w:gridCol w:w="241"/>
        <w:gridCol w:w="883"/>
        <w:gridCol w:w="116"/>
        <w:gridCol w:w="116"/>
        <w:gridCol w:w="116"/>
        <w:gridCol w:w="116"/>
        <w:gridCol w:w="241"/>
        <w:gridCol w:w="883"/>
        <w:gridCol w:w="16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1359"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Americas</w:t>
            </w:r>
          </w:p>
        </w:tc>
        <w:tc>
          <w:tcPr>
            <w:tcW w:w="264"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68"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17,624 </w:t>
            </w:r>
          </w:p>
        </w:tc>
        <w:tc>
          <w:tcPr>
            <w:tcW w:w="127"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6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17,687 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83"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34,309 </w:t>
            </w:r>
          </w:p>
        </w:tc>
        <w:tc>
          <w:tcPr>
            <w:tcW w:w="116"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8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33,990 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Europe, Middle East and Africa</w:t>
            </w:r>
          </w:p>
        </w:tc>
        <w:tc>
          <w:tcPr>
            <w:tcW w:w="12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14,426 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9,467 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25,195 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18,707 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Asia-Pacific</w:t>
            </w:r>
          </w:p>
        </w:tc>
        <w:tc>
          <w:tcPr>
            <w:tcW w:w="12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6,957 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12,612 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16,681 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24,222 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Total revenue</w:t>
            </w:r>
          </w:p>
        </w:tc>
        <w:tc>
          <w:tcPr>
            <w:tcW w:w="264"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68"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39,007 </w:t>
            </w:r>
          </w:p>
        </w:tc>
        <w:tc>
          <w:tcPr>
            <w:tcW w:w="127"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39,766 </w:t>
            </w:r>
          </w:p>
        </w:tc>
        <w:tc>
          <w:tcPr>
            <w:tcW w:w="1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83"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76,185 </w:t>
            </w:r>
          </w:p>
        </w:tc>
        <w:tc>
          <w:tcPr>
            <w:tcW w:w="11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76,919 </w:t>
            </w:r>
          </w:p>
        </w:tc>
        <w:tc>
          <w:tcPr>
            <w:tcW w:w="1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20" w:after="283"/>
        <w:jc w:val="both"/>
        <w:rPr>
          <w:rFonts w:ascii="Roboto;sans-serif" w:hAnsi="Roboto;sans-serif"/>
          <w:b w:val="false"/>
          <w:color w:val="000000"/>
          <w:sz w:val="20"/>
        </w:rPr>
      </w:pPr>
      <w:r>
        <w:rPr>
          <w:rFonts w:ascii="Roboto;sans-serif" w:hAnsi="Roboto;sans-serif"/>
          <w:b w:val="false"/>
          <w:color w:val="000000"/>
          <w:sz w:val="20"/>
        </w:rPr>
        <w:t xml:space="preserve">A summary of our revenue by category is as follows: </w:t>
      </w:r>
    </w:p>
    <w:tbl>
      <w:tblPr>
        <w:tblW w:w="8986" w:type="dxa"/>
        <w:jc w:val="left"/>
        <w:tblInd w:w="0" w:type="dxa"/>
        <w:tblLayout w:type="fixed"/>
        <w:tblCellMar>
          <w:top w:w="28" w:type="dxa"/>
          <w:left w:w="28" w:type="dxa"/>
          <w:bottom w:w="28" w:type="dxa"/>
          <w:right w:w="28" w:type="dxa"/>
        </w:tblCellMar>
      </w:tblPr>
      <w:tblGrid>
        <w:gridCol w:w="972"/>
        <w:gridCol w:w="854"/>
        <w:gridCol w:w="858"/>
        <w:gridCol w:w="264"/>
        <w:gridCol w:w="968"/>
        <w:gridCol w:w="127"/>
        <w:gridCol w:w="127"/>
        <w:gridCol w:w="127"/>
        <w:gridCol w:w="127"/>
        <w:gridCol w:w="264"/>
        <w:gridCol w:w="968"/>
        <w:gridCol w:w="127"/>
        <w:gridCol w:w="109"/>
        <w:gridCol w:w="109"/>
        <w:gridCol w:w="109"/>
        <w:gridCol w:w="241"/>
        <w:gridCol w:w="883"/>
        <w:gridCol w:w="116"/>
        <w:gridCol w:w="116"/>
        <w:gridCol w:w="116"/>
        <w:gridCol w:w="116"/>
        <w:gridCol w:w="241"/>
        <w:gridCol w:w="883"/>
        <w:gridCol w:w="16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1359"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Instrument revenue</w:t>
            </w:r>
          </w:p>
        </w:tc>
        <w:tc>
          <w:tcPr>
            <w:tcW w:w="264"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68"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12,839 </w:t>
            </w:r>
          </w:p>
        </w:tc>
        <w:tc>
          <w:tcPr>
            <w:tcW w:w="127"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6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14,150 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83"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22,560 </w:t>
            </w:r>
          </w:p>
        </w:tc>
        <w:tc>
          <w:tcPr>
            <w:tcW w:w="116"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8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25,166 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Consumable revenue</w:t>
            </w:r>
          </w:p>
        </w:tc>
        <w:tc>
          <w:tcPr>
            <w:tcW w:w="12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20,111 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18,933 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41,924 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39,030 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Product revenue</w:t>
            </w:r>
          </w:p>
        </w:tc>
        <w:tc>
          <w:tcPr>
            <w:tcW w:w="1232"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32,950 </w:t>
            </w:r>
          </w:p>
        </w:tc>
        <w:tc>
          <w:tcPr>
            <w:tcW w:w="127"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33,083 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64,484 </w:t>
            </w:r>
          </w:p>
        </w:tc>
        <w:tc>
          <w:tcPr>
            <w:tcW w:w="116"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64,196 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Service and other revenue</w:t>
            </w:r>
          </w:p>
        </w:tc>
        <w:tc>
          <w:tcPr>
            <w:tcW w:w="1232"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6,057 </w:t>
            </w:r>
          </w:p>
        </w:tc>
        <w:tc>
          <w:tcPr>
            <w:tcW w:w="127"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6,683 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11,701 </w:t>
            </w:r>
          </w:p>
        </w:tc>
        <w:tc>
          <w:tcPr>
            <w:tcW w:w="116"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12,723 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Total revenue</w:t>
            </w:r>
          </w:p>
        </w:tc>
        <w:tc>
          <w:tcPr>
            <w:tcW w:w="264"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68"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39,007 </w:t>
            </w:r>
          </w:p>
        </w:tc>
        <w:tc>
          <w:tcPr>
            <w:tcW w:w="127"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39,766 </w:t>
            </w:r>
          </w:p>
        </w:tc>
        <w:tc>
          <w:tcPr>
            <w:tcW w:w="1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883"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76,185 </w:t>
            </w:r>
          </w:p>
        </w:tc>
        <w:tc>
          <w:tcPr>
            <w:tcW w:w="11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76,919 </w:t>
            </w:r>
          </w:p>
        </w:tc>
        <w:tc>
          <w:tcPr>
            <w:tcW w:w="1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12520"/>
                <wp:effectExtent l="0" t="0" r="0" b="0"/>
                <wp:wrapNone/>
                <wp:docPr id="72" name="Frame2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457200" cy="95250"/>
                                                </a:xfrm>
                                                <a:prstGeom prst="rect">
                                                  <a:avLst/>
                                                </a:prstGeom>
                                              </pic:spPr>
                                            </pic:pic>
                                          </a:graphicData>
                                        </a:graphic>
                                      </wp:inline>
                                    </w:drawing>
                                  </w:r>
                                  <w:bookmarkStart w:id="48" w:name="i-25"/>
                                  <w:bookmarkEnd w:id="4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457200" cy="95250"/>
                                          </a:xfrm>
                                          <a:prstGeom prst="rect">
                                            <a:avLst/>
                                          </a:prstGeom>
                                        </pic:spPr>
                                      </pic:pic>
                                    </a:graphicData>
                                  </a:graphic>
                                </wp:inline>
                              </w:drawing>
                            </w:r>
                            <w:bookmarkStart w:id="49" w:name="i-25"/>
                            <w:bookmarkEnd w:id="4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4155" w:type="dxa"/>
        <w:jc w:val="left"/>
        <w:tblInd w:w="0" w:type="dxa"/>
        <w:tblLayout w:type="fixed"/>
        <w:tblCellMar>
          <w:top w:w="28" w:type="dxa"/>
          <w:left w:w="28" w:type="dxa"/>
          <w:bottom w:w="28" w:type="dxa"/>
          <w:right w:w="28" w:type="dxa"/>
        </w:tblCellMar>
      </w:tblPr>
      <w:tblGrid>
        <w:gridCol w:w="1331"/>
        <w:gridCol w:w="1169"/>
        <w:gridCol w:w="1655"/>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1383C6" w:val="clear"/>
            <w:tcMar>
              <w:top w:w="0" w:type="dxa"/>
              <w:left w:w="0" w:type="dxa"/>
              <w:bottom w:w="0" w:type="dxa"/>
              <w:right w:w="0" w:type="dxa"/>
            </w:tcMar>
            <w:vAlign w:val="center"/>
          </w:tcPr>
          <w:p>
            <w:pPr>
              <w:pStyle w:val="TableContents"/>
              <w:bidi w:val="0"/>
              <w:spacing w:lineRule="auto" w:line="288" w:before="120" w:after="283"/>
              <w:ind w:left="0" w:right="0" w:hanging="990"/>
              <w:jc w:val="both"/>
              <w:rPr>
                <w:rFonts w:ascii="Roboto;sans-serif" w:hAnsi="Roboto;sans-serif"/>
                <w:b/>
                <w:color w:val="FFFFFF"/>
                <w:sz w:val="22"/>
              </w:rPr>
            </w:pPr>
            <w:r>
              <w:rPr>
                <w:rFonts w:ascii="Roboto;sans-serif" w:hAnsi="Roboto;sans-serif"/>
                <w:b/>
                <w:color w:val="FFFFFF"/>
                <w:sz w:val="22"/>
              </w:rPr>
              <w:t>NOTE 10. SUBSEQUENT EVENTS</w:t>
            </w:r>
          </w:p>
        </w:tc>
      </w:tr>
    </w:tbl>
    <w:tbl>
      <w:tblPr>
        <w:tblW w:w="1921" w:type="dxa"/>
        <w:jc w:val="left"/>
        <w:tblInd w:w="0" w:type="dxa"/>
        <w:tblLayout w:type="fixed"/>
        <w:tblCellMar>
          <w:top w:w="28" w:type="dxa"/>
          <w:left w:w="28" w:type="dxa"/>
          <w:bottom w:w="28" w:type="dxa"/>
          <w:right w:w="28" w:type="dxa"/>
        </w:tblCellMar>
      </w:tblPr>
      <w:tblGrid>
        <w:gridCol w:w="615"/>
        <w:gridCol w:w="541"/>
        <w:gridCol w:w="765"/>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Restructuring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July 30, 2026, our Board of Directors approved a restructuring plan to continue to better align our organizational structure and resources with our strategic initiatives. The restructuring includes operating expense reductions and a reduction in force (the “Reduction in Force”). These restructuring actions are expected to result in a workforce reduction of approximately 40 employees, or approximately 8% of our workforce, as we align our organizational structure with our strategic priorities.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that we will incur aggregate pre-tax charges of approximately $2.0 million in connection with the Reduction in Force, primarily consisting of severance payments, employee benefits, outplacement services and related costs. We expect that the Reduction in Force will be completed and that these charges will be incurred in the third quarter of 2026.</w:t>
      </w:r>
    </w:p>
    <w:tbl>
      <w:tblPr>
        <w:tblW w:w="4245" w:type="dxa"/>
        <w:jc w:val="left"/>
        <w:tblInd w:w="0" w:type="dxa"/>
        <w:tblLayout w:type="fixed"/>
        <w:tblCellMar>
          <w:top w:w="28" w:type="dxa"/>
          <w:left w:w="28" w:type="dxa"/>
          <w:bottom w:w="28" w:type="dxa"/>
          <w:right w:w="28" w:type="dxa"/>
        </w:tblCellMar>
      </w:tblPr>
      <w:tblGrid>
        <w:gridCol w:w="1358"/>
        <w:gridCol w:w="1194"/>
        <w:gridCol w:w="1693"/>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Appointments and Resignations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Board of Directors appointed Mark Van Oene as President and Chief Executive Officer and as a member of our Board of Directors, effective August 5, 2026. Mr. Van Oene succeeds Christian Henry, who stepped down as our President and Chief Executive Officer effective August 5, 2026. Mr. Henry will continue to serve as a member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12520"/>
                <wp:effectExtent l="0" t="0" r="0" b="0"/>
                <wp:wrapNone/>
                <wp:docPr id="75" name="Frame2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457200" cy="95250"/>
                                                </a:xfrm>
                                                <a:prstGeom prst="rect">
                                                  <a:avLst/>
                                                </a:prstGeom>
                                              </pic:spPr>
                                            </pic:pic>
                                          </a:graphicData>
                                        </a:graphic>
                                      </wp:inline>
                                    </w:drawing>
                                  </w:r>
                                  <w:bookmarkStart w:id="50" w:name="i-26"/>
                                  <w:bookmarkEnd w:id="5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457200" cy="95250"/>
                                          </a:xfrm>
                                          <a:prstGeom prst="rect">
                                            <a:avLst/>
                                          </a:prstGeom>
                                        </pic:spPr>
                                      </pic:pic>
                                    </a:graphicData>
                                  </a:graphic>
                                </wp:inline>
                              </w:drawing>
                            </w:r>
                            <w:bookmarkStart w:id="51" w:name="i-26"/>
                            <w:bookmarkEnd w:id="5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52"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2. MANAGEMENT’S DISCUSSION AND ANALYSIS OF FINANCIAL CONDITION AND RESULTS OF OPERATIONS</w:t>
            </w:r>
          </w:p>
        </w:tc>
      </w:tr>
    </w:tbl>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You should read the following discussion and analysis of our financial condition and results of operations together with (i) our unaudited condensed consolidated financial statements and related notes that are included elsewhere in this Quarterly Report on Form 10-Q and (ii) our 2025 Annual Report filed with the U.S. Securities and Exchange Commission, or the SEC, on February 25, 2026. This discussion contains forward-looking statements based upon current plans, expectations and beliefs that involve risks and uncertainties.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Management's Discussion and Analysis ("MD&amp;A"), we presume that readers have access to and have read the MD&amp;A in our 2025 Annual Report on Form 10-K, pursuant to Instruction 2 to paragraph (b) of Item 303 of Regulation S-K.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MD&amp;A is organized into the following sections: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Overview and Outlook </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 xml:space="preserve">Results of Operations </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 xml:space="preserve">Liquidity and Capital Resources </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Critical Accounting Policies and Estimates</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Recent Accounting Pronouncements</w:t>
      </w:r>
    </w:p>
    <w:p>
      <w:pPr>
        <w:pStyle w:val="TextBody"/>
        <w:bidi w:val="0"/>
        <w:spacing w:lineRule="auto" w:line="288" w:before="60" w:after="283"/>
        <w:ind w:left="0" w:right="0" w:hanging="360"/>
        <w:jc w:val="both"/>
        <w:rPr/>
      </w:pPr>
      <w:r>
        <w:rPr>
          <w:color w:val="DF1995"/>
        </w:rPr>
        <w:t>•</w:t>
      </w:r>
      <w:r>
        <w:rPr>
          <w:rFonts w:ascii="Roboto;sans-serif" w:hAnsi="Roboto;sans-serif"/>
          <w:b w:val="false"/>
          <w:color w:val="000000"/>
          <w:sz w:val="20"/>
        </w:rPr>
        <w:t>Off 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94" w:type="dxa"/>
        <w:jc w:val="left"/>
        <w:tblInd w:w="0" w:type="dxa"/>
        <w:tblLayout w:type="fixed"/>
        <w:tblCellMar>
          <w:top w:w="28" w:type="dxa"/>
          <w:left w:w="28" w:type="dxa"/>
          <w:bottom w:w="28" w:type="dxa"/>
          <w:right w:w="28" w:type="dxa"/>
        </w:tblCellMar>
      </w:tblPr>
      <w:tblGrid>
        <w:gridCol w:w="1119"/>
        <w:gridCol w:w="980"/>
        <w:gridCol w:w="1395"/>
      </w:tblGrid>
      <w:tr>
        <w:trPr/>
        <w:tc>
          <w:tcPr>
            <w:tcW w:w="111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OVERVIEW AND OUTLOOK</w:t>
            </w:r>
          </w:p>
        </w:tc>
      </w:tr>
    </w:tbl>
    <w:tbl>
      <w:tblPr>
        <w:tblW w:w="1844" w:type="dxa"/>
        <w:jc w:val="left"/>
        <w:tblInd w:w="0" w:type="dxa"/>
        <w:tblLayout w:type="fixed"/>
        <w:tblCellMar>
          <w:top w:w="28" w:type="dxa"/>
          <w:left w:w="28" w:type="dxa"/>
          <w:bottom w:w="28" w:type="dxa"/>
          <w:right w:w="28" w:type="dxa"/>
        </w:tblCellMar>
      </w:tblPr>
      <w:tblGrid>
        <w:gridCol w:w="590"/>
        <w:gridCol w:w="519"/>
        <w:gridCol w:w="735"/>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About PacBio</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a premier life science technology company that designs, develops, and manufactures advanced sequencing solutions that enable scientists and clinical researchers to improve their understanding of the genome and ultimately, resolve genetically complex problems.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and technology, which primarily consist of our HiFi long-read sequencing systems, address a broad set of applications including human germline sequencing, plant and animal sciences, infectious disease and microbiology, oncology, and other emerging applications.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focus is on creating some of the world's most advanced sequencing systems to provide our customers with the most complete and accurate view of genomes, transcriptomes, and epigenomes.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112520"/>
                <wp:effectExtent l="0" t="0" r="0" b="0"/>
                <wp:wrapNone/>
                <wp:docPr id="78" name="Frame2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457200" cy="95250"/>
                                                </a:xfrm>
                                                <a:prstGeom prst="rect">
                                                  <a:avLst/>
                                                </a:prstGeom>
                                              </pic:spPr>
                                            </pic:pic>
                                          </a:graphicData>
                                        </a:graphic>
                                      </wp:inline>
                                    </w:drawing>
                                  </w:r>
                                  <w:bookmarkStart w:id="52" w:name="i-27"/>
                                  <w:bookmarkEnd w:id="5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457200" cy="95250"/>
                                          </a:xfrm>
                                          <a:prstGeom prst="rect">
                                            <a:avLst/>
                                          </a:prstGeom>
                                        </pic:spPr>
                                      </pic:pic>
                                    </a:graphicData>
                                  </a:graphic>
                                </wp:inline>
                              </w:drawing>
                            </w:r>
                            <w:bookmarkStart w:id="53" w:name="i-27"/>
                            <w:bookmarkEnd w:id="5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2729" w:type="dxa"/>
        <w:jc w:val="left"/>
        <w:tblInd w:w="0" w:type="dxa"/>
        <w:tblLayout w:type="fixed"/>
        <w:tblCellMar>
          <w:top w:w="28" w:type="dxa"/>
          <w:left w:w="28" w:type="dxa"/>
          <w:bottom w:w="28" w:type="dxa"/>
          <w:right w:w="28" w:type="dxa"/>
        </w:tblCellMar>
      </w:tblPr>
      <w:tblGrid>
        <w:gridCol w:w="873"/>
        <w:gridCol w:w="767"/>
        <w:gridCol w:w="1089"/>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Strategic Objectives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2026 main objectives are to grow revenue and expand gross margins through the following five activities. These initiatives are designed to improve the economics of HiFi sequencing, expand adoption across clinical and research markets, and drive durable growth across our platform portfolio.</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Accelerate samples onto the Revio platform through SPRQ-Nx chemistry and application kits.</w:t>
      </w:r>
      <w:r>
        <w:rPr>
          <w:color w:val="000000"/>
        </w:rPr>
        <w:t xml:space="preserve"> </w:t>
      </w:r>
      <w:r>
        <w:rPr>
          <w:rFonts w:ascii="Roboto;sans-serif" w:hAnsi="Roboto;sans-serif"/>
          <w:b w:val="false"/>
          <w:color w:val="000000"/>
          <w:sz w:val="20"/>
        </w:rPr>
        <w:t xml:space="preserve">SPRQ-Nx is designed to lower the cost of sequencing and improve sequencing efficiency, which we believe will support higher throughput, increased sample volumes, and broader adoption of HiFi sequencing in large-scale research studies and clinical applications.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 xml:space="preserve">Expand the capabilities of the Vega benchtop platform to broaden our market reach. </w:t>
      </w:r>
      <w:r>
        <w:rPr>
          <w:rFonts w:ascii="Roboto;sans-serif" w:hAnsi="Roboto;sans-serif"/>
          <w:b w:val="false"/>
          <w:color w:val="000000"/>
          <w:sz w:val="20"/>
        </w:rPr>
        <w:t xml:space="preserve">We plan to enable faster run times and enhanced user experience through software improvements, which are intended to support broader adoption and improve the overall economics of HiFi sequencing.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Progress our clinical strategy to improve outcomes and create durability.</w:t>
      </w:r>
      <w:r>
        <w:rPr>
          <w:color w:val="000000"/>
        </w:rPr>
        <w:t xml:space="preserve"> </w:t>
      </w:r>
      <w:r>
        <w:rPr>
          <w:rFonts w:ascii="Roboto;sans-serif" w:hAnsi="Roboto;sans-serif"/>
          <w:b w:val="false"/>
          <w:color w:val="000000"/>
          <w:sz w:val="20"/>
        </w:rPr>
        <w:t>Revio is increasingly being adopted in laboratory-developed test ("LDT") and clinical research settings, supporting consolidation of multiple tests, addressing complex genetic challenges, and driving sustained utilization of HiFi sequencing. This includes in the Americas, where we continue to aggressively shift our strategy to clinical and commercial accounts where we believe the funding dynamics are more favorable and HiFi sequencing can provide meaningful improvements in diagnostic yield, particularly in rare disease cohorts, resolution of previously unsolved Mendelian disease cases, characterization of repeat expansion disorders, and structural variant detection, among others, relative to currently known short-read sequencing technologies.</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Advance data-driven interpretation through scalable HiFi datasets and analytics.</w:t>
      </w:r>
      <w:r>
        <w:rPr>
          <w:color w:val="000000"/>
        </w:rPr>
        <w:t xml:space="preserve"> </w:t>
      </w:r>
      <w:r>
        <w:rPr>
          <w:rFonts w:ascii="Roboto;sans-serif" w:hAnsi="Roboto;sans-serif"/>
          <w:b w:val="false"/>
          <w:color w:val="000000"/>
          <w:sz w:val="20"/>
        </w:rPr>
        <w:t xml:space="preserve">We are focused on leveraging the accuracy of HiFi sequencing and growing datasets to support advanced data analysis and AI-assisted interpretation approaches. Collaborative initiatives such as the HiFi Solves Global Consortium are designed to aggregate large, well-characterized HiFi datasets, which we believe can support improved understanding of complex genetic variation and disease biology while maintaining expert oversight. </w:t>
      </w:r>
    </w:p>
    <w:p>
      <w:pPr>
        <w:pStyle w:val="TextBody"/>
        <w:bidi w:val="0"/>
        <w:spacing w:lineRule="auto" w:line="288" w:before="120" w:after="283"/>
        <w:ind w:left="0" w:right="0" w:hanging="360"/>
        <w:jc w:val="both"/>
        <w:rPr/>
      </w:pPr>
      <w:r>
        <w:rPr>
          <w:color w:val="DF1995"/>
        </w:rPr>
        <w:t>•</w:t>
      </w:r>
      <w:r>
        <w:rPr>
          <w:rFonts w:ascii="Roboto;sans-serif" w:hAnsi="Roboto;sans-serif"/>
          <w:b/>
          <w:color w:val="DF1995"/>
          <w:sz w:val="20"/>
        </w:rPr>
        <w:t>Invest in future product launches to drive platform innovation.</w:t>
      </w:r>
      <w:r>
        <w:rPr>
          <w:color w:val="000000"/>
        </w:rPr>
        <w:t xml:space="preserve"> </w:t>
      </w:r>
      <w:r>
        <w:rPr>
          <w:rFonts w:ascii="Roboto;sans-serif" w:hAnsi="Roboto;sans-serif"/>
          <w:b w:val="false"/>
          <w:color w:val="000000"/>
          <w:sz w:val="20"/>
        </w:rPr>
        <w:t xml:space="preserve">We continue to develop sequencing solutions designed to increase throughput, simplify workflows, lower the cost to sequence a genome, and enhance downstream data analysis and interpretation capabilities, which we believe will allow us to address a larger portion of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112520"/>
                <wp:effectExtent l="0" t="0" r="0" b="0"/>
                <wp:wrapNone/>
                <wp:docPr id="81" name="Frame2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457200" cy="95250"/>
                                                </a:xfrm>
                                                <a:prstGeom prst="rect">
                                                  <a:avLst/>
                                                </a:prstGeom>
                                              </pic:spPr>
                                            </pic:pic>
                                          </a:graphicData>
                                        </a:graphic>
                                      </wp:inline>
                                    </w:drawing>
                                  </w:r>
                                  <w:bookmarkStart w:id="54" w:name="i-28"/>
                                  <w:bookmarkEnd w:id="5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457200" cy="95250"/>
                                          </a:xfrm>
                                          <a:prstGeom prst="rect">
                                            <a:avLst/>
                                          </a:prstGeom>
                                        </pic:spPr>
                                      </pic:pic>
                                    </a:graphicData>
                                  </a:graphic>
                                </wp:inline>
                              </w:drawing>
                            </w:r>
                            <w:bookmarkStart w:id="55" w:name="i-28"/>
                            <w:bookmarkEnd w:id="5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We continue to believe that with the capabilities of our 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tbl>
      <w:tblPr>
        <w:tblW w:w="2939" w:type="dxa"/>
        <w:jc w:val="left"/>
        <w:tblInd w:w="0" w:type="dxa"/>
        <w:tblLayout w:type="fixed"/>
        <w:tblCellMar>
          <w:top w:w="28" w:type="dxa"/>
          <w:left w:w="28" w:type="dxa"/>
          <w:bottom w:w="28" w:type="dxa"/>
          <w:right w:w="28" w:type="dxa"/>
        </w:tblCellMar>
      </w:tblPr>
      <w:tblGrid>
        <w:gridCol w:w="941"/>
        <w:gridCol w:w="826"/>
        <w:gridCol w:w="1172"/>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Recent Developments</w:t>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Restructuring</w:t>
      </w:r>
    </w:p>
    <w:p>
      <w:pPr>
        <w:pStyle w:val="TextBody"/>
        <w:bidi w:val="0"/>
        <w:spacing w:lineRule="auto" w:line="288" w:before="0" w:after="0"/>
        <w:jc w:val="both"/>
        <w:rPr/>
      </w:pPr>
      <w:r>
        <w:rPr>
          <w:rFonts w:ascii="Roboto;sans-serif" w:hAnsi="Roboto;sans-serif"/>
          <w:b w:val="false"/>
          <w:color w:val="000000"/>
          <w:sz w:val="20"/>
        </w:rPr>
        <w:t>On July 30, 2026, our Board of Directors approved a restructuring plan to continue to better align our organizational structure and resources wit</w:t>
      </w:r>
      <w:r>
        <w:rPr>
          <w:rFonts w:ascii="Roboto;sans-serif" w:hAnsi="Roboto;sans-serif"/>
          <w:b w:val="false"/>
          <w:color w:val="000000"/>
          <w:sz w:val="20"/>
          <w:shd w:fill="FFFFFF" w:val="clear"/>
        </w:rPr>
        <w:t>h our strategic initiatives. The restructuring includes operating expense reductions and a reduction in force (the “Reduction in Force”). These restructuring actions are expected to result in a workforce reduction of approximately 40 employees, or approximately 8% of our workforce, as we align our organizational structure with our strategic priorities. Including the Reduction in Force and related non-headcount cost actions, we expect to reduce our annualized operating expenses by $30 million to $40 million by the end of 2027.</w:t>
      </w:r>
    </w:p>
    <w:p>
      <w:pPr>
        <w:pStyle w:val="TextBody"/>
        <w:bidi w:val="0"/>
        <w:spacing w:lineRule="auto" w:line="288" w:before="120" w:after="283"/>
        <w:jc w:val="both"/>
        <w:rPr/>
      </w:pPr>
      <w:r>
        <w:rPr>
          <w:rFonts w:ascii="Roboto;sans-serif" w:hAnsi="Roboto;sans-serif"/>
          <w:b w:val="false"/>
          <w:color w:val="000000"/>
          <w:sz w:val="20"/>
          <w:shd w:fill="FFFFFF" w:val="clear"/>
        </w:rPr>
        <w:t>We estimate that we will incur aggregate pre-ta</w:t>
      </w:r>
      <w:r>
        <w:rPr>
          <w:rFonts w:ascii="Roboto;sans-serif" w:hAnsi="Roboto;sans-serif"/>
          <w:b w:val="false"/>
          <w:color w:val="000000"/>
          <w:sz w:val="20"/>
        </w:rPr>
        <w:t>x charges of approximately $2.0 million in connection with the Reduction in Force, primarily consisting of severance payments, employee benefits, outplacement services and related costs. We expect that the Reduction in Force will be completed and that these charges will be incurred in the third quarter of 2026.</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Appointments and Resignations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Board of Directors appointed Mark Van Oene as President and Chief Executive Officer and as a member of our Board of Directors, effective August 5, 2026. Mr. Van Oene succeeds Christian Henry, who stepped down as our President and Chief Executive Officer effective August 5, 2026. Mr. Henry will continue to serve as a member of our Board of Directors.</w:t>
      </w:r>
    </w:p>
    <w:tbl>
      <w:tblPr>
        <w:tblW w:w="2564" w:type="dxa"/>
        <w:jc w:val="left"/>
        <w:tblInd w:w="0" w:type="dxa"/>
        <w:tblLayout w:type="fixed"/>
        <w:tblCellMar>
          <w:top w:w="28" w:type="dxa"/>
          <w:left w:w="28" w:type="dxa"/>
          <w:bottom w:w="28" w:type="dxa"/>
          <w:right w:w="28" w:type="dxa"/>
        </w:tblCellMar>
      </w:tblPr>
      <w:tblGrid>
        <w:gridCol w:w="820"/>
        <w:gridCol w:w="721"/>
        <w:gridCol w:w="1023"/>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2"/>
              </w:rPr>
            </w:pPr>
            <w:r>
              <w:rPr>
                <w:rFonts w:ascii="Roboto;sans-serif" w:hAnsi="Roboto;sans-serif"/>
                <w:b/>
                <w:color w:val="DF1995"/>
                <w:sz w:val="22"/>
              </w:rPr>
              <w:t>Financial Overview</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Key highlights of the six months ended June 30, 2026 consolidated financial results include the following:</w:t>
      </w:r>
    </w:p>
    <w:tbl>
      <w:tblPr>
        <w:tblW w:w="10205" w:type="dxa"/>
        <w:jc w:val="center"/>
        <w:tblInd w:w="0" w:type="dxa"/>
        <w:tblLayout w:type="fixed"/>
        <w:tblCellMar>
          <w:top w:w="28" w:type="dxa"/>
          <w:left w:w="28" w:type="dxa"/>
          <w:bottom w:w="28" w:type="dxa"/>
          <w:right w:w="28" w:type="dxa"/>
        </w:tblCellMar>
      </w:tblPr>
      <w:tblGrid>
        <w:gridCol w:w="831"/>
        <w:gridCol w:w="731"/>
        <w:gridCol w:w="737"/>
        <w:gridCol w:w="109"/>
        <w:gridCol w:w="109"/>
        <w:gridCol w:w="109"/>
        <w:gridCol w:w="816"/>
        <w:gridCol w:w="816"/>
        <w:gridCol w:w="653"/>
        <w:gridCol w:w="109"/>
        <w:gridCol w:w="109"/>
        <w:gridCol w:w="109"/>
        <w:gridCol w:w="868"/>
        <w:gridCol w:w="722"/>
        <w:gridCol w:w="725"/>
        <w:gridCol w:w="109"/>
        <w:gridCol w:w="109"/>
        <w:gridCol w:w="109"/>
        <w:gridCol w:w="782"/>
        <w:gridCol w:w="637"/>
        <w:gridCol w:w="906"/>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op w:val="single" w:sz="8" w:space="0" w:color="009CA2"/>
              <w:left w:val="single" w:sz="8" w:space="0" w:color="009CA2"/>
            </w:tcBorders>
            <w:shd w:fill="009CA2" w:val="clear"/>
            <w:tcMar>
              <w:top w:w="52" w:type="dxa"/>
              <w:bottom w:w="0" w:type="dxa"/>
              <w:right w:w="0" w:type="dxa"/>
            </w:tcMar>
            <w:vAlign w:val="center"/>
          </w:tcPr>
          <w:p>
            <w:pPr>
              <w:pStyle w:val="TableContents"/>
              <w:bidi w:val="0"/>
              <w:spacing w:lineRule="auto" w:line="288" w:before="0" w:after="283"/>
              <w:jc w:val="left"/>
              <w:rPr>
                <w:rFonts w:ascii="Roboto;sans-serif" w:hAnsi="Roboto;sans-serif"/>
                <w:b w:val="false"/>
                <w:color w:val="FFFFFF"/>
                <w:sz w:val="20"/>
              </w:rPr>
            </w:pPr>
            <w:r>
              <w:rPr>
                <w:rFonts w:ascii="Roboto;sans-serif" w:hAnsi="Roboto;sans-serif"/>
                <w:b w:val="false"/>
                <w:color w:val="FFFFFF"/>
                <w:sz w:val="20"/>
              </w:rPr>
              <w:t>Revenue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8" w:space="0" w:color="009CA2"/>
              <w:left w:val="single" w:sz="8" w:space="0" w:color="009CA2"/>
            </w:tcBorders>
            <w:shd w:fill="009CA2" w:val="clear"/>
            <w:tcMar>
              <w:top w:w="52" w:type="dxa"/>
              <w:bottom w:w="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Gross profit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9CA2"/>
              <w:left w:val="single" w:sz="8" w:space="0" w:color="009CA2"/>
            </w:tcBorders>
            <w:shd w:fill="009CA2" w:val="clear"/>
            <w:tcMar>
              <w:top w:w="52" w:type="dxa"/>
              <w:bottom w:w="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Operating loss of</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9CA2"/>
              <w:left w:val="single" w:sz="8" w:space="0" w:color="009CA2"/>
              <w:right w:val="single" w:sz="8" w:space="0" w:color="009CA2"/>
            </w:tcBorders>
            <w:shd w:fill="009CA2" w:val="clear"/>
            <w:tcMar>
              <w:top w:w="52" w:type="dxa"/>
              <w:bottom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Cash, cash equivalents, and investments of</w:t>
            </w:r>
          </w:p>
        </w:tc>
      </w:tr>
      <w:tr>
        <w:trPr/>
        <w:tc>
          <w:tcPr>
            <w:tcW w:w="2299" w:type="dxa"/>
            <w:gridSpan w:val="3"/>
            <w:tcBorders>
              <w:top w:val="single" w:sz="8" w:space="0" w:color="009CA2"/>
              <w:left w:val="single" w:sz="8" w:space="0" w:color="009CA2"/>
            </w:tcBorders>
            <w:shd w:fill="009CA2" w:val="clear"/>
            <w:tcMar>
              <w:top w:w="52" w:type="dxa"/>
              <w:bottom w:w="0" w:type="dxa"/>
              <w:right w:w="0" w:type="dxa"/>
            </w:tcMar>
            <w:vAlign w:val="center"/>
          </w:tcPr>
          <w:p>
            <w:pPr>
              <w:pStyle w:val="TableContents"/>
              <w:bidi w:val="0"/>
              <w:spacing w:lineRule="auto" w:line="288" w:before="0" w:after="283"/>
              <w:jc w:val="left"/>
              <w:rPr>
                <w:rFonts w:ascii="Roboto;sans-serif" w:hAnsi="Roboto;sans-serif"/>
                <w:b/>
                <w:color w:val="FFFFFF"/>
                <w:sz w:val="36"/>
              </w:rPr>
            </w:pPr>
            <w:r>
              <w:rPr>
                <w:rFonts w:ascii="Roboto;sans-serif" w:hAnsi="Roboto;sans-serif"/>
                <w:b/>
                <w:color w:val="FFFFFF"/>
                <w:sz w:val="36"/>
              </w:rPr>
              <w:t>$76.2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8" w:space="0" w:color="009CA2"/>
              <w:left w:val="single" w:sz="8" w:space="0" w:color="009CA2"/>
            </w:tcBorders>
            <w:shd w:fill="009CA2" w:val="clear"/>
            <w:tcMar>
              <w:top w:w="52" w:type="dxa"/>
              <w:bottom w:w="0" w:type="dxa"/>
              <w:right w:w="0" w:type="dxa"/>
            </w:tcMar>
            <w:vAlign w:val="center"/>
          </w:tcPr>
          <w:p>
            <w:pPr>
              <w:pStyle w:val="TableContents"/>
              <w:bidi w:val="0"/>
              <w:spacing w:lineRule="auto" w:line="288" w:before="0" w:after="0"/>
              <w:jc w:val="left"/>
              <w:rPr>
                <w:rFonts w:ascii="Roboto;sans-serif" w:hAnsi="Roboto;sans-serif"/>
                <w:b/>
                <w:color w:val="FFFFFF"/>
                <w:sz w:val="36"/>
              </w:rPr>
            </w:pPr>
            <w:r>
              <w:rPr>
                <w:rFonts w:ascii="Roboto;sans-serif" w:hAnsi="Roboto;sans-serif"/>
                <w:b/>
                <w:color w:val="FFFFFF"/>
                <w:sz w:val="36"/>
              </w:rPr>
              <w:t>$25.5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9CA2"/>
              <w:left w:val="single" w:sz="8" w:space="0" w:color="009CA2"/>
            </w:tcBorders>
            <w:shd w:fill="009CA2" w:val="clear"/>
            <w:tcMar>
              <w:top w:w="52" w:type="dxa"/>
              <w:bottom w:w="0" w:type="dxa"/>
              <w:right w:w="0" w:type="dxa"/>
            </w:tcMar>
            <w:vAlign w:val="center"/>
          </w:tcPr>
          <w:p>
            <w:pPr>
              <w:pStyle w:val="TableContents"/>
              <w:bidi w:val="0"/>
              <w:spacing w:lineRule="auto" w:line="288" w:before="0" w:after="0"/>
              <w:jc w:val="left"/>
              <w:rPr>
                <w:rFonts w:ascii="Roboto;sans-serif" w:hAnsi="Roboto;sans-serif"/>
                <w:b/>
                <w:color w:val="FFFFFF"/>
                <w:sz w:val="36"/>
              </w:rPr>
            </w:pPr>
            <w:r>
              <w:rPr>
                <w:rFonts w:ascii="Roboto;sans-serif" w:hAnsi="Roboto;sans-serif"/>
                <w:b/>
                <w:color w:val="FFFFFF"/>
                <w:sz w:val="36"/>
              </w:rPr>
              <w:t>$53.0 M</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9CA2"/>
              <w:left w:val="single" w:sz="8" w:space="0" w:color="009CA2"/>
              <w:right w:val="single" w:sz="8" w:space="0" w:color="009CA2"/>
            </w:tcBorders>
            <w:shd w:fill="009CA2" w:val="clear"/>
            <w:tcMar>
              <w:top w:w="52" w:type="dxa"/>
              <w:bottom w:w="0" w:type="dxa"/>
            </w:tcMar>
            <w:vAlign w:val="center"/>
          </w:tcPr>
          <w:p>
            <w:pPr>
              <w:pStyle w:val="TableContents"/>
              <w:bidi w:val="0"/>
              <w:spacing w:lineRule="auto" w:line="288" w:before="0" w:after="0"/>
              <w:jc w:val="left"/>
              <w:rPr>
                <w:rFonts w:ascii="Roboto;sans-serif" w:hAnsi="Roboto;sans-serif"/>
                <w:b/>
                <w:color w:val="FFFFFF"/>
                <w:sz w:val="36"/>
              </w:rPr>
            </w:pPr>
            <w:r>
              <w:rPr>
                <w:rFonts w:ascii="Roboto;sans-serif" w:hAnsi="Roboto;sans-serif"/>
                <w:b/>
                <w:color w:val="FFFFFF"/>
                <w:sz w:val="36"/>
              </w:rPr>
              <w:t>$236.9 M</w:t>
            </w:r>
          </w:p>
        </w:tc>
      </w:tr>
      <w:tr>
        <w:trPr/>
        <w:tc>
          <w:tcPr>
            <w:tcW w:w="2299" w:type="dxa"/>
            <w:gridSpan w:val="3"/>
            <w:tcBorders>
              <w:top w:val="single" w:sz="8" w:space="0" w:color="009CA2"/>
              <w:left w:val="single" w:sz="8" w:space="0" w:color="009CA2"/>
              <w:bottom w:val="single" w:sz="8" w:space="0" w:color="009CA2"/>
            </w:tcBorders>
            <w:shd w:fill="009CA2" w:val="clear"/>
            <w:tcMar>
              <w:top w:w="52" w:type="dxa"/>
              <w:bottom w:w="3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$76.9 M during the same period of 2025</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8" w:space="0" w:color="009CA2"/>
              <w:left w:val="single" w:sz="8" w:space="0" w:color="009CA2"/>
              <w:bottom w:val="single" w:sz="8" w:space="0" w:color="009CA2"/>
            </w:tcBorders>
            <w:shd w:fill="009CA2" w:val="clear"/>
            <w:tcMar>
              <w:top w:w="52" w:type="dxa"/>
              <w:bottom w:w="3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$13.3 M during the same period of 2025</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9CA2"/>
              <w:left w:val="single" w:sz="8" w:space="0" w:color="009CA2"/>
              <w:bottom w:val="single" w:sz="8" w:space="0" w:color="009CA2"/>
            </w:tcBorders>
            <w:shd w:fill="009CA2" w:val="clear"/>
            <w:tcMar>
              <w:top w:w="52" w:type="dxa"/>
              <w:bottom w:w="30" w:type="dxa"/>
              <w:right w:w="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$473.8 M during the same period of 2025</w:t>
            </w:r>
          </w:p>
        </w:tc>
        <w:tc>
          <w:tcPr>
            <w:tcW w:w="327" w:type="dxa"/>
            <w:gridSpan w:val="3"/>
            <w:tcBorders>
              <w:left w:val="single" w:sz="8" w:space="0" w:color="009CA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9CA2"/>
              <w:left w:val="single" w:sz="8" w:space="0" w:color="009CA2"/>
              <w:bottom w:val="single" w:sz="8" w:space="0" w:color="009CA2"/>
              <w:right w:val="single" w:sz="8" w:space="0" w:color="009CA2"/>
            </w:tcBorders>
            <w:shd w:fill="009CA2" w:val="clear"/>
            <w:tcMar>
              <w:top w:w="52" w:type="dxa"/>
              <w:bottom w:w="30" w:type="dxa"/>
            </w:tcMar>
            <w:vAlign w:val="center"/>
          </w:tcPr>
          <w:p>
            <w:pPr>
              <w:pStyle w:val="TableContents"/>
              <w:bidi w:val="0"/>
              <w:spacing w:lineRule="auto" w:line="288" w:before="0" w:after="0"/>
              <w:jc w:val="left"/>
              <w:rPr>
                <w:rFonts w:ascii="Roboto;sans-serif" w:hAnsi="Roboto;sans-serif"/>
                <w:b w:val="false"/>
                <w:color w:val="FFFFFF"/>
                <w:sz w:val="20"/>
              </w:rPr>
            </w:pPr>
            <w:r>
              <w:rPr>
                <w:rFonts w:ascii="Roboto;sans-serif" w:hAnsi="Roboto;sans-serif"/>
                <w:b w:val="false"/>
                <w:color w:val="FFFFFF"/>
                <w:sz w:val="20"/>
              </w:rPr>
              <w:t>compared to $279.5 M at December 31, 2025</w:t>
            </w:r>
          </w:p>
        </w:tc>
      </w:tr>
    </w:tbl>
    <w:p>
      <w:pPr>
        <w:pStyle w:val="TextBody"/>
        <w:bidi w:val="0"/>
        <w:spacing w:lineRule="auto" w:line="288" w:before="180" w:after="283"/>
        <w:ind w:left="0" w:right="0" w:hanging="270"/>
        <w:jc w:val="both"/>
        <w:rPr/>
      </w:pPr>
      <w:r>
        <w:rPr>
          <w:color w:val="DF1995"/>
        </w:rPr>
        <w:t>•</w:t>
      </w:r>
      <w:r>
        <w:rPr>
          <w:rFonts w:ascii="Roboto;sans-serif" w:hAnsi="Roboto;sans-serif"/>
          <w:b w:val="false"/>
          <w:color w:val="000000"/>
          <w:sz w:val="20"/>
        </w:rPr>
        <w:t>Revenue was comprised of $22.6 million in instrument revenue, $41.9 million in consumables revenue and $11.7 million in service and other revenue during the six months ended June 30, 2026. Revenue was comprised of $25.2 million in instrument revenue, $39.0 million in consumables revenue and $12.7 million in service and other revenue during the six months ended June 30, 2025. Lower Vega unit sales and a decrease in service and other revenue were partially offset by an increase in consumables revenue and higher Revio unit sales.</w:t>
      </w:r>
    </w:p>
    <w:p>
      <w:pPr>
        <w:pStyle w:val="TextBody"/>
        <w:bidi w:val="0"/>
        <w:spacing w:lineRule="auto" w:line="288" w:before="120" w:after="283"/>
        <w:ind w:left="0" w:right="0" w:hanging="270"/>
        <w:jc w:val="both"/>
        <w:rPr/>
      </w:pPr>
      <w:r>
        <w:rPr>
          <w:color w:val="DF1995"/>
        </w:rPr>
        <w:t>•</w:t>
      </w:r>
      <w:r>
        <w:rPr>
          <w:rFonts w:ascii="Roboto;sans-serif" w:hAnsi="Roboto;sans-serif"/>
          <w:b w:val="false"/>
          <w:color w:val="000000"/>
          <w:sz w:val="20"/>
        </w:rPr>
        <w:t>We recorded a gross profit of $25.5 million during the six months ended June 30, 2026 compared to $13.3 million during</w:t>
      </w:r>
      <w:r>
        <w:rPr>
          <w:color w:val="000000"/>
        </w:rPr>
        <w:t xml:space="preserve"> </w:t>
      </w:r>
      <w:r>
        <w:rPr>
          <w:rFonts w:ascii="Roboto;sans-serif" w:hAnsi="Roboto;sans-serif"/>
          <w:b w:val="false"/>
          <w:color w:val="000000"/>
          <w:sz w:val="20"/>
        </w:rPr>
        <w:t xml:space="preserve">the same period of 2025. We recorded approximately $12.4 million of restructuring charges during the six months ended June 30, 2025. See </w:t>
      </w:r>
      <w:hyperlink w:anchor="i94297dc2d97e4e34aed4a2bdfd28cba8_46">
        <w:r>
          <w:rPr>
            <w:rStyle w:val="InternetLink"/>
            <w:rFonts w:ascii="Roboto;sans-serif" w:hAnsi="Roboto;sans-serif"/>
            <w:b w:val="false"/>
            <w:i/>
            <w:color w:val="0000FF"/>
            <w:sz w:val="20"/>
            <w:u w:val="single"/>
          </w:rPr>
          <w:t>Note 5. Restructuring</w:t>
        </w:r>
      </w:hyperlink>
      <w:r>
        <w:rPr>
          <w:color w:val="000000"/>
        </w:rPr>
        <w:t xml:space="preserve"> </w:t>
      </w:r>
      <w:r>
        <w:rPr>
          <w:rFonts w:ascii="Roboto;sans-serif" w:hAnsi="Roboto;sans-serif"/>
          <w:b w:val="false"/>
          <w:color w:val="000000"/>
          <w:sz w:val="20"/>
        </w:rPr>
        <w:t>in Part I, Item 1 of this Quarterly Report on Form 10-Q for additional information. Gross margins may be affected by product mix, manufacturing efficiencies, changes in warranty costs, average selling price fluctuations, product promotions, future product launches, changes to inventory reserves, costs of raw materials, increased computing component costs, specifically memory, and tariffs.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112520"/>
                <wp:effectExtent l="0" t="0" r="0" b="0"/>
                <wp:wrapNone/>
                <wp:docPr id="84" name="Frame2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457200" cy="95250"/>
                                                </a:xfrm>
                                                <a:prstGeom prst="rect">
                                                  <a:avLst/>
                                                </a:prstGeom>
                                              </pic:spPr>
                                            </pic:pic>
                                          </a:graphicData>
                                        </a:graphic>
                                      </wp:inline>
                                    </w:drawing>
                                  </w:r>
                                  <w:bookmarkStart w:id="56" w:name="i-29"/>
                                  <w:bookmarkEnd w:id="5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8"/>
                                          <a:stretch>
                                            <a:fillRect/>
                                          </a:stretch>
                                        </pic:blipFill>
                                        <pic:spPr bwMode="auto">
                                          <a:xfrm>
                                            <a:off x="0" y="0"/>
                                            <a:ext cx="457200" cy="95250"/>
                                          </a:xfrm>
                                          <a:prstGeom prst="rect">
                                            <a:avLst/>
                                          </a:prstGeom>
                                        </pic:spPr>
                                      </pic:pic>
                                    </a:graphicData>
                                  </a:graphic>
                                </wp:inline>
                              </w:drawing>
                            </w:r>
                            <w:bookmarkStart w:id="57" w:name="i-29"/>
                            <w:bookmarkEnd w:id="5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270"/>
        <w:jc w:val="both"/>
        <w:rPr/>
      </w:pPr>
      <w:r>
        <w:rPr>
          <w:color w:val="DF1995"/>
        </w:rPr>
        <w:t>•</w:t>
      </w:r>
      <w:r>
        <w:rPr>
          <w:rFonts w:ascii="Roboto;sans-serif" w:hAnsi="Roboto;sans-serif"/>
          <w:b w:val="false"/>
          <w:color w:val="000000"/>
          <w:sz w:val="20"/>
        </w:rPr>
        <w:t xml:space="preserve">Loss from operations decreased $420.8 million during the six months ended June 30, 2026, compared with the same period of 2025, primarily due to a $408.7 million decrease in operating expenses. Operating expenses of $78.4 million for the six months ended June 30, 2026 included litigation settlement expenses of $15.4 million. Operating expenses were partially offset by a $45.8 million gain on disposal of assets to Illumina Cambridge Limited due to the Asset Sale. See </w:t>
      </w:r>
      <w:hyperlink w:anchor="i94297dc2d97e4e34aed4a2bdfd28cba8_34">
        <w:r>
          <w:rPr>
            <w:rStyle w:val="InternetLink"/>
            <w:rFonts w:ascii="Roboto;sans-serif" w:hAnsi="Roboto;sans-serif"/>
            <w:b w:val="false"/>
            <w:i/>
            <w:color w:val="0000FF"/>
            <w:sz w:val="20"/>
            <w:u w:val="single"/>
          </w:rPr>
          <w:t>Note 2. Financial Instruments</w:t>
        </w:r>
      </w:hyperlink>
      <w:r>
        <w:rPr>
          <w:color w:val="000000"/>
        </w:rPr>
        <w:t xml:space="preserve"> </w:t>
      </w:r>
      <w:r>
        <w:rPr>
          <w:rFonts w:ascii="Roboto;sans-serif" w:hAnsi="Roboto;sans-serif"/>
          <w:b w:val="false"/>
          <w:color w:val="000000"/>
          <w:sz w:val="20"/>
        </w:rPr>
        <w:t>in Part I, Item 1 of this Quarterly Report on Form 10-Q for more information. Operating expenses of $487.1 million during the six months ended June 30, 2025 included $382.4 million of costs incurred in connection with the restructuring and strategic shift, which primarily included $359.3 million of accelerated amortization of acquired intangibles, $15.0 million of impairment charges, and $4.8 million of employee separation costs, partially offset by an $18.7 million decrease in the change in the fair value of the contingent consideration.</w:t>
      </w:r>
    </w:p>
    <w:p>
      <w:pPr>
        <w:pStyle w:val="TextBody"/>
        <w:bidi w:val="0"/>
        <w:spacing w:lineRule="auto" w:line="288" w:before="120" w:after="283"/>
        <w:ind w:left="0" w:right="0" w:hanging="270"/>
        <w:jc w:val="both"/>
        <w:rPr/>
      </w:pPr>
      <w:r>
        <w:rPr>
          <w:color w:val="DF1995"/>
        </w:rPr>
        <w:t>•</w:t>
      </w:r>
      <w:r>
        <w:rPr>
          <w:rFonts w:ascii="Roboto;sans-serif" w:hAnsi="Roboto;sans-serif"/>
          <w:b w:val="false"/>
          <w:color w:val="000000"/>
          <w:sz w:val="20"/>
        </w:rPr>
        <w:t xml:space="preserve">Cash, cash equivalents, and investments were $236.9 million at June 30, 2026, which represents a 15% decrease compared to the balance at December 31, 2025. During the six months ended June 30, 2026 we received net cash proceeds of approximately $48.1 million in conjunction with the gain on disposal of assets discussed above. We also paid $8.0 million related to the settlement agreement with Personal Genomics of Taiwan, Inc. (“PGI”). See </w:t>
      </w:r>
      <w:hyperlink w:anchor="i94297dc2d97e4e34aed4a2bdfd28cba8_37">
        <w:r>
          <w:rPr>
            <w:rStyle w:val="InternetLink"/>
            <w:rFonts w:ascii="Roboto;sans-serif" w:hAnsi="Roboto;sans-serif"/>
            <w:b w:val="false"/>
            <w:i/>
            <w:color w:val="0000FF"/>
            <w:sz w:val="20"/>
            <w:u w:val="single"/>
          </w:rPr>
          <w:t>Note 3. Balance Sheet Components</w:t>
        </w:r>
      </w:hyperlink>
      <w:r>
        <w:rPr>
          <w:color w:val="000000"/>
        </w:rPr>
        <w:t xml:space="preserve"> </w:t>
      </w:r>
      <w:r>
        <w:rPr>
          <w:rFonts w:ascii="Roboto;sans-serif" w:hAnsi="Roboto;sans-serif"/>
          <w:b w:val="false"/>
          <w:color w:val="000000"/>
          <w:sz w:val="20"/>
        </w:rPr>
        <w:t>in Part I, Item 1 of this Quarterly Report on Form 10-Q for further details regarding the settlement with PGI.</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We believe that demand for our instruments (particularly Vega) remains constrained due to, among other reasons, the funding environment in the United States, contributing to elongated sales cycles, or in certain cases, customers not placing instrument orders. Additionally, sales cycles have been and continue to be impacted by, among other reasons, continued capital funding constraints in academic and research markets, procurement timing considerations, and longer adoption cycles among new customers, which have affected the timing of certain instrument orders. However, we believe that revenues will be greater in the second half of 2026, which we expect will be driven by continued clinical adoption, SPRQ-Nx consumable growth, and revenue associated with the Basecamp Research program.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Macroeconomic dynamics that have impacted and could continue to impact the Company include rising inflation, higher computing component costs, specifically memory, which has resulted in material cost pressures and supply constraints, geopolitical tensions, including recent conflicts in the Middle East (including Iran), volatile capital markets, tariffs, uncertainty in the United States related to NIH and academic funding, and fluctuating exchange rates. These factors could continue to impact our revenues and results of operations in future periods; however, the magnitude and duration of these impacts is highly uncertain and inherently unpredictable.</w:t>
      </w:r>
    </w:p>
    <w:p>
      <w:pPr>
        <w:pStyle w:val="TextBody"/>
        <w:bidi w:val="0"/>
        <w:spacing w:lineRule="auto" w:line="288" w:before="120" w:after="283"/>
        <w:jc w:val="both"/>
        <w:rPr/>
      </w:pPr>
      <w:r>
        <w:rPr>
          <w:rFonts w:ascii="Roboto;sans-serif" w:hAnsi="Roboto;sans-serif"/>
          <w:b w:val="false"/>
          <w:color w:val="000000"/>
          <w:sz w:val="20"/>
        </w:rPr>
        <w:t xml:space="preserve">On an ongoing basis, we evaluate our significant estimates, including those related to the valuation of goodwill, indefinite-lived and finite-lived assets. However, these estimates could change in future periods based on events or changes in circumstances, which could result in material future impairment charges. We recorded $15.0 million of impairment charges during the six months ended June 30, 2025. See additional discussion below in Results of Operations, as well as </w:t>
      </w:r>
      <w:hyperlink w:anchor="i94297dc2d97e4e34aed4a2bdfd28cba8_37">
        <w:r>
          <w:rPr>
            <w:rStyle w:val="InternetLink"/>
            <w:rFonts w:ascii="Roboto;sans-serif" w:hAnsi="Roboto;sans-serif"/>
            <w:b w:val="false"/>
            <w:i/>
            <w:color w:val="0000FF"/>
            <w:sz w:val="20"/>
            <w:u w:val="single"/>
          </w:rPr>
          <w:t>Note 3. Balance Sheet Components</w:t>
        </w:r>
      </w:hyperlink>
      <w:r>
        <w:rPr>
          <w:color w:val="000000"/>
        </w:rPr>
        <w:t xml:space="preserve"> </w:t>
      </w:r>
      <w:r>
        <w:rPr>
          <w:rFonts w:ascii="Roboto;sans-serif" w:hAnsi="Roboto;sans-serif"/>
          <w:b w:val="false"/>
          <w:color w:val="000000"/>
          <w:sz w:val="20"/>
        </w:rPr>
        <w:t>in Part I, Item 1 of this Quarterly Report on Form 10-Q for further information. Additionally, refer to the Critical Accounting Policies and Estimates section of our 2025 Annual Report for further discussion on the Company's asset impairment assessments.</w:t>
      </w:r>
    </w:p>
    <w:p>
      <w:pPr>
        <w:pStyle w:val="TextBody"/>
        <w:bidi w:val="0"/>
        <w:spacing w:lineRule="auto" w:line="288" w:before="120" w:after="283"/>
        <w:jc w:val="both"/>
        <w:rPr/>
      </w:pPr>
      <w:r>
        <w:rPr>
          <w:rFonts w:ascii="Roboto;sans-serif" w:hAnsi="Roboto;sans-serif"/>
          <w:b w:val="false"/>
          <w:color w:val="000000"/>
          <w:sz w:val="20"/>
        </w:rPr>
        <w:t xml:space="preserve">See the </w:t>
      </w:r>
      <w:hyperlink w:anchor="i94297dc2d97e4e34aed4a2bdfd28cba8_94">
        <w:r>
          <w:rPr>
            <w:rStyle w:val="InternetLink"/>
            <w:rFonts w:ascii="Roboto;sans-serif" w:hAnsi="Roboto;sans-serif"/>
            <w:b w:val="false"/>
            <w:i/>
            <w:color w:val="0000FF"/>
            <w:sz w:val="20"/>
            <w:u w:val="single"/>
          </w:rPr>
          <w:t>Risk Factors</w:t>
        </w:r>
      </w:hyperlink>
      <w:r>
        <w:rPr>
          <w:color w:val="000000"/>
        </w:rPr>
        <w:t xml:space="preserve"> </w:t>
      </w:r>
      <w:r>
        <w:rPr>
          <w:rFonts w:ascii="Roboto;sans-serif" w:hAnsi="Roboto;sans-serif"/>
          <w:b w:val="false"/>
          <w:color w:val="000000"/>
          <w:sz w:val="20"/>
        </w:rPr>
        <w:t>section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12520"/>
                <wp:effectExtent l="0" t="0" r="0" b="0"/>
                <wp:wrapNone/>
                <wp:docPr id="87" name="Frame3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457200" cy="95250"/>
                                                </a:xfrm>
                                                <a:prstGeom prst="rect">
                                                  <a:avLst/>
                                                </a:prstGeom>
                                              </pic:spPr>
                                            </pic:pic>
                                          </a:graphicData>
                                        </a:graphic>
                                      </wp:inline>
                                    </w:drawing>
                                  </w:r>
                                  <w:bookmarkStart w:id="58" w:name="i-30"/>
                                  <w:bookmarkEnd w:id="5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0"/>
                                          <a:stretch>
                                            <a:fillRect/>
                                          </a:stretch>
                                        </pic:blipFill>
                                        <pic:spPr bwMode="auto">
                                          <a:xfrm>
                                            <a:off x="0" y="0"/>
                                            <a:ext cx="457200" cy="95250"/>
                                          </a:xfrm>
                                          <a:prstGeom prst="rect">
                                            <a:avLst/>
                                          </a:prstGeom>
                                        </pic:spPr>
                                      </pic:pic>
                                    </a:graphicData>
                                  </a:graphic>
                                </wp:inline>
                              </w:drawing>
                            </w:r>
                            <w:bookmarkStart w:id="59" w:name="i-30"/>
                            <w:bookmarkEnd w:id="5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3464" w:type="dxa"/>
        <w:jc w:val="left"/>
        <w:tblInd w:w="0" w:type="dxa"/>
        <w:tblLayout w:type="fixed"/>
        <w:tblCellMar>
          <w:top w:w="28" w:type="dxa"/>
          <w:left w:w="28" w:type="dxa"/>
          <w:bottom w:w="28" w:type="dxa"/>
          <w:right w:w="28" w:type="dxa"/>
        </w:tblCellMar>
      </w:tblPr>
      <w:tblGrid>
        <w:gridCol w:w="1108"/>
        <w:gridCol w:w="972"/>
        <w:gridCol w:w="1384"/>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RESULTS OF OPERATIONS</w:t>
            </w:r>
          </w:p>
        </w:tc>
      </w:tr>
    </w:tbl>
    <w:tbl>
      <w:tblPr>
        <w:tblW w:w="8189" w:type="dxa"/>
        <w:jc w:val="left"/>
        <w:tblInd w:w="0" w:type="dxa"/>
        <w:tblLayout w:type="fixed"/>
        <w:tblCellMar>
          <w:top w:w="28" w:type="dxa"/>
          <w:left w:w="28" w:type="dxa"/>
          <w:bottom w:w="28" w:type="dxa"/>
          <w:right w:w="28" w:type="dxa"/>
        </w:tblCellMar>
      </w:tblPr>
      <w:tblGrid>
        <w:gridCol w:w="2620"/>
        <w:gridCol w:w="2305"/>
        <w:gridCol w:w="3264"/>
      </w:tblGrid>
      <w:tr>
        <w:trPr/>
        <w:tc>
          <w:tcPr>
            <w:tcW w:w="262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3264" w:type="dxa"/>
            <w:tcBorders/>
            <w:vAlign w:val="center"/>
          </w:tcPr>
          <w:p>
            <w:pPr>
              <w:pStyle w:val="TableContents"/>
              <w:bidi w:val="0"/>
              <w:spacing w:before="0" w:after="283"/>
              <w:jc w:val="left"/>
              <w:rPr>
                <w:sz w:val="4"/>
                <w:szCs w:val="4"/>
              </w:rPr>
            </w:pPr>
            <w:r>
              <w:rPr>
                <w:sz w:val="4"/>
                <w:szCs w:val="4"/>
              </w:rPr>
            </w:r>
          </w:p>
        </w:tc>
      </w:tr>
      <w:tr>
        <w:trPr/>
        <w:tc>
          <w:tcPr>
            <w:tcW w:w="818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Comparison of the Three Months Ended June 30, 2026 and 2025</w:t>
            </w:r>
          </w:p>
        </w:tc>
      </w:tr>
    </w:tbl>
    <w:tbl>
      <w:tblPr>
        <w:tblW w:w="9733" w:type="dxa"/>
        <w:jc w:val="left"/>
        <w:tblInd w:w="0" w:type="dxa"/>
        <w:tblLayout w:type="fixed"/>
        <w:tblCellMar>
          <w:top w:w="28" w:type="dxa"/>
          <w:left w:w="28" w:type="dxa"/>
          <w:bottom w:w="28" w:type="dxa"/>
          <w:right w:w="28" w:type="dxa"/>
        </w:tblCellMar>
      </w:tblPr>
      <w:tblGrid>
        <w:gridCol w:w="1418"/>
        <w:gridCol w:w="1247"/>
        <w:gridCol w:w="1250"/>
        <w:gridCol w:w="228"/>
        <w:gridCol w:w="927"/>
        <w:gridCol w:w="110"/>
        <w:gridCol w:w="110"/>
        <w:gridCol w:w="110"/>
        <w:gridCol w:w="110"/>
        <w:gridCol w:w="228"/>
        <w:gridCol w:w="927"/>
        <w:gridCol w:w="110"/>
        <w:gridCol w:w="109"/>
        <w:gridCol w:w="109"/>
        <w:gridCol w:w="109"/>
        <w:gridCol w:w="226"/>
        <w:gridCol w:w="796"/>
        <w:gridCol w:w="109"/>
        <w:gridCol w:w="109"/>
        <w:gridCol w:w="109"/>
        <w:gridCol w:w="109"/>
        <w:gridCol w:w="270"/>
        <w:gridCol w:w="271"/>
        <w:gridCol w:w="632"/>
      </w:tblGrid>
      <w:tr>
        <w:trPr/>
        <w:tc>
          <w:tcPr>
            <w:tcW w:w="14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except percentages)</w:t>
            </w:r>
          </w:p>
        </w:tc>
        <w:tc>
          <w:tcPr>
            <w:tcW w:w="1265"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 Change</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265"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28"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27"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32,950 </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7"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33,083 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6,057 </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6,683 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155"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39,007 </w:t>
            </w:r>
          </w:p>
        </w:tc>
        <w:tc>
          <w:tcPr>
            <w:tcW w:w="110"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39,766 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(759)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26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20,944 </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20,022 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5,242 </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4,853 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183 </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155"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26,369 </w:t>
            </w:r>
          </w:p>
        </w:tc>
        <w:tc>
          <w:tcPr>
            <w:tcW w:w="110"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25,082 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155"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12,638 </w:t>
            </w:r>
          </w:p>
        </w:tc>
        <w:tc>
          <w:tcPr>
            <w:tcW w:w="110"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14,684 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(2,046)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265"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23,022 </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22,529 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33,393 </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36,175 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833 </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833 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155"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57,248 </w:t>
            </w:r>
          </w:p>
        </w:tc>
        <w:tc>
          <w:tcPr>
            <w:tcW w:w="110"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59,537 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(2,289)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(44,610)</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(44,853)</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(2,110)</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(1,738)</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2,037 </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4,696 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155"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(44,683)</w:t>
            </w:r>
          </w:p>
        </w:tc>
        <w:tc>
          <w:tcPr>
            <w:tcW w:w="110"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(41,895)</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(2,788)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Income tax provision</w:t>
            </w:r>
          </w:p>
        </w:tc>
        <w:tc>
          <w:tcPr>
            <w:tcW w:w="1155"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58 </w:t>
            </w:r>
          </w:p>
        </w:tc>
        <w:tc>
          <w:tcPr>
            <w:tcW w:w="110"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28"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27"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(44,741)</w:t>
            </w:r>
          </w:p>
        </w:tc>
        <w:tc>
          <w:tcPr>
            <w:tcW w:w="110"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(41,930)</w:t>
            </w:r>
          </w:p>
        </w:tc>
        <w:tc>
          <w:tcPr>
            <w:tcW w:w="1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(2,811)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w:t>
            </w:r>
          </w:p>
        </w:tc>
        <w:tc>
          <w:tcPr>
            <w:tcW w:w="632"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12520"/>
                <wp:effectExtent l="0" t="0" r="0" b="0"/>
                <wp:wrapNone/>
                <wp:docPr id="90" name="Frame3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457200" cy="95250"/>
                                                </a:xfrm>
                                                <a:prstGeom prst="rect">
                                                  <a:avLst/>
                                                </a:prstGeom>
                                              </pic:spPr>
                                            </pic:pic>
                                          </a:graphicData>
                                        </a:graphic>
                                      </wp:inline>
                                    </w:drawing>
                                  </w:r>
                                  <w:bookmarkStart w:id="60" w:name="i-31"/>
                                  <w:bookmarkEnd w:id="6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2"/>
                                          <a:stretch>
                                            <a:fillRect/>
                                          </a:stretch>
                                        </pic:blipFill>
                                        <pic:spPr bwMode="auto">
                                          <a:xfrm>
                                            <a:off x="0" y="0"/>
                                            <a:ext cx="457200" cy="95250"/>
                                          </a:xfrm>
                                          <a:prstGeom prst="rect">
                                            <a:avLst/>
                                          </a:prstGeom>
                                        </pic:spPr>
                                      </pic:pic>
                                    </a:graphicData>
                                  </a:graphic>
                                </wp:inline>
                              </w:drawing>
                            </w:r>
                            <w:bookmarkStart w:id="61" w:name="i-31"/>
                            <w:bookmarkEnd w:id="6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1276" w:type="dxa"/>
        <w:jc w:val="left"/>
        <w:tblInd w:w="0" w:type="dxa"/>
        <w:tblLayout w:type="fixed"/>
        <w:tblCellMar>
          <w:top w:w="28" w:type="dxa"/>
          <w:left w:w="28" w:type="dxa"/>
          <w:bottom w:w="28" w:type="dxa"/>
          <w:right w:w="28" w:type="dxa"/>
        </w:tblCellMar>
      </w:tblPr>
      <w:tblGrid>
        <w:gridCol w:w="408"/>
        <w:gridCol w:w="359"/>
        <w:gridCol w:w="509"/>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Revenue</w:t>
            </w:r>
          </w:p>
        </w:tc>
      </w:tr>
    </w:tbl>
    <w:tbl>
      <w:tblPr>
        <w:tblW w:w="1739" w:type="dxa"/>
        <w:jc w:val="left"/>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Total Revenue</w:t>
            </w:r>
          </w:p>
        </w:tc>
      </w:tr>
    </w:tbl>
    <w:p>
      <w:pPr>
        <w:pStyle w:val="TextBody"/>
        <w:bidi w:val="0"/>
        <w:spacing w:before="120" w:after="283"/>
        <w:jc w:val="both"/>
        <w:rPr/>
      </w:pPr>
      <w:r>
        <w:rPr/>
        <w:drawing>
          <wp:inline distT="0" distB="0" distL="0" distR="0">
            <wp:extent cx="1638300" cy="1457325"/>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63"/>
                    <a:stretch>
                      <a:fillRect/>
                    </a:stretch>
                  </pic:blipFill>
                  <pic:spPr bwMode="auto">
                    <a:xfrm>
                      <a:off x="0" y="0"/>
                      <a:ext cx="1638300" cy="1457325"/>
                    </a:xfrm>
                    <a:prstGeom prst="rect">
                      <a:avLst/>
                    </a:prstGeom>
                  </pic:spPr>
                </pic:pic>
              </a:graphicData>
            </a:graphic>
          </wp:inline>
        </w:drawing>
      </w:r>
      <w:bookmarkStart w:id="62" w:name="i-32"/>
      <w:bookmarkEnd w:id="62"/>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Total revenue decreased $0.8 million, or 2%, for the second quarter of 2026 compared with the same quarter of 2025.</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Product revenue decreased $0.1 million primarily due to a decrease of $1.3 million, or 9%, in instrument revenue partially offset by an increase of $1.2 million, or 6%, in consumable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Service and other revenue decreased $0.6 million, or 9%.</w:t>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Consumables Revenue</w:t>
            </w:r>
          </w:p>
        </w:tc>
      </w:tr>
    </w:tbl>
    <w:p>
      <w:pPr>
        <w:pStyle w:val="TextBody"/>
        <w:bidi w:val="0"/>
        <w:spacing w:before="240" w:after="283"/>
        <w:jc w:val="both"/>
        <w:rPr/>
      </w:pPr>
      <w:r>
        <w:rPr/>
        <w:drawing>
          <wp:inline distT="0" distB="0" distL="0" distR="0">
            <wp:extent cx="1638300" cy="1552575"/>
            <wp:effectExtent l="0" t="0" r="0" b="0"/>
            <wp:docPr id="9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3" descr=""/>
                    <pic:cNvPicPr>
                      <a:picLocks noChangeAspect="1" noChangeArrowheads="1"/>
                    </pic:cNvPicPr>
                  </pic:nvPicPr>
                  <pic:blipFill>
                    <a:blip r:embed="rId64"/>
                    <a:stretch>
                      <a:fillRect/>
                    </a:stretch>
                  </pic:blipFill>
                  <pic:spPr bwMode="auto">
                    <a:xfrm>
                      <a:off x="0" y="0"/>
                      <a:ext cx="1638300" cy="1552575"/>
                    </a:xfrm>
                    <a:prstGeom prst="rect">
                      <a:avLst/>
                    </a:prstGeom>
                  </pic:spPr>
                </pic:pic>
              </a:graphicData>
            </a:graphic>
          </wp:inline>
        </w:drawing>
      </w:r>
      <w:bookmarkStart w:id="63" w:name="i-33"/>
      <w:bookmarkEnd w:id="63"/>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increase in consumables revenue for the second quarter of 2026 was primarily driven by higher Revio consumables sales, reflecting the continued expansion of the Revio instrument installed base. We also launched SPRQ-Nx during the second quarter of 2026.</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Shipments of Vega consumables also contributed to the increase in consumables revenue during the period, and we anticipate increased contributions as customers continue ramping usage of the Vega platform and the installed base expands.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Looking ahead, we expect continued growth in consumables revenue as Revio and Vega installed bases continue to grow, along with increased demand in connection with the recent launch of SPRQ-Nx. This anticipated growth reflects increasing instrument placements, improving consumable utilization, broadening addressable applications for our platforms, and further expanding adoption across our research, clinical and commercial customers.</w:t>
      </w:r>
    </w:p>
    <w:tbl>
      <w:tblPr>
        <w:tblW w:w="2399" w:type="dxa"/>
        <w:jc w:val="left"/>
        <w:tblInd w:w="0" w:type="dxa"/>
        <w:tblLayout w:type="fixed"/>
        <w:tblCellMar>
          <w:top w:w="28" w:type="dxa"/>
          <w:left w:w="28" w:type="dxa"/>
          <w:bottom w:w="28" w:type="dxa"/>
          <w:right w:w="28" w:type="dxa"/>
        </w:tblCellMar>
      </w:tblPr>
      <w:tblGrid>
        <w:gridCol w:w="768"/>
        <w:gridCol w:w="674"/>
        <w:gridCol w:w="957"/>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Instrument Revenue</w:t>
            </w:r>
          </w:p>
        </w:tc>
      </w:tr>
    </w:tbl>
    <w:p>
      <w:pPr>
        <w:pStyle w:val="TextBody"/>
        <w:bidi w:val="0"/>
        <w:spacing w:before="120" w:after="283"/>
        <w:jc w:val="both"/>
        <w:rPr/>
      </w:pPr>
      <w:r>
        <w:rPr/>
        <w:drawing>
          <wp:inline distT="0" distB="0" distL="0" distR="0">
            <wp:extent cx="1638300" cy="1457325"/>
            <wp:effectExtent l="0" t="0" r="0" b="0"/>
            <wp:docPr id="9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4" descr=""/>
                    <pic:cNvPicPr>
                      <a:picLocks noChangeAspect="1" noChangeArrowheads="1"/>
                    </pic:cNvPicPr>
                  </pic:nvPicPr>
                  <pic:blipFill>
                    <a:blip r:embed="rId65"/>
                    <a:stretch>
                      <a:fillRect/>
                    </a:stretch>
                  </pic:blipFill>
                  <pic:spPr bwMode="auto">
                    <a:xfrm>
                      <a:off x="0" y="0"/>
                      <a:ext cx="1638300" cy="1457325"/>
                    </a:xfrm>
                    <a:prstGeom prst="rect">
                      <a:avLst/>
                    </a:prstGeom>
                  </pic:spPr>
                </pic:pic>
              </a:graphicData>
            </a:graphic>
          </wp:inline>
        </w:drawing>
      </w:r>
      <w:bookmarkStart w:id="64" w:name="i-34"/>
      <w:bookmarkEnd w:id="64"/>
    </w:p>
    <w:p>
      <w:pPr>
        <w:pStyle w:val="TextBody"/>
        <w:bidi w:val="0"/>
        <w:spacing w:lineRule="auto" w:line="288" w:before="0" w:after="0"/>
        <w:jc w:val="both"/>
        <w:rPr/>
      </w:pPr>
      <w:r>
        <w:rPr>
          <w:rFonts w:ascii="Roboto;sans-serif" w:hAnsi="Roboto;sans-serif"/>
          <w:b w:val="false"/>
          <w:color w:val="000000"/>
          <w:sz w:val="20"/>
        </w:rPr>
        <w:t>Instrument revenue decreased for the second quarter of 2026 reflecting l</w:t>
      </w:r>
      <w:r>
        <w:rPr>
          <w:rFonts w:ascii="Arial;sans-serif" w:hAnsi="Arial;sans-serif"/>
          <w:b w:val="false"/>
          <w:color w:val="000000"/>
          <w:sz w:val="20"/>
        </w:rPr>
        <w:t xml:space="preserve">ower Revio average selling prices associated with strategic multi-system customer placements. Instrument revenue was also impacted by </w:t>
      </w:r>
      <w:r>
        <w:rPr>
          <w:rFonts w:ascii="Roboto;sans-serif" w:hAnsi="Roboto;sans-serif"/>
          <w:b w:val="false"/>
          <w:color w:val="000000"/>
          <w:sz w:val="20"/>
        </w:rPr>
        <w:t>variability in customer purchasing behavior resulting from uncertainty surrounding the funding for new capital equipment, particularly among academic and research institutions.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of Vega systems decreased for the second quarter of 2026. We sold 26 units compared to 38 units in the same quarter of 2025. Sales of Revio systems increased with 20 units sold compared to 15 units in the same quarter of 2025.</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expect that instrument revenue may fluctuate quarter-to-quarter based on timing of customer purchasing decisions, sales mix, promotional activities, and funding dynamics.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12520"/>
                <wp:effectExtent l="0" t="0" r="0" b="0"/>
                <wp:wrapNone/>
                <wp:docPr id="96" name="Frame3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5" descr=""/>
                                                <pic:cNvPicPr>
                                                  <a:picLocks noChangeAspect="1" noChangeArrowheads="1"/>
                                                </pic:cNvPicPr>
                                              </pic:nvPicPr>
                                              <pic:blipFill>
                                                <a:blip r:embed="rId66"/>
                                                <a:stretch>
                                                  <a:fillRect/>
                                                </a:stretch>
                                              </pic:blipFill>
                                              <pic:spPr bwMode="auto">
                                                <a:xfrm>
                                                  <a:off x="0" y="0"/>
                                                  <a:ext cx="457200" cy="95250"/>
                                                </a:xfrm>
                                                <a:prstGeom prst="rect">
                                                  <a:avLst/>
                                                </a:prstGeom>
                                              </pic:spPr>
                                            </pic:pic>
                                          </a:graphicData>
                                        </a:graphic>
                                      </wp:inline>
                                    </w:drawing>
                                  </w:r>
                                  <w:bookmarkStart w:id="65" w:name="i-35"/>
                                  <w:bookmarkEnd w:id="6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9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5" descr=""/>
                                          <pic:cNvPicPr>
                                            <a:picLocks noChangeAspect="1" noChangeArrowheads="1"/>
                                          </pic:cNvPicPr>
                                        </pic:nvPicPr>
                                        <pic:blipFill>
                                          <a:blip r:embed="rId67"/>
                                          <a:stretch>
                                            <a:fillRect/>
                                          </a:stretch>
                                        </pic:blipFill>
                                        <pic:spPr bwMode="auto">
                                          <a:xfrm>
                                            <a:off x="0" y="0"/>
                                            <a:ext cx="457200" cy="95250"/>
                                          </a:xfrm>
                                          <a:prstGeom prst="rect">
                                            <a:avLst/>
                                          </a:prstGeom>
                                        </pic:spPr>
                                      </pic:pic>
                                    </a:graphicData>
                                  </a:graphic>
                                </wp:inline>
                              </w:drawing>
                            </w:r>
                            <w:bookmarkStart w:id="66" w:name="i-35"/>
                            <w:bookmarkEnd w:id="6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4334" w:type="dxa"/>
        <w:jc w:val="left"/>
        <w:tblInd w:w="0" w:type="dxa"/>
        <w:tblLayout w:type="fixed"/>
        <w:tblCellMar>
          <w:top w:w="28" w:type="dxa"/>
          <w:left w:w="28" w:type="dxa"/>
          <w:bottom w:w="28" w:type="dxa"/>
          <w:right w:w="28" w:type="dxa"/>
        </w:tblCellMar>
      </w:tblPr>
      <w:tblGrid>
        <w:gridCol w:w="1386"/>
        <w:gridCol w:w="1219"/>
        <w:gridCol w:w="1729"/>
      </w:tblGrid>
      <w:tr>
        <w:trPr/>
        <w:tc>
          <w:tcPr>
            <w:tcW w:w="138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Cost of Revenue and Gross Profit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Total cost of revenue increased $1.3 million, or 5%, in the second quarter of 2026 compared to the same quarter of 2025. Total cost of revenue included share-based compensation expense of $0.7 million and $0.9 million during the second quarter of 2026 and 2025,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Cost of product revenue increased $0.9 million, or 5%, in the second quarter of 2026 compared to the same quarter of 2025 primarily due to exit costs associated with a contract manufacturer, increased memory costs, product transition costs related to the disposition of assets in the first quarter of 2026, and amortization of the patent license obtained through the legal settlement with PGI. These increases were partially offset by lower Instrument volumes and a shifting Consumables product mix.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Gross profit decreased $2.0 million, or 14%, during the second quarter of 2026 compared to the same period of 2025. The decrease was driven primarily by slightly lower revenue and the increase in cost of revenue described above. While higher consumables mix and the introduction of SPRQ-Nx remain important drivers of margin expansion, rising computing component costs will temper the pace of margin improvement in the near term. Gross margins may be affected by product mix, manufacturing efficiencies, changes in warranty costs, average selling price fluctuations, including promotional pricing, future product launches, changes to inventory reserves, costs of raw materials and increased computing component costs, specifically memory, which may result in material cost pressures and supply constraints in future periods, and tariffs.</w:t>
      </w:r>
    </w:p>
    <w:tbl>
      <w:tblPr>
        <w:tblW w:w="4785" w:type="dxa"/>
        <w:jc w:val="left"/>
        <w:tblInd w:w="0" w:type="dxa"/>
        <w:tblLayout w:type="fixed"/>
        <w:tblCellMar>
          <w:top w:w="28" w:type="dxa"/>
          <w:left w:w="28" w:type="dxa"/>
          <w:bottom w:w="28" w:type="dxa"/>
          <w:right w:w="28" w:type="dxa"/>
        </w:tblCellMar>
      </w:tblPr>
      <w:tblGrid>
        <w:gridCol w:w="1532"/>
        <w:gridCol w:w="1345"/>
        <w:gridCol w:w="1908"/>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Research and Development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Research and development expense increased by $0.5 million, or 2%, for the second quarter of 2026, compared to the same quarter of 2025. The increase was primarily driven by higher product development costs associated with ongoing investments in future sequencing platform development, partially offset by lower personnel and related expenses, including share-based compensation expense. Research and development expense included share-based compensation expense of $2.4 million and $3.3 million during the second quarter of 2026 and 2025, respectively. We anticipate research and development expense to decrease during the remainder of 2026 in connection with our recently announced expense reduction initiatives, primarily due to headcount reductions.</w:t>
      </w:r>
    </w:p>
    <w:tbl>
      <w:tblPr>
        <w:tblW w:w="5714" w:type="dxa"/>
        <w:jc w:val="left"/>
        <w:tblInd w:w="0" w:type="dxa"/>
        <w:tblLayout w:type="fixed"/>
        <w:tblCellMar>
          <w:top w:w="28" w:type="dxa"/>
          <w:left w:w="28" w:type="dxa"/>
          <w:bottom w:w="28" w:type="dxa"/>
          <w:right w:w="28" w:type="dxa"/>
        </w:tblCellMar>
      </w:tblPr>
      <w:tblGrid>
        <w:gridCol w:w="1828"/>
        <w:gridCol w:w="1607"/>
        <w:gridCol w:w="2279"/>
      </w:tblGrid>
      <w:tr>
        <w:trPr/>
        <w:tc>
          <w:tcPr>
            <w:tcW w:w="182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Sales, General, and Administrative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general and administrative expense decreased by $2.8 million, or 8%, for the second quarter of 2026, compared to the same quarter of 2025. The decrease was primarily driven by lower personnel and related expenses, including share-based compensation. We also recorded $0.6 million of restructuring-related charges in the second quarter of 2025. Sales, general, and administrative expense included share-based compensation expense of $6.2 million and $7.7 million during the second quarter of 2026 and 2025, respectively. We anticipate sales, general, and administrative expense to decrease during the remainder of 2026 in connection with our recently announced expense reduction initiatives, primarily due to headcount reductions.</w:t>
      </w:r>
    </w:p>
    <w:tbl>
      <w:tblPr>
        <w:tblW w:w="5639" w:type="dxa"/>
        <w:jc w:val="left"/>
        <w:tblInd w:w="0" w:type="dxa"/>
        <w:tblLayout w:type="fixed"/>
        <w:tblCellMar>
          <w:top w:w="28" w:type="dxa"/>
          <w:left w:w="28" w:type="dxa"/>
          <w:bottom w:w="28" w:type="dxa"/>
          <w:right w:w="28" w:type="dxa"/>
        </w:tblCellMar>
      </w:tblPr>
      <w:tblGrid>
        <w:gridCol w:w="1807"/>
        <w:gridCol w:w="1587"/>
        <w:gridCol w:w="2245"/>
      </w:tblGrid>
      <w:tr>
        <w:trPr/>
        <w:tc>
          <w:tcPr>
            <w:tcW w:w="180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Amortization of Acquired Intangible Assets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included in operating expenses for the second quarter of 2026 and 2025 consists of amortization expense attributable to acquired intangible assets that are not directly related to sales generating activities.</w:t>
      </w:r>
    </w:p>
    <w:tbl>
      <w:tblPr>
        <w:tblW w:w="2309" w:type="dxa"/>
        <w:jc w:val="left"/>
        <w:tblInd w:w="0" w:type="dxa"/>
        <w:tblLayout w:type="fixed"/>
        <w:tblCellMar>
          <w:top w:w="28" w:type="dxa"/>
          <w:left w:w="28" w:type="dxa"/>
          <w:bottom w:w="28" w:type="dxa"/>
          <w:right w:w="28" w:type="dxa"/>
        </w:tblCellMar>
      </w:tblPr>
      <w:tblGrid>
        <w:gridCol w:w="739"/>
        <w:gridCol w:w="649"/>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Interest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Interest expense for the second quarter of 2026 and 2025 was primarily comprised of interest on the convertible senior notes. Interest expense for the second quarter of 2026 also included interest related to the liability recorded for the license and settlement agreement with PGI.</w:t>
      </w:r>
    </w:p>
    <w:tbl>
      <w:tblPr>
        <w:tblW w:w="2504" w:type="dxa"/>
        <w:jc w:val="left"/>
        <w:tblInd w:w="0" w:type="dxa"/>
        <w:tblLayout w:type="fixed"/>
        <w:tblCellMar>
          <w:top w:w="28" w:type="dxa"/>
          <w:left w:w="28" w:type="dxa"/>
          <w:bottom w:w="28" w:type="dxa"/>
          <w:right w:w="28" w:type="dxa"/>
        </w:tblCellMar>
      </w:tblPr>
      <w:tblGrid>
        <w:gridCol w:w="802"/>
        <w:gridCol w:w="705"/>
        <w:gridCol w:w="997"/>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Other Income,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income, net for the second quarter of 2026 decreased compared to the same quarter of 2025 primarily driven by lower investment income due to lower cash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12520"/>
                <wp:effectExtent l="0" t="0" r="0" b="0"/>
                <wp:wrapNone/>
                <wp:docPr id="99" name="Frame3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6" descr=""/>
                                                <pic:cNvPicPr>
                                                  <a:picLocks noChangeAspect="1" noChangeArrowheads="1"/>
                                                </pic:cNvPicPr>
                                              </pic:nvPicPr>
                                              <pic:blipFill>
                                                <a:blip r:embed="rId68"/>
                                                <a:stretch>
                                                  <a:fillRect/>
                                                </a:stretch>
                                              </pic:blipFill>
                                              <pic:spPr bwMode="auto">
                                                <a:xfrm>
                                                  <a:off x="0" y="0"/>
                                                  <a:ext cx="457200" cy="95250"/>
                                                </a:xfrm>
                                                <a:prstGeom prst="rect">
                                                  <a:avLst/>
                                                </a:prstGeom>
                                              </pic:spPr>
                                            </pic:pic>
                                          </a:graphicData>
                                        </a:graphic>
                                      </wp:inline>
                                    </w:drawing>
                                  </w:r>
                                  <w:bookmarkStart w:id="67" w:name="i-36"/>
                                  <w:bookmarkEnd w:id="6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6" descr=""/>
                                          <pic:cNvPicPr>
                                            <a:picLocks noChangeAspect="1" noChangeArrowheads="1"/>
                                          </pic:cNvPicPr>
                                        </pic:nvPicPr>
                                        <pic:blipFill>
                                          <a:blip r:embed="rId69"/>
                                          <a:stretch>
                                            <a:fillRect/>
                                          </a:stretch>
                                        </pic:blipFill>
                                        <pic:spPr bwMode="auto">
                                          <a:xfrm>
                                            <a:off x="0" y="0"/>
                                            <a:ext cx="457200" cy="95250"/>
                                          </a:xfrm>
                                          <a:prstGeom prst="rect">
                                            <a:avLst/>
                                          </a:prstGeom>
                                        </pic:spPr>
                                      </pic:pic>
                                    </a:graphicData>
                                  </a:graphic>
                                </wp:inline>
                              </w:drawing>
                            </w:r>
                            <w:bookmarkStart w:id="68" w:name="i-36"/>
                            <w:bookmarkEnd w:id="6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7859" w:type="dxa"/>
        <w:jc w:val="left"/>
        <w:tblInd w:w="0" w:type="dxa"/>
        <w:tblLayout w:type="fixed"/>
        <w:tblCellMar>
          <w:top w:w="28" w:type="dxa"/>
          <w:left w:w="28" w:type="dxa"/>
          <w:bottom w:w="28" w:type="dxa"/>
          <w:right w:w="28" w:type="dxa"/>
        </w:tblCellMar>
      </w:tblPr>
      <w:tblGrid>
        <w:gridCol w:w="2514"/>
        <w:gridCol w:w="2212"/>
        <w:gridCol w:w="3133"/>
      </w:tblGrid>
      <w:tr>
        <w:trPr/>
        <w:tc>
          <w:tcPr>
            <w:tcW w:w="251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r>
      <w:tr>
        <w:trPr/>
        <w:tc>
          <w:tcPr>
            <w:tcW w:w="78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Comparison of the Six Months Ended June 30, 2026 and 2025</w:t>
            </w:r>
          </w:p>
        </w:tc>
      </w:tr>
    </w:tbl>
    <w:tbl>
      <w:tblPr>
        <w:tblW w:w="10205" w:type="dxa"/>
        <w:jc w:val="left"/>
        <w:tblInd w:w="0" w:type="dxa"/>
        <w:tblLayout w:type="fixed"/>
        <w:tblCellMar>
          <w:top w:w="28" w:type="dxa"/>
          <w:left w:w="28" w:type="dxa"/>
          <w:bottom w:w="28" w:type="dxa"/>
          <w:right w:w="28" w:type="dxa"/>
        </w:tblCellMar>
      </w:tblPr>
      <w:tblGrid>
        <w:gridCol w:w="1523"/>
        <w:gridCol w:w="1318"/>
        <w:gridCol w:w="1321"/>
        <w:gridCol w:w="226"/>
        <w:gridCol w:w="908"/>
        <w:gridCol w:w="109"/>
        <w:gridCol w:w="109"/>
        <w:gridCol w:w="109"/>
        <w:gridCol w:w="109"/>
        <w:gridCol w:w="226"/>
        <w:gridCol w:w="1028"/>
        <w:gridCol w:w="109"/>
        <w:gridCol w:w="109"/>
        <w:gridCol w:w="109"/>
        <w:gridCol w:w="109"/>
        <w:gridCol w:w="226"/>
        <w:gridCol w:w="946"/>
        <w:gridCol w:w="109"/>
        <w:gridCol w:w="109"/>
        <w:gridCol w:w="109"/>
        <w:gridCol w:w="109"/>
        <w:gridCol w:w="270"/>
        <w:gridCol w:w="271"/>
        <w:gridCol w:w="634"/>
      </w:tblGrid>
      <w:tr>
        <w:trPr/>
        <w:tc>
          <w:tcPr>
            <w:tcW w:w="152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4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except percentages)</w:t>
            </w:r>
          </w:p>
        </w:tc>
        <w:tc>
          <w:tcPr>
            <w:tcW w:w="1243"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6"/>
              </w:rPr>
            </w:pPr>
            <w:r>
              <w:rPr>
                <w:rFonts w:ascii="Roboto;sans-serif" w:hAnsi="Roboto;sans-serif"/>
                <w:b/>
                <w:color w:val="1383C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 Change</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243" w:type="dxa"/>
            <w:gridSpan w:val="3"/>
            <w:tcBorders>
              <w:top w:val="single" w:sz="8" w:space="0" w:color="000000"/>
            </w:tcBorders>
            <w:shd w:fill="E7F2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26" w:type="dxa"/>
            <w:tcBorders/>
            <w:shd w:fill="E7F2F9"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08" w:type="dxa"/>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64,484 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11,701 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134"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76,185 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76,919 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(734)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24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40,916 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9,424 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366 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(92</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134"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50,706 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63,606 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(12,900)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134"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25,479 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12,166 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91</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243" w:type="dxa"/>
            <w:gridSpan w:val="3"/>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42,630 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51,582 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64,546 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76,343 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(11,797)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Impairment charges</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Settlement charges</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15,400 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Gain on disposal of assets</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(45,796)</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(45,796)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1,666 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362,875 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(361,209)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color w:val="1383C6"/>
              </w:rPr>
            </w:pPr>
            <w:r>
              <w:rPr>
                <w:color w:val="1383C6"/>
              </w:rPr>
              <w:t>—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(18,700)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134"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78,446 </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487,100 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(408,654)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(84</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(52,967)</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(473,787)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420,820 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(3,850)</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4,043 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before income taxes</w:t>
            </w:r>
          </w:p>
        </w:tc>
        <w:tc>
          <w:tcPr>
            <w:tcW w:w="1134" w:type="dxa"/>
            <w:gridSpan w:val="2"/>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(52,774)</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(468,272)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415,498 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Income tax provision (benefit)</w:t>
            </w:r>
          </w:p>
        </w:tc>
        <w:tc>
          <w:tcPr>
            <w:tcW w:w="113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242 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(191</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4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18"/>
              </w:rPr>
            </w:pPr>
            <w:r>
              <w:rPr>
                <w:rFonts w:ascii="Roboto;sans-serif" w:hAnsi="Roboto;sans-serif"/>
                <w:b w:val="false"/>
                <w:color w:val="1383C6"/>
                <w:sz w:val="18"/>
              </w:rPr>
              <w:t>$</w:t>
            </w:r>
          </w:p>
        </w:tc>
        <w:tc>
          <w:tcPr>
            <w:tcW w:w="908"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18"/>
              </w:rPr>
            </w:pPr>
            <w:r>
              <w:rPr>
                <w:rFonts w:ascii="Roboto;sans-serif" w:hAnsi="Roboto;sans-serif"/>
                <w:b w:val="false"/>
                <w:color w:val="1383C6"/>
                <w:sz w:val="18"/>
              </w:rPr>
              <w:t>(53,016)</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(468,005)</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414,989 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w:t>
            </w:r>
          </w:p>
        </w:tc>
        <w:tc>
          <w:tcPr>
            <w:tcW w:w="634" w:type="dxa"/>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12520"/>
                <wp:effectExtent l="0" t="0" r="0" b="0"/>
                <wp:wrapNone/>
                <wp:docPr id="102" name="Frame3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7" descr=""/>
                                                <pic:cNvPicPr>
                                                  <a:picLocks noChangeAspect="1" noChangeArrowheads="1"/>
                                                </pic:cNvPicPr>
                                              </pic:nvPicPr>
                                              <pic:blipFill>
                                                <a:blip r:embed="rId70"/>
                                                <a:stretch>
                                                  <a:fillRect/>
                                                </a:stretch>
                                              </pic:blipFill>
                                              <pic:spPr bwMode="auto">
                                                <a:xfrm>
                                                  <a:off x="0" y="0"/>
                                                  <a:ext cx="457200" cy="95250"/>
                                                </a:xfrm>
                                                <a:prstGeom prst="rect">
                                                  <a:avLst/>
                                                </a:prstGeom>
                                              </pic:spPr>
                                            </pic:pic>
                                          </a:graphicData>
                                        </a:graphic>
                                      </wp:inline>
                                    </w:drawing>
                                  </w:r>
                                  <w:bookmarkStart w:id="69" w:name="i-37"/>
                                  <w:bookmarkEnd w:id="6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7" descr=""/>
                                          <pic:cNvPicPr>
                                            <a:picLocks noChangeAspect="1" noChangeArrowheads="1"/>
                                          </pic:cNvPicPr>
                                        </pic:nvPicPr>
                                        <pic:blipFill>
                                          <a:blip r:embed="rId71"/>
                                          <a:stretch>
                                            <a:fillRect/>
                                          </a:stretch>
                                        </pic:blipFill>
                                        <pic:spPr bwMode="auto">
                                          <a:xfrm>
                                            <a:off x="0" y="0"/>
                                            <a:ext cx="457200" cy="95250"/>
                                          </a:xfrm>
                                          <a:prstGeom prst="rect">
                                            <a:avLst/>
                                          </a:prstGeom>
                                        </pic:spPr>
                                      </pic:pic>
                                    </a:graphicData>
                                  </a:graphic>
                                </wp:inline>
                              </w:drawing>
                            </w:r>
                            <w:bookmarkStart w:id="70" w:name="i-37"/>
                            <w:bookmarkEnd w:id="7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1276" w:type="dxa"/>
        <w:jc w:val="left"/>
        <w:tblInd w:w="0" w:type="dxa"/>
        <w:tblLayout w:type="fixed"/>
        <w:tblCellMar>
          <w:top w:w="28" w:type="dxa"/>
          <w:left w:w="28" w:type="dxa"/>
          <w:bottom w:w="28" w:type="dxa"/>
          <w:right w:w="28" w:type="dxa"/>
        </w:tblCellMar>
      </w:tblPr>
      <w:tblGrid>
        <w:gridCol w:w="408"/>
        <w:gridCol w:w="359"/>
        <w:gridCol w:w="509"/>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Revenue</w:t>
            </w:r>
          </w:p>
        </w:tc>
      </w:tr>
    </w:tbl>
    <w:tbl>
      <w:tblPr>
        <w:tblW w:w="1739" w:type="dxa"/>
        <w:jc w:val="left"/>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Total Revenue</w:t>
            </w:r>
          </w:p>
        </w:tc>
      </w:tr>
    </w:tbl>
    <w:p>
      <w:pPr>
        <w:pStyle w:val="TextBody"/>
        <w:bidi w:val="0"/>
        <w:spacing w:before="120" w:after="283"/>
        <w:jc w:val="both"/>
        <w:rPr/>
      </w:pPr>
      <w:r>
        <w:rPr/>
        <w:drawing>
          <wp:inline distT="0" distB="0" distL="0" distR="0">
            <wp:extent cx="1638300" cy="1457325"/>
            <wp:effectExtent l="0" t="0" r="0" b="0"/>
            <wp:docPr id="10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8" descr=""/>
                    <pic:cNvPicPr>
                      <a:picLocks noChangeAspect="1" noChangeArrowheads="1"/>
                    </pic:cNvPicPr>
                  </pic:nvPicPr>
                  <pic:blipFill>
                    <a:blip r:embed="rId72"/>
                    <a:stretch>
                      <a:fillRect/>
                    </a:stretch>
                  </pic:blipFill>
                  <pic:spPr bwMode="auto">
                    <a:xfrm>
                      <a:off x="0" y="0"/>
                      <a:ext cx="1638300" cy="1457325"/>
                    </a:xfrm>
                    <a:prstGeom prst="rect">
                      <a:avLst/>
                    </a:prstGeom>
                  </pic:spPr>
                </pic:pic>
              </a:graphicData>
            </a:graphic>
          </wp:inline>
        </w:drawing>
      </w:r>
      <w:bookmarkStart w:id="71" w:name="i-38"/>
      <w:bookmarkEnd w:id="71"/>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Total revenue decreased $0.7 million, or 1%, during the six months ended June 30, 2026 compared with the same period of 2025.</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Product revenue increased $0.3 million primarily due to an increase of $2.9 million, or 7%, in consumable revenue partially offset by a decrease of $2.6 million, or 10%, in instrument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Service and other revenue decreased $1.0 million, or 8%.</w:t>
      </w:r>
    </w:p>
    <w:p>
      <w:pPr>
        <w:pStyle w:val="TextBody"/>
        <w:bidi w:val="0"/>
        <w:spacing w:before="120" w:after="283"/>
        <w:jc w:val="both"/>
        <w:rPr/>
      </w:pPr>
      <w:r>
        <w:rPr/>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Consumables Revenue</w:t>
            </w:r>
          </w:p>
        </w:tc>
      </w:tr>
    </w:tbl>
    <w:p>
      <w:pPr>
        <w:pStyle w:val="TextBody"/>
        <w:bidi w:val="0"/>
        <w:spacing w:before="240" w:after="283"/>
        <w:jc w:val="both"/>
        <w:rPr/>
      </w:pPr>
      <w:r>
        <w:rPr/>
        <w:drawing>
          <wp:inline distT="0" distB="0" distL="0" distR="0">
            <wp:extent cx="1638300" cy="1552575"/>
            <wp:effectExtent l="0" t="0" r="0" b="0"/>
            <wp:docPr id="10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9" descr=""/>
                    <pic:cNvPicPr>
                      <a:picLocks noChangeAspect="1" noChangeArrowheads="1"/>
                    </pic:cNvPicPr>
                  </pic:nvPicPr>
                  <pic:blipFill>
                    <a:blip r:embed="rId73"/>
                    <a:stretch>
                      <a:fillRect/>
                    </a:stretch>
                  </pic:blipFill>
                  <pic:spPr bwMode="auto">
                    <a:xfrm>
                      <a:off x="0" y="0"/>
                      <a:ext cx="1638300" cy="1552575"/>
                    </a:xfrm>
                    <a:prstGeom prst="rect">
                      <a:avLst/>
                    </a:prstGeom>
                  </pic:spPr>
                </pic:pic>
              </a:graphicData>
            </a:graphic>
          </wp:inline>
        </w:drawing>
      </w:r>
      <w:bookmarkStart w:id="72" w:name="i-39"/>
      <w:bookmarkEnd w:id="72"/>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increase in consumables revenue during the six months ended June 30, 2026 was primarily driven by higher Revio consumables sales, reflecting the continued expansion of the Revio instrument installed base. We also launched SPRQ-Nx during the second quarter of 2026.</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Shipments of Vega consumables also contributed to the increase in consumables revenue during the period, and we anticipate increased contributions as customers continue ramping usage of the Vega platform and the installed base expands.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Looking ahead, we expect continued growth in consumables revenue as Revio and Vega installed bases continue to grow, along with increased demand in connection with the recent launch of SPRQ-Nx. This anticipated growth reflects increasing instrument placements, improving consumable utilization, broadening addressable applications for our platforms, and further expanding adoption across our research, clinical and commercial customers.</w:t>
      </w:r>
    </w:p>
    <w:tbl>
      <w:tblPr>
        <w:tblW w:w="2399" w:type="dxa"/>
        <w:jc w:val="left"/>
        <w:tblInd w:w="0" w:type="dxa"/>
        <w:tblLayout w:type="fixed"/>
        <w:tblCellMar>
          <w:top w:w="28" w:type="dxa"/>
          <w:left w:w="28" w:type="dxa"/>
          <w:bottom w:w="28" w:type="dxa"/>
          <w:right w:w="28" w:type="dxa"/>
        </w:tblCellMar>
      </w:tblPr>
      <w:tblGrid>
        <w:gridCol w:w="768"/>
        <w:gridCol w:w="674"/>
        <w:gridCol w:w="957"/>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i/>
                <w:color w:val="1383C6"/>
                <w:sz w:val="20"/>
              </w:rPr>
            </w:pPr>
            <w:r>
              <w:rPr>
                <w:rFonts w:ascii="Roboto;sans-serif" w:hAnsi="Roboto;sans-serif"/>
                <w:b/>
                <w:i/>
                <w:color w:val="1383C6"/>
                <w:sz w:val="20"/>
              </w:rPr>
              <w:t>Instrument Revenue</w:t>
            </w:r>
          </w:p>
        </w:tc>
      </w:tr>
    </w:tbl>
    <w:p>
      <w:pPr>
        <w:pStyle w:val="TextBody"/>
        <w:bidi w:val="0"/>
        <w:spacing w:before="120" w:after="283"/>
        <w:jc w:val="both"/>
        <w:rPr/>
      </w:pPr>
      <w:r>
        <w:rPr/>
        <w:drawing>
          <wp:inline distT="0" distB="0" distL="0" distR="0">
            <wp:extent cx="1638300" cy="1457325"/>
            <wp:effectExtent l="0" t="0" r="0" b="0"/>
            <wp:docPr id="10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0" descr=""/>
                    <pic:cNvPicPr>
                      <a:picLocks noChangeAspect="1" noChangeArrowheads="1"/>
                    </pic:cNvPicPr>
                  </pic:nvPicPr>
                  <pic:blipFill>
                    <a:blip r:embed="rId74"/>
                    <a:stretch>
                      <a:fillRect/>
                    </a:stretch>
                  </pic:blipFill>
                  <pic:spPr bwMode="auto">
                    <a:xfrm>
                      <a:off x="0" y="0"/>
                      <a:ext cx="1638300" cy="1457325"/>
                    </a:xfrm>
                    <a:prstGeom prst="rect">
                      <a:avLst/>
                    </a:prstGeom>
                  </pic:spPr>
                </pic:pic>
              </a:graphicData>
            </a:graphic>
          </wp:inline>
        </w:drawing>
      </w:r>
      <w:bookmarkStart w:id="73" w:name="i-40"/>
      <w:bookmarkEnd w:id="73"/>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Instrument revenue decreased during the six months ended June 30, 2026 reflecting lower Revio average selling prices associated with strategic multi-system customer placements. Instrument revenue was also impacted by variability in customer purchasing behavior resulting from uncertainty surrounding the funding for new capital equipment, particularly among academic and research institutions.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Sales of Vega systems decreased during the six months ended June 30, 2026. We sold 53 units compared to 66 units in the same period of 2025. Sales of Revio systems increased with 35 units sold compared to 27 units in the same period of 2025.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expect that instrument revenue may fluctuate quarter-to-quarter based on timing of customer purchasing decisions, sales mix, promotional activities, and funding dynamics.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12520"/>
                <wp:effectExtent l="0" t="0" r="0" b="0"/>
                <wp:wrapNone/>
                <wp:docPr id="108" name="Frame3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0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1" descr=""/>
                                                <pic:cNvPicPr>
                                                  <a:picLocks noChangeAspect="1" noChangeArrowheads="1"/>
                                                </pic:cNvPicPr>
                                              </pic:nvPicPr>
                                              <pic:blipFill>
                                                <a:blip r:embed="rId75"/>
                                                <a:stretch>
                                                  <a:fillRect/>
                                                </a:stretch>
                                              </pic:blipFill>
                                              <pic:spPr bwMode="auto">
                                                <a:xfrm>
                                                  <a:off x="0" y="0"/>
                                                  <a:ext cx="457200" cy="95250"/>
                                                </a:xfrm>
                                                <a:prstGeom prst="rect">
                                                  <a:avLst/>
                                                </a:prstGeom>
                                              </pic:spPr>
                                            </pic:pic>
                                          </a:graphicData>
                                        </a:graphic>
                                      </wp:inline>
                                    </w:drawing>
                                  </w:r>
                                  <w:bookmarkStart w:id="74" w:name="i-41"/>
                                  <w:bookmarkEnd w:id="7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1" descr=""/>
                                          <pic:cNvPicPr>
                                            <a:picLocks noChangeAspect="1" noChangeArrowheads="1"/>
                                          </pic:cNvPicPr>
                                        </pic:nvPicPr>
                                        <pic:blipFill>
                                          <a:blip r:embed="rId76"/>
                                          <a:stretch>
                                            <a:fillRect/>
                                          </a:stretch>
                                        </pic:blipFill>
                                        <pic:spPr bwMode="auto">
                                          <a:xfrm>
                                            <a:off x="0" y="0"/>
                                            <a:ext cx="457200" cy="95250"/>
                                          </a:xfrm>
                                          <a:prstGeom prst="rect">
                                            <a:avLst/>
                                          </a:prstGeom>
                                        </pic:spPr>
                                      </pic:pic>
                                    </a:graphicData>
                                  </a:graphic>
                                </wp:inline>
                              </w:drawing>
                            </w:r>
                            <w:bookmarkStart w:id="75" w:name="i-41"/>
                            <w:bookmarkEnd w:id="7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4334" w:type="dxa"/>
        <w:jc w:val="left"/>
        <w:tblInd w:w="0" w:type="dxa"/>
        <w:tblLayout w:type="fixed"/>
        <w:tblCellMar>
          <w:top w:w="28" w:type="dxa"/>
          <w:left w:w="28" w:type="dxa"/>
          <w:bottom w:w="28" w:type="dxa"/>
          <w:right w:w="28" w:type="dxa"/>
        </w:tblCellMar>
      </w:tblPr>
      <w:tblGrid>
        <w:gridCol w:w="1386"/>
        <w:gridCol w:w="1219"/>
        <w:gridCol w:w="1729"/>
      </w:tblGrid>
      <w:tr>
        <w:trPr/>
        <w:tc>
          <w:tcPr>
            <w:tcW w:w="138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Cost of Revenue and Gross Profit</w:t>
            </w:r>
          </w:p>
        </w:tc>
      </w:tr>
    </w:tbl>
    <w:p>
      <w:pPr>
        <w:pStyle w:val="TextBody"/>
        <w:bidi w:val="0"/>
        <w:spacing w:lineRule="auto" w:line="288" w:before="120" w:after="283"/>
        <w:jc w:val="both"/>
        <w:rPr/>
      </w:pPr>
      <w:r>
        <w:rPr>
          <w:rFonts w:ascii="Roboto;sans-serif" w:hAnsi="Roboto;sans-serif"/>
          <w:b w:val="false"/>
          <w:color w:val="000000"/>
          <w:sz w:val="20"/>
        </w:rPr>
        <w:t xml:space="preserve">Total cost of revenue decreased $12.9 million, or 20%, during the six months ended June 30, 2026, compared to the same period of 2025 primarily due to decreases in cost of product revenue, amortization of acquired intangible assets, and share-based compensation expense. We recorded $12.4 million of restructuring-related costs during the six months ended June 30, 2025, which included $3.8 million relating to loss on purchase commitments which was based on an estimate of future excess inventory related to supply agreements for which we did not expect to have related sales. See </w:t>
      </w:r>
      <w:hyperlink w:anchor="i94297dc2d97e4e34aed4a2bdfd28cba8_46">
        <w:r>
          <w:rPr>
            <w:rStyle w:val="InternetLink"/>
            <w:rFonts w:ascii="Roboto;sans-serif" w:hAnsi="Roboto;sans-serif"/>
            <w:b w:val="false"/>
            <w:i/>
            <w:color w:val="0000FF"/>
            <w:sz w:val="20"/>
            <w:u w:val="single"/>
          </w:rPr>
          <w:t>Note 5. Restructuring</w:t>
        </w:r>
      </w:hyperlink>
      <w:r>
        <w:rPr>
          <w:color w:val="000000"/>
        </w:rPr>
        <w:t xml:space="preserve"> </w:t>
      </w:r>
      <w:r>
        <w:rPr>
          <w:rFonts w:ascii="Roboto;sans-serif" w:hAnsi="Roboto;sans-serif"/>
          <w:b w:val="false"/>
          <w:color w:val="000000"/>
          <w:sz w:val="20"/>
        </w:rPr>
        <w:t>in Part I, Item 1 of this Quarterly Report on Form 10-Q for additional information about restructuring activities. Total cost of revenue included share-based compensation expense of $1.3 million and $2.1 million during the six months ended June 30, 2026 and 2025,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Cost of product revenue decreased $5.4 million, or 12%, during the six months ended June 30, 2026, compared to the same period of 2025 primarily due to the restructuring-related costs that were recorded in the prior period, lower Instrument volumes, and a shifting Consumables product mix partially offset by exit costs associated with a contract manufacturer, increased memory costs, product transition costs related to the disposition of assets in the first quarter of 2026, and amortization of the patent license obtained through the legal settlement with PGI.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Gross profit increased $12.2 million, or 91%, during the six months ended June 30, 2026, compared to the same period of 2025 in line with the decrease in total cost of revenue described above and relatively flat revenue. While higher consumables mix and the introduction of SPRQ-Nx remain important drivers of margin expansion, rising computing component costs will temper the pace of margin improvement in the near term. Gross margins may be affected by product mix, manufacturing efficiencies, changes in warranty costs, average selling price fluctuations, including promotional pricing, future product launches, changes to inventory reserves, costs of raw materials and increased computing component costs, specifically memory, which may result in material cost pressures and supply constraints in future periods, and tariffs.</w:t>
      </w:r>
    </w:p>
    <w:tbl>
      <w:tblPr>
        <w:tblW w:w="4785" w:type="dxa"/>
        <w:jc w:val="left"/>
        <w:tblInd w:w="0" w:type="dxa"/>
        <w:tblLayout w:type="fixed"/>
        <w:tblCellMar>
          <w:top w:w="28" w:type="dxa"/>
          <w:left w:w="28" w:type="dxa"/>
          <w:bottom w:w="28" w:type="dxa"/>
          <w:right w:w="28" w:type="dxa"/>
        </w:tblCellMar>
      </w:tblPr>
      <w:tblGrid>
        <w:gridCol w:w="1532"/>
        <w:gridCol w:w="1345"/>
        <w:gridCol w:w="1908"/>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Research and Development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Research and development expense decreased by $9.0 million, or 17%, during the six months ended June 30, 2026, compared to the same period of 2025. The decrease was primarily driven by lower personnel and related expenses, including share-based compensation expense, partially offset by an increase in product development costs associated with ongoing investments in future sequencing platform development. We also recorded $2.7 million of restructuring-related charges during the six months ended June 30, 2025. Research and development expense included share-based compensation expense of $1.6 million and $5.9 million during the six months ended June 30, 2026 and 2025, respectively. We anticipate research and development expense to decrease during the remainder of 2026 in connection with our recently announced expense reduction initiatives, primarily due to headcount reductions.</w:t>
      </w:r>
    </w:p>
    <w:tbl>
      <w:tblPr>
        <w:tblW w:w="5714" w:type="dxa"/>
        <w:jc w:val="left"/>
        <w:tblInd w:w="0" w:type="dxa"/>
        <w:tblLayout w:type="fixed"/>
        <w:tblCellMar>
          <w:top w:w="28" w:type="dxa"/>
          <w:left w:w="28" w:type="dxa"/>
          <w:bottom w:w="28" w:type="dxa"/>
          <w:right w:w="28" w:type="dxa"/>
        </w:tblCellMar>
      </w:tblPr>
      <w:tblGrid>
        <w:gridCol w:w="1828"/>
        <w:gridCol w:w="1607"/>
        <w:gridCol w:w="2279"/>
      </w:tblGrid>
      <w:tr>
        <w:trPr/>
        <w:tc>
          <w:tcPr>
            <w:tcW w:w="182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Sales, General, and Administrative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general and administrative expense decreased by $11.8 million, or 15%, during the six months ended June 30, 2026, compared to the same period of 2025. The decrease was primarily due to a decrease in personnel and related expenses, including share-based compensation expense, and lower marketing expense, partially offset by legal expenses related to the settlement with PGI. We also recorded $5.4 million of restructuring-related charges during the six months ended June 30, 2025. Sales, general, and administrative expense included share-based compensation expense of $10.7 million and $13.1 million during the six months ended June 30, 2026 and 2025, respectively. We anticipate sales, general, and administrative expense to decrease during the remainder of 2026 in connection with our recently announced expense reduction initiatives, primarily due to headcount reductions.</w:t>
      </w:r>
    </w:p>
    <w:tbl>
      <w:tblPr>
        <w:tblW w:w="2759" w:type="dxa"/>
        <w:jc w:val="left"/>
        <w:tblInd w:w="0" w:type="dxa"/>
        <w:tblLayout w:type="fixed"/>
        <w:tblCellMar>
          <w:top w:w="28" w:type="dxa"/>
          <w:left w:w="28" w:type="dxa"/>
          <w:bottom w:w="28" w:type="dxa"/>
          <w:right w:w="28" w:type="dxa"/>
        </w:tblCellMar>
      </w:tblPr>
      <w:tblGrid>
        <w:gridCol w:w="884"/>
        <w:gridCol w:w="777"/>
        <w:gridCol w:w="1098"/>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Impairment Charges</w:t>
            </w:r>
          </w:p>
        </w:tc>
      </w:tr>
    </w:tbl>
    <w:p>
      <w:pPr>
        <w:pStyle w:val="TextBody"/>
        <w:bidi w:val="0"/>
        <w:spacing w:lineRule="auto" w:line="288" w:before="120" w:after="283"/>
        <w:jc w:val="both"/>
        <w:rPr/>
      </w:pPr>
      <w:r>
        <w:rPr>
          <w:rFonts w:ascii="Roboto;sans-serif" w:hAnsi="Roboto;sans-serif"/>
          <w:b w:val="false"/>
          <w:color w:val="000000"/>
          <w:sz w:val="20"/>
        </w:rPr>
        <w:t xml:space="preserve">We recorded impairment charges of $15.0 million during the six months ended June 30, 2025, related to in-process research and development (“IPR&amp;D”). These charges resulted from an interim impairment assessment performed in response to identified indicators of impairment during the period. The impairment test concluded that the carrying amount of our IPR&amp;D assets exceeded their estimated fair value. See </w:t>
      </w:r>
      <w:hyperlink w:anchor="i94297dc2d97e4e34aed4a2bdfd28cba8_37">
        <w:r>
          <w:rPr>
            <w:rStyle w:val="InternetLink"/>
            <w:rFonts w:ascii="Roboto;sans-serif" w:hAnsi="Roboto;sans-serif"/>
            <w:b w:val="false"/>
            <w:i/>
            <w:color w:val="0000FF"/>
            <w:sz w:val="20"/>
            <w:u w:val="single"/>
          </w:rPr>
          <w:t>Note 3. Balance Sheet Components</w:t>
        </w:r>
      </w:hyperlink>
      <w:r>
        <w:rPr>
          <w:color w:val="000000"/>
        </w:rPr>
        <w:t xml:space="preserve"> </w:t>
      </w:r>
      <w:r>
        <w:rPr>
          <w:rFonts w:ascii="Roboto;sans-serif" w:hAnsi="Roboto;sans-serif"/>
          <w:b w:val="false"/>
          <w:color w:val="000000"/>
          <w:sz w:val="20"/>
        </w:rPr>
        <w:t>in Part I, Item 1 of this Quarterly Report on Form 10-Q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12520"/>
                <wp:effectExtent l="0" t="0" r="0" b="0"/>
                <wp:wrapNone/>
                <wp:docPr id="111" name="Frame3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2" descr=""/>
                                                <pic:cNvPicPr>
                                                  <a:picLocks noChangeAspect="1" noChangeArrowheads="1"/>
                                                </pic:cNvPicPr>
                                              </pic:nvPicPr>
                                              <pic:blipFill>
                                                <a:blip r:embed="rId77"/>
                                                <a:stretch>
                                                  <a:fillRect/>
                                                </a:stretch>
                                              </pic:blipFill>
                                              <pic:spPr bwMode="auto">
                                                <a:xfrm>
                                                  <a:off x="0" y="0"/>
                                                  <a:ext cx="457200" cy="95250"/>
                                                </a:xfrm>
                                                <a:prstGeom prst="rect">
                                                  <a:avLst/>
                                                </a:prstGeom>
                                              </pic:spPr>
                                            </pic:pic>
                                          </a:graphicData>
                                        </a:graphic>
                                      </wp:inline>
                                    </w:drawing>
                                  </w:r>
                                  <w:bookmarkStart w:id="76" w:name="i-42"/>
                                  <w:bookmarkEnd w:id="7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2" descr=""/>
                                          <pic:cNvPicPr>
                                            <a:picLocks noChangeAspect="1" noChangeArrowheads="1"/>
                                          </pic:cNvPicPr>
                                        </pic:nvPicPr>
                                        <pic:blipFill>
                                          <a:blip r:embed="rId78"/>
                                          <a:stretch>
                                            <a:fillRect/>
                                          </a:stretch>
                                        </pic:blipFill>
                                        <pic:spPr bwMode="auto">
                                          <a:xfrm>
                                            <a:off x="0" y="0"/>
                                            <a:ext cx="457200" cy="95250"/>
                                          </a:xfrm>
                                          <a:prstGeom prst="rect">
                                            <a:avLst/>
                                          </a:prstGeom>
                                        </pic:spPr>
                                      </pic:pic>
                                    </a:graphicData>
                                  </a:graphic>
                                </wp:inline>
                              </w:drawing>
                            </w:r>
                            <w:bookmarkStart w:id="77" w:name="i-42"/>
                            <w:bookmarkEnd w:id="7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2685" w:type="dxa"/>
        <w:jc w:val="left"/>
        <w:tblInd w:w="0" w:type="dxa"/>
        <w:tblLayout w:type="fixed"/>
        <w:tblCellMar>
          <w:top w:w="28" w:type="dxa"/>
          <w:left w:w="28" w:type="dxa"/>
          <w:bottom w:w="28" w:type="dxa"/>
          <w:right w:w="28" w:type="dxa"/>
        </w:tblCellMar>
      </w:tblPr>
      <w:tblGrid>
        <w:gridCol w:w="858"/>
        <w:gridCol w:w="755"/>
        <w:gridCol w:w="107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Settlement Charges</w:t>
            </w:r>
          </w:p>
        </w:tc>
      </w:tr>
    </w:tbl>
    <w:p>
      <w:pPr>
        <w:pStyle w:val="TextBody"/>
        <w:bidi w:val="0"/>
        <w:spacing w:lineRule="auto" w:line="288" w:before="120" w:after="283"/>
        <w:jc w:val="both"/>
        <w:rPr/>
      </w:pPr>
      <w:r>
        <w:rPr>
          <w:rFonts w:ascii="Roboto;sans-serif" w:hAnsi="Roboto;sans-serif"/>
          <w:b w:val="false"/>
          <w:color w:val="000000"/>
          <w:sz w:val="20"/>
        </w:rPr>
        <w:t xml:space="preserve">In the first quarter of 2026, the Company entered into a license and settlement agreement with PGI in connection with the PGI Settlement. Under the fixed payment structure pursuant to the agreement, the Company paid PGI $8.0 million in the second quarter of 2026, and will pay $5.0 million in the first quarter of each of 2027, 2028 and 2029, with the payment in 2027 increasing by $1.0 million if the Company’s 2026 revenue is at least $165.0 million and another $1.0 million if it is at least $180.0 million. See </w:t>
      </w:r>
      <w:hyperlink w:anchor="i94297dc2d97e4e34aed4a2bdfd28cba8_37">
        <w:r>
          <w:rPr>
            <w:rStyle w:val="InternetLink"/>
            <w:rFonts w:ascii="Roboto;sans-serif" w:hAnsi="Roboto;sans-serif"/>
            <w:b w:val="false"/>
            <w:i/>
            <w:color w:val="0000FF"/>
            <w:sz w:val="20"/>
            <w:u w:val="single"/>
          </w:rPr>
          <w:t>Note 3. Balance Sheet Components</w:t>
        </w:r>
      </w:hyperlink>
      <w:r>
        <w:rPr>
          <w:color w:val="000000"/>
        </w:rPr>
        <w:t xml:space="preserve"> </w:t>
      </w:r>
      <w:r>
        <w:rPr>
          <w:rFonts w:ascii="Roboto;sans-serif" w:hAnsi="Roboto;sans-serif"/>
          <w:b w:val="false"/>
          <w:color w:val="000000"/>
          <w:sz w:val="20"/>
        </w:rPr>
        <w:t>in Part I, Item 1 of this Quarterly Report on Form 10-Q for further details.</w:t>
      </w:r>
    </w:p>
    <w:tbl>
      <w:tblPr>
        <w:tblW w:w="3509" w:type="dxa"/>
        <w:jc w:val="left"/>
        <w:tblInd w:w="0" w:type="dxa"/>
        <w:tblLayout w:type="fixed"/>
        <w:tblCellMar>
          <w:top w:w="28" w:type="dxa"/>
          <w:left w:w="28" w:type="dxa"/>
          <w:bottom w:w="28" w:type="dxa"/>
          <w:right w:w="28" w:type="dxa"/>
        </w:tblCellMar>
      </w:tblPr>
      <w:tblGrid>
        <w:gridCol w:w="1123"/>
        <w:gridCol w:w="986"/>
        <w:gridCol w:w="1400"/>
      </w:tblGrid>
      <w:tr>
        <w:trPr/>
        <w:tc>
          <w:tcPr>
            <w:tcW w:w="112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Gain on Disposal of Assets</w:t>
            </w:r>
          </w:p>
        </w:tc>
      </w:tr>
    </w:tbl>
    <w:p>
      <w:pPr>
        <w:pStyle w:val="TextBody"/>
        <w:bidi w:val="0"/>
        <w:spacing w:lineRule="auto" w:line="288" w:before="120" w:after="283"/>
        <w:jc w:val="both"/>
        <w:rPr/>
      </w:pPr>
      <w:r>
        <w:rPr>
          <w:rFonts w:ascii="Roboto;sans-serif" w:hAnsi="Roboto;sans-serif"/>
          <w:b w:val="false"/>
          <w:color w:val="000000"/>
          <w:sz w:val="20"/>
        </w:rPr>
        <w:t xml:space="preserve">On January 30, 2026, we completed a disposition of certain assets to Illumina Cambridge Limited (the “Buyer”) pursuant to an Asset Purchase Agreement dated January 30, 2026. Under the agreement, Buyer acquired certain intellectual property and other assets related to our short-read DNA sequencing technology and related clustering, sequencing reagent, and detection technologies. In consideration, Buyer paid $50.0 million in cash, assumed certain liabilities, and granted us a non-exclusive license to certain intellectual property included in the purchased assets. During the first quarter of 2026, in connection with the Asset Sale, Buyer paid, at our direction, 4% of the net cash proceeds to the former equity holders of Apton Biosystems, Inc. ("Apton") in connection with the waiver of remaining milestone obligations from our August 2023 acquisition of Apton. As a result, we received approximately $48.1 million in net cash proceeds from the Asset Sale. In connection with the transaction, the Company incurred transaction costs of $2.3 million in the first quarter of 2026 that are offset against the gain on disposal of assets on our condensed consolidated statements of operations and comprehensive loss. See </w:t>
      </w:r>
      <w:hyperlink w:anchor="i94297dc2d97e4e34aed4a2bdfd28cba8_34">
        <w:r>
          <w:rPr>
            <w:rStyle w:val="InternetLink"/>
            <w:rFonts w:ascii="Roboto;sans-serif" w:hAnsi="Roboto;sans-serif"/>
            <w:b w:val="false"/>
            <w:i/>
            <w:color w:val="0000FF"/>
            <w:sz w:val="20"/>
            <w:u w:val="single"/>
          </w:rPr>
          <w:t>Note 2. Financial Instruments</w:t>
        </w:r>
      </w:hyperlink>
      <w:r>
        <w:rPr>
          <w:color w:val="000000"/>
        </w:rPr>
        <w:t xml:space="preserve"> </w:t>
      </w:r>
      <w:r>
        <w:rPr>
          <w:rFonts w:ascii="Roboto;sans-serif" w:hAnsi="Roboto;sans-serif"/>
          <w:b w:val="false"/>
          <w:color w:val="000000"/>
          <w:sz w:val="20"/>
        </w:rPr>
        <w:t>in Part I, Item 1 of this Quarterly Report on Form 10-Q for further details.</w:t>
      </w:r>
    </w:p>
    <w:tbl>
      <w:tblPr>
        <w:tblW w:w="5639" w:type="dxa"/>
        <w:jc w:val="left"/>
        <w:tblInd w:w="0" w:type="dxa"/>
        <w:tblLayout w:type="fixed"/>
        <w:tblCellMar>
          <w:top w:w="28" w:type="dxa"/>
          <w:left w:w="28" w:type="dxa"/>
          <w:bottom w:w="28" w:type="dxa"/>
          <w:right w:w="28" w:type="dxa"/>
        </w:tblCellMar>
      </w:tblPr>
      <w:tblGrid>
        <w:gridCol w:w="1807"/>
        <w:gridCol w:w="1587"/>
        <w:gridCol w:w="2245"/>
      </w:tblGrid>
      <w:tr>
        <w:trPr/>
        <w:tc>
          <w:tcPr>
            <w:tcW w:w="180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Amortization of Acquired Intangible Assets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included in operating expenses for the six months ended June 30, 2026 and 2025 consists of amortization expense attributable to acquired intangible assets that are not directly related to sales generating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included in operating expenses during the six months ended June 30, 2025 included $359.3 million of accelerated amortization related to developed technology from the 2021 Omniome, Inc. acquisition, reflecting our revised estimate that the asset will no longer generate economic benefit beyond March 31, 2025.</w:t>
      </w:r>
    </w:p>
    <w:tbl>
      <w:tblPr>
        <w:tblW w:w="6435" w:type="dxa"/>
        <w:jc w:val="left"/>
        <w:tblInd w:w="0" w:type="dxa"/>
        <w:tblLayout w:type="fixed"/>
        <w:tblCellMar>
          <w:top w:w="28" w:type="dxa"/>
          <w:left w:w="28" w:type="dxa"/>
          <w:bottom w:w="28" w:type="dxa"/>
          <w:right w:w="28" w:type="dxa"/>
        </w:tblCellMar>
      </w:tblPr>
      <w:tblGrid>
        <w:gridCol w:w="2060"/>
        <w:gridCol w:w="1812"/>
        <w:gridCol w:w="2563"/>
      </w:tblGrid>
      <w:tr>
        <w:trPr/>
        <w:tc>
          <w:tcPr>
            <w:tcW w:w="206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Change in Fair Value of Contingent Consideration</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first quarter of 2025 we recognized a change in fair value of contingent consideration of $18.7 million, resulting in a contingent consideration liability of $0. This was primarily due to management's decision to cease development of the high-throughput short-read system, the associated changes in expected future revenues, and the requirement that the milestone event occur prior to the five-year anniversary of the acquisition closing date.</w:t>
      </w:r>
    </w:p>
    <w:tbl>
      <w:tblPr>
        <w:tblW w:w="2309" w:type="dxa"/>
        <w:jc w:val="left"/>
        <w:tblInd w:w="0" w:type="dxa"/>
        <w:tblLayout w:type="fixed"/>
        <w:tblCellMar>
          <w:top w:w="28" w:type="dxa"/>
          <w:left w:w="28" w:type="dxa"/>
          <w:bottom w:w="28" w:type="dxa"/>
          <w:right w:w="28" w:type="dxa"/>
        </w:tblCellMar>
      </w:tblPr>
      <w:tblGrid>
        <w:gridCol w:w="739"/>
        <w:gridCol w:w="649"/>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Interest Expense</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Interest expense during the six months ended June 30, 2026 and 2025 was primarily comprised of interest on the convertible senior notes. Interest expense for the six months ended June 30, 2026 also included interest related to the liability recorded for the license and settlement agreement with PGI.</w:t>
      </w:r>
    </w:p>
    <w:tbl>
      <w:tblPr>
        <w:tblW w:w="2504" w:type="dxa"/>
        <w:jc w:val="left"/>
        <w:tblInd w:w="0" w:type="dxa"/>
        <w:tblLayout w:type="fixed"/>
        <w:tblCellMar>
          <w:top w:w="28" w:type="dxa"/>
          <w:left w:w="28" w:type="dxa"/>
          <w:bottom w:w="28" w:type="dxa"/>
          <w:right w:w="28" w:type="dxa"/>
        </w:tblCellMar>
      </w:tblPr>
      <w:tblGrid>
        <w:gridCol w:w="802"/>
        <w:gridCol w:w="705"/>
        <w:gridCol w:w="997"/>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Other Income, Net</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income, net during the six months ended June 30, 2026 decreased compared to the same period of 2025 primarily driven by lower investment income due to lower cash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12520"/>
                <wp:effectExtent l="0" t="0" r="0" b="0"/>
                <wp:wrapNone/>
                <wp:docPr id="114" name="Frame3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3" descr=""/>
                                                <pic:cNvPicPr>
                                                  <a:picLocks noChangeAspect="1" noChangeArrowheads="1"/>
                                                </pic:cNvPicPr>
                                              </pic:nvPicPr>
                                              <pic:blipFill>
                                                <a:blip r:embed="rId79"/>
                                                <a:stretch>
                                                  <a:fillRect/>
                                                </a:stretch>
                                              </pic:blipFill>
                                              <pic:spPr bwMode="auto">
                                                <a:xfrm>
                                                  <a:off x="0" y="0"/>
                                                  <a:ext cx="457200" cy="95250"/>
                                                </a:xfrm>
                                                <a:prstGeom prst="rect">
                                                  <a:avLst/>
                                                </a:prstGeom>
                                              </pic:spPr>
                                            </pic:pic>
                                          </a:graphicData>
                                        </a:graphic>
                                      </wp:inline>
                                    </w:drawing>
                                  </w:r>
                                  <w:bookmarkStart w:id="78" w:name="i-43"/>
                                  <w:bookmarkEnd w:id="7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3" descr=""/>
                                          <pic:cNvPicPr>
                                            <a:picLocks noChangeAspect="1" noChangeArrowheads="1"/>
                                          </pic:cNvPicPr>
                                        </pic:nvPicPr>
                                        <pic:blipFill>
                                          <a:blip r:embed="rId80"/>
                                          <a:stretch>
                                            <a:fillRect/>
                                          </a:stretch>
                                        </pic:blipFill>
                                        <pic:spPr bwMode="auto">
                                          <a:xfrm>
                                            <a:off x="0" y="0"/>
                                            <a:ext cx="457200" cy="95250"/>
                                          </a:xfrm>
                                          <a:prstGeom prst="rect">
                                            <a:avLst/>
                                          </a:prstGeom>
                                        </pic:spPr>
                                      </pic:pic>
                                    </a:graphicData>
                                  </a:graphic>
                                </wp:inline>
                              </w:drawing>
                            </w:r>
                            <w:bookmarkStart w:id="79" w:name="i-43"/>
                            <w:bookmarkEnd w:id="7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4845" w:type="dxa"/>
        <w:jc w:val="left"/>
        <w:tblInd w:w="0" w:type="dxa"/>
        <w:tblLayout w:type="fixed"/>
        <w:tblCellMar>
          <w:top w:w="28" w:type="dxa"/>
          <w:left w:w="28" w:type="dxa"/>
          <w:bottom w:w="28" w:type="dxa"/>
          <w:right w:w="28" w:type="dxa"/>
        </w:tblCellMar>
      </w:tblPr>
      <w:tblGrid>
        <w:gridCol w:w="1551"/>
        <w:gridCol w:w="1359"/>
        <w:gridCol w:w="1935"/>
      </w:tblGrid>
      <w:tr>
        <w:trPr/>
        <w:tc>
          <w:tcPr>
            <w:tcW w:w="15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LIQUIDITY AND CAPITAL RESOURCES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2026, we had cash, cash equivalents and investments of $236.9 million compared to $279.5 million as of December 31, 2025. We believe that our existing cash, cash equivalents and investments will be sufficient to fund our projected operating requirements beyond the next 12 months from the date of filing of this Quarterly Report on Form 10-Q for the quarter ended June 30, 2026.</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primary sources of liquidity, other than our holdings of cash, cash equivalents, and investments, have primarily been through the issuance of debt or equity securities, together with cash flow from operating activities. We have historically incurred, and expect to continue to incur, operating losses and generate negative cash flows from operations on an annual basis, and as a result, we may require additional capital resources to execute our strategic initiatives to grow our business.</w:t>
      </w:r>
    </w:p>
    <w:p>
      <w:pPr>
        <w:pStyle w:val="TextBody"/>
        <w:bidi w:val="0"/>
        <w:spacing w:lineRule="auto" w:line="288" w:before="120" w:after="283"/>
        <w:jc w:val="both"/>
        <w:rPr/>
      </w:pPr>
      <w:r>
        <w:rPr>
          <w:rFonts w:ascii="Roboto;sans-serif" w:hAnsi="Roboto;sans-serif"/>
          <w:b w:val="false"/>
          <w:color w:val="000000"/>
          <w:sz w:val="20"/>
        </w:rPr>
        <w:t>During the third quarter of 2026, we announced a restructuring plan to continue to better align our organizational structure and resources wit</w:t>
      </w:r>
      <w:r>
        <w:rPr>
          <w:rFonts w:ascii="Roboto;sans-serif" w:hAnsi="Roboto;sans-serif"/>
          <w:b w:val="false"/>
          <w:color w:val="000000"/>
          <w:sz w:val="20"/>
          <w:shd w:fill="FFFFFF" w:val="clear"/>
        </w:rPr>
        <w:t>h our strategic initiatives. These restructuring actions are expected to result in a workforce reduction of approximately 40 employees, or approximately 8% of our workforce, as we align our organizational structure with our strategic priorities. Including the Reduction in Force and related non-headcount cost actions, we expect to reduce our annualized operating expenses by $30 million to $40 million by the end of 2027.</w:t>
      </w:r>
    </w:p>
    <w:p>
      <w:pPr>
        <w:pStyle w:val="TextBody"/>
        <w:bidi w:val="0"/>
        <w:spacing w:lineRule="auto" w:line="288" w:before="120" w:after="283"/>
        <w:jc w:val="both"/>
        <w:rPr/>
      </w:pPr>
      <w:r>
        <w:rPr>
          <w:rFonts w:ascii="Roboto;sans-serif" w:hAnsi="Roboto;sans-serif"/>
          <w:b w:val="false"/>
          <w:color w:val="000000"/>
          <w:sz w:val="20"/>
          <w:shd w:fill="FFFFFF" w:val="clear"/>
        </w:rPr>
        <w:t>We estimate that we will incur aggregate pre-ta</w:t>
      </w:r>
      <w:r>
        <w:rPr>
          <w:rFonts w:ascii="Roboto;sans-serif" w:hAnsi="Roboto;sans-serif"/>
          <w:b w:val="false"/>
          <w:color w:val="000000"/>
          <w:sz w:val="20"/>
        </w:rPr>
        <w:t>x charges of approximately $2.0 million in connection with the Reduction in Force, primarily consisting of severance payments, employee benefits, outplacement services and related costs. We expect that the Reduction in Force will be completed and that these charges will be incurred in the third quarter of 2026. We also approved and implemented certain efficiency and expense reduction initiatives during 2025 and 2024. These expense reduction initiatives included workforce reductions, facilities downsizing and a refined pipeline of development programs.</w:t>
      </w:r>
    </w:p>
    <w:p>
      <w:pPr>
        <w:pStyle w:val="TextBody"/>
        <w:bidi w:val="0"/>
        <w:spacing w:before="120" w:after="283"/>
        <w:jc w:val="both"/>
        <w:rPr/>
      </w:pPr>
      <w:r>
        <w:rPr/>
      </w:r>
    </w:p>
    <w:p>
      <w:pPr>
        <w:pStyle w:val="TextBody"/>
        <w:bidi w:val="0"/>
        <w:spacing w:before="120" w:after="283"/>
        <w:jc w:val="both"/>
        <w:rPr/>
      </w:pPr>
      <w:r>
        <w:rPr/>
      </w:r>
    </w:p>
    <w:tbl>
      <w:tblPr>
        <w:tblW w:w="3675" w:type="dxa"/>
        <w:jc w:val="left"/>
        <w:tblInd w:w="0" w:type="dxa"/>
        <w:tblLayout w:type="fixed"/>
        <w:tblCellMar>
          <w:top w:w="28" w:type="dxa"/>
          <w:left w:w="28" w:type="dxa"/>
          <w:bottom w:w="28" w:type="dxa"/>
          <w:right w:w="28" w:type="dxa"/>
        </w:tblCellMar>
      </w:tblPr>
      <w:tblGrid>
        <w:gridCol w:w="1175"/>
        <w:gridCol w:w="1033"/>
        <w:gridCol w:w="1467"/>
      </w:tblGrid>
      <w:tr>
        <w:trPr/>
        <w:tc>
          <w:tcPr>
            <w:tcW w:w="117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PGI License and Settlement</w:t>
            </w:r>
          </w:p>
        </w:tc>
      </w:tr>
    </w:tbl>
    <w:p>
      <w:pPr>
        <w:pStyle w:val="TextBody"/>
        <w:bidi w:val="0"/>
        <w:spacing w:lineRule="auto" w:line="288" w:before="120" w:after="283"/>
        <w:jc w:val="both"/>
        <w:rPr/>
      </w:pPr>
      <w:r>
        <w:rPr>
          <w:rFonts w:ascii="Roboto;sans-serif" w:hAnsi="Roboto;sans-serif"/>
          <w:b w:val="false"/>
          <w:color w:val="000000"/>
          <w:sz w:val="20"/>
        </w:rPr>
        <w:t xml:space="preserve">In the first quarter of 2026, the Company entered into a license and settlement agreement with PGI in connection with the PGI Settlement. Under the fixed payment structure pursuant to the agreement, the Company paid PGI $8.0 million in the second quarter of 2026, and will pay $5.0 million in the first quarter of each of 2027, 2028 and 2029, with the payment in 2027 increasing by $1.0 million if the Company’s 2026 revenue is at least $165.0 million and another $1.0 million if it is at least $180.0 million. See </w:t>
      </w:r>
      <w:hyperlink w:anchor="i94297dc2d97e4e34aed4a2bdfd28cba8_37">
        <w:r>
          <w:rPr>
            <w:rStyle w:val="InternetLink"/>
            <w:rFonts w:ascii="Roboto;sans-serif" w:hAnsi="Roboto;sans-serif"/>
            <w:b w:val="false"/>
            <w:i/>
            <w:color w:val="0000FF"/>
            <w:sz w:val="20"/>
            <w:u w:val="single"/>
          </w:rPr>
          <w:t>Note 3. Balance Sheet Components</w:t>
        </w:r>
      </w:hyperlink>
      <w:r>
        <w:rPr>
          <w:color w:val="000000"/>
        </w:rPr>
        <w:t xml:space="preserve"> </w:t>
      </w:r>
      <w:r>
        <w:rPr>
          <w:rFonts w:ascii="Roboto;sans-serif" w:hAnsi="Roboto;sans-serif"/>
          <w:b w:val="false"/>
          <w:color w:val="000000"/>
          <w:sz w:val="20"/>
        </w:rPr>
        <w:t>in Part I, Item 1 of this Quarterly Report on Form 10-Q for further details.</w:t>
      </w:r>
    </w:p>
    <w:tbl>
      <w:tblPr>
        <w:tblW w:w="3314" w:type="dxa"/>
        <w:jc w:val="left"/>
        <w:tblInd w:w="0" w:type="dxa"/>
        <w:tblLayout w:type="fixed"/>
        <w:tblCellMar>
          <w:top w:w="28" w:type="dxa"/>
          <w:left w:w="28" w:type="dxa"/>
          <w:bottom w:w="28" w:type="dxa"/>
          <w:right w:w="28" w:type="dxa"/>
        </w:tblCellMar>
      </w:tblPr>
      <w:tblGrid>
        <w:gridCol w:w="1061"/>
        <w:gridCol w:w="932"/>
        <w:gridCol w:w="1321"/>
      </w:tblGrid>
      <w:tr>
        <w:trPr/>
        <w:tc>
          <w:tcPr>
            <w:tcW w:w="10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Convertible Senior Notes</w:t>
            </w:r>
          </w:p>
        </w:tc>
      </w:tr>
    </w:tbl>
    <w:p>
      <w:pPr>
        <w:pStyle w:val="TextBody"/>
        <w:bidi w:val="0"/>
        <w:spacing w:lineRule="auto" w:line="288" w:before="120" w:after="283"/>
        <w:jc w:val="both"/>
        <w:rPr/>
      </w:pPr>
      <w:r>
        <w:rPr>
          <w:rFonts w:ascii="Roboto;sans-serif" w:hAnsi="Roboto;sans-serif"/>
          <w:b w:val="false"/>
          <w:color w:val="000000"/>
          <w:sz w:val="20"/>
        </w:rPr>
        <w:t xml:space="preserve">As of June 30, 2026, we had outstanding approximately $200.0 million aggregate principal amount of our 2029 Notes and $441.0 million aggregate principal amount of our 2030 Notes. The 2029 Notes will mature on August 15, 2029, subject to earlier conversion, redemption or repurchase, including upon a fundamental change. The 2030 Notes will mature on December 15, 2030, subject to earlier conversion, redemption or repurchase, including upon a fundamental change. See </w:t>
      </w:r>
      <w:hyperlink w:anchor="i94297dc2d97e4e34aed4a2bdfd28cba8_40">
        <w:r>
          <w:rPr>
            <w:rStyle w:val="InternetLink"/>
            <w:rFonts w:ascii="Roboto;sans-serif" w:hAnsi="Roboto;sans-serif"/>
            <w:b w:val="false"/>
            <w:i/>
            <w:color w:val="0000FF"/>
            <w:sz w:val="20"/>
            <w:u w:val="single"/>
          </w:rPr>
          <w:t>Note 4. Convertible Senior Notes</w:t>
        </w:r>
      </w:hyperlink>
      <w:r>
        <w:rPr>
          <w:color w:val="000000"/>
        </w:rPr>
        <w:t xml:space="preserve"> </w:t>
      </w:r>
      <w:r>
        <w:rPr>
          <w:rFonts w:ascii="Roboto;sans-serif" w:hAnsi="Roboto;sans-serif"/>
          <w:b w:val="false"/>
          <w:color w:val="000000"/>
          <w:sz w:val="20"/>
        </w:rPr>
        <w:t>in Part I, Item 1 of this Quarterly Report on Form 10-Q for further details.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future capital requirements and the adequacy of our available funds will depend on many factors,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commercialize products and solutions that address customer needs;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pace of adoption of our products and our ability to obtain new customers in markets;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progress of our research and development programs and our ability to initiate or expand research programs;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the effectiveness of our expense reduction initiatives;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the purchase of patent licenses; </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the costs involved in preparing, filing, prosecuting, defending and enforcing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12520"/>
                <wp:effectExtent l="0" t="0" r="0" b="0"/>
                <wp:wrapNone/>
                <wp:docPr id="117" name="Frame3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4" descr=""/>
                                                <pic:cNvPicPr>
                                                  <a:picLocks noChangeAspect="1" noChangeArrowheads="1"/>
                                                </pic:cNvPicPr>
                                              </pic:nvPicPr>
                                              <pic:blipFill>
                                                <a:blip r:embed="rId81"/>
                                                <a:stretch>
                                                  <a:fillRect/>
                                                </a:stretch>
                                              </pic:blipFill>
                                              <pic:spPr bwMode="auto">
                                                <a:xfrm>
                                                  <a:off x="0" y="0"/>
                                                  <a:ext cx="457200" cy="95250"/>
                                                </a:xfrm>
                                                <a:prstGeom prst="rect">
                                                  <a:avLst/>
                                                </a:prstGeom>
                                              </pic:spPr>
                                            </pic:pic>
                                          </a:graphicData>
                                        </a:graphic>
                                      </wp:inline>
                                    </w:drawing>
                                  </w:r>
                                  <w:bookmarkStart w:id="80" w:name="i-44"/>
                                  <w:bookmarkEnd w:id="8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1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4" descr=""/>
                                          <pic:cNvPicPr>
                                            <a:picLocks noChangeAspect="1" noChangeArrowheads="1"/>
                                          </pic:cNvPicPr>
                                        </pic:nvPicPr>
                                        <pic:blipFill>
                                          <a:blip r:embed="rId82"/>
                                          <a:stretch>
                                            <a:fillRect/>
                                          </a:stretch>
                                        </pic:blipFill>
                                        <pic:spPr bwMode="auto">
                                          <a:xfrm>
                                            <a:off x="0" y="0"/>
                                            <a:ext cx="457200" cy="95250"/>
                                          </a:xfrm>
                                          <a:prstGeom prst="rect">
                                            <a:avLst/>
                                          </a:prstGeom>
                                        </pic:spPr>
                                      </pic:pic>
                                    </a:graphicData>
                                  </a:graphic>
                                </wp:inline>
                              </w:drawing>
                            </w:r>
                            <w:bookmarkStart w:id="81" w:name="i-44"/>
                            <w:bookmarkEnd w:id="8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manage manufacturing and production costs, especially costs related to the compute requirements of our instrument platforms, including purchase obligations;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extent to which we engage in collaborations with partners and acquire other businesses or technologies.</w:t>
      </w:r>
    </w:p>
    <w:p>
      <w:pPr>
        <w:pStyle w:val="TextBody"/>
        <w:bidi w:val="0"/>
        <w:spacing w:lineRule="auto" w:line="288" w:before="120" w:after="283"/>
        <w:jc w:val="both"/>
        <w:rPr/>
      </w:pPr>
      <w:r>
        <w:rPr>
          <w:rFonts w:ascii="Roboto;sans-serif" w:hAnsi="Roboto;sans-serif"/>
          <w:b w:val="false"/>
          <w:color w:val="000000"/>
          <w:sz w:val="20"/>
        </w:rPr>
        <w:t>If economic, financial, business, or other factors adversely affect our ability to fund our projected operating cash requirements, we may be required to obtain funding through traditional or alternative sources of financing. Raising additional funds may result in dilution to existing shareholders. We cannot be certain that funds will be available on favorable terms, or at all. If we are required and unable to raise additional capital when desired, our business, operating results, and financial condition may be adversely affected. See our risk factor captioned “</w:t>
      </w:r>
      <w:hyperlink w:anchor="i29333b647e3941e3b564cb5ee85e3f87_198497">
        <w:r>
          <w:rPr>
            <w:rStyle w:val="InternetLink"/>
            <w:rFonts w:ascii="Roboto;sans-serif" w:hAnsi="Roboto;sans-serif"/>
            <w:b w:val="false"/>
            <w:i/>
            <w:color w:val="0000FF"/>
            <w:sz w:val="20"/>
            <w:u w:val="single"/>
          </w:rPr>
          <w:t>We are not cash flow positive and may not have sufficient cash to make required payments under the terms of our debt or fund our long-term planned operations</w:t>
        </w:r>
      </w:hyperlink>
      <w:r>
        <w:rPr>
          <w:color w:val="000000"/>
        </w:rPr>
        <w:t xml:space="preserve">” </w:t>
      </w:r>
      <w:r>
        <w:rPr>
          <w:rFonts w:ascii="Roboto;sans-serif" w:hAnsi="Roboto;sans-serif"/>
          <w:b w:val="false"/>
          <w:color w:val="000000"/>
          <w:sz w:val="20"/>
        </w:rPr>
        <w:t>in Part II, Item 1A of this Quarterly Report on Form 10-Q for more information.</w:t>
      </w:r>
    </w:p>
    <w:tbl>
      <w:tblPr>
        <w:tblW w:w="2730" w:type="dxa"/>
        <w:jc w:val="left"/>
        <w:tblInd w:w="0" w:type="dxa"/>
        <w:tblLayout w:type="fixed"/>
        <w:tblCellMar>
          <w:top w:w="28" w:type="dxa"/>
          <w:left w:w="28" w:type="dxa"/>
          <w:bottom w:w="28" w:type="dxa"/>
          <w:right w:w="28" w:type="dxa"/>
        </w:tblCellMar>
      </w:tblPr>
      <w:tblGrid>
        <w:gridCol w:w="874"/>
        <w:gridCol w:w="767"/>
        <w:gridCol w:w="1089"/>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Cash Flow Summary</w:t>
            </w:r>
          </w:p>
        </w:tc>
      </w:tr>
    </w:tbl>
    <w:tbl>
      <w:tblPr>
        <w:tblW w:w="8787" w:type="dxa"/>
        <w:jc w:val="left"/>
        <w:tblInd w:w="0" w:type="dxa"/>
        <w:tblLayout w:type="fixed"/>
        <w:tblCellMar>
          <w:top w:w="28" w:type="dxa"/>
          <w:left w:w="28" w:type="dxa"/>
          <w:bottom w:w="28" w:type="dxa"/>
          <w:right w:w="28" w:type="dxa"/>
        </w:tblCellMar>
      </w:tblPr>
      <w:tblGrid>
        <w:gridCol w:w="2140"/>
        <w:gridCol w:w="1881"/>
        <w:gridCol w:w="1888"/>
        <w:gridCol w:w="226"/>
        <w:gridCol w:w="918"/>
        <w:gridCol w:w="109"/>
        <w:gridCol w:w="109"/>
        <w:gridCol w:w="109"/>
        <w:gridCol w:w="109"/>
        <w:gridCol w:w="226"/>
        <w:gridCol w:w="918"/>
        <w:gridCol w:w="154"/>
      </w:tblGrid>
      <w:tr>
        <w:trPr/>
        <w:tc>
          <w:tcPr>
            <w:tcW w:w="214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1253" w:type="dxa"/>
            <w:gridSpan w:val="3"/>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1383C6"/>
                <w:sz w:val="18"/>
              </w:rPr>
            </w:pPr>
            <w:r>
              <w:rPr>
                <w:rFonts w:ascii="Roboto;sans-serif" w:hAnsi="Roboto;sans-serif"/>
                <w:b/>
                <w:color w:val="1383C6"/>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Net cash used in operating activities </w:t>
            </w:r>
          </w:p>
        </w:tc>
        <w:tc>
          <w:tcPr>
            <w:tcW w:w="226"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18" w:type="dxa"/>
            <w:tcBorders>
              <w:top w:val="single" w:sz="8" w:space="0" w:color="000000"/>
            </w:tcBorders>
            <w:shd w:fill="E7F2F9" w:val="clear"/>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(80,274)</w:t>
            </w:r>
          </w:p>
        </w:tc>
        <w:tc>
          <w:tcPr>
            <w:tcW w:w="109" w:type="dxa"/>
            <w:tcBorders>
              <w:top w:val="single" w:sz="8" w:space="0" w:color="000000"/>
            </w:tcBorders>
            <w:shd w:fill="E7F2F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1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(73,433)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Net cash provided by investing activities </w:t>
            </w:r>
          </w:p>
        </w:tc>
        <w:tc>
          <w:tcPr>
            <w:tcW w:w="11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75,930 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70,517 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 xml:space="preserve">Net cash provided by financing activities </w:t>
            </w:r>
          </w:p>
        </w:tc>
        <w:tc>
          <w:tcPr>
            <w:tcW w:w="1144" w:type="dxa"/>
            <w:gridSpan w:val="2"/>
            <w:tcBorders/>
            <w:shd w:fill="E7F2F9"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1,692 </w:t>
            </w:r>
          </w:p>
        </w:tc>
        <w:tc>
          <w:tcPr>
            <w:tcW w:w="109" w:type="dxa"/>
            <w:tcBorders/>
            <w:shd w:fill="E7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1,959 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Net decrease in cash, cash equivalents, and restricted cash</w:t>
            </w:r>
          </w:p>
        </w:tc>
        <w:tc>
          <w:tcPr>
            <w:tcW w:w="226"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1383C6"/>
                <w:sz w:val="20"/>
              </w:rPr>
            </w:pPr>
            <w:r>
              <w:rPr>
                <w:rFonts w:ascii="Roboto;sans-serif" w:hAnsi="Roboto;sans-serif"/>
                <w:b w:val="false"/>
                <w:color w:val="1383C6"/>
                <w:sz w:val="20"/>
              </w:rPr>
              <w:t>$</w:t>
            </w:r>
          </w:p>
        </w:tc>
        <w:tc>
          <w:tcPr>
            <w:tcW w:w="918"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1383C6"/>
                <w:sz w:val="20"/>
              </w:rPr>
            </w:pPr>
            <w:r>
              <w:rPr>
                <w:rFonts w:ascii="Roboto;sans-serif" w:hAnsi="Roboto;sans-serif"/>
                <w:b w:val="false"/>
                <w:color w:val="1383C6"/>
                <w:sz w:val="20"/>
              </w:rPr>
              <w:t>(2,652)</w:t>
            </w:r>
          </w:p>
        </w:tc>
        <w:tc>
          <w:tcPr>
            <w:tcW w:w="109" w:type="dxa"/>
            <w:tcBorders>
              <w:top w:val="single" w:sz="8" w:space="0" w:color="000000"/>
              <w:bottom w:val="double" w:sz="8" w:space="0" w:color="000000"/>
            </w:tcBorders>
            <w:shd w:fill="E7F2F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(957)</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Operating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primary uses of cash in operating activities include the development of future products and product enhancements, manufacturing, and support functions related to our sales, general and administrative activities.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operating activities during the six months ended June 30, 2026 of $80.3 million was due primarily to a $53.0 million net loss that included non-cash items such as share-based compensation of $13.7 million, depreciation expense of $4.5 million, and amortization of acquired intangible assets of $2.0 million, which were offset by a $48.1 million gain on disposal of assets and $2.8 million in net changes to operating assets and liabilities. Cash flow impact from changes in net operating assets and liabilities was primarily driven by an increase in inventory and a decrease in accrued expenses. These uses of cash were partially offset by increases in other liabilities and operating lease liabilities as well as a decrease in accounts receivable.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operating activities during the six months ended June 30, 2025 of $73.4 million was due primarily to a $468.0 million net loss that included non-cash items such as amortization of acquired intangible assets of $367.4 million, an impairment charge of $15.0 million, share-based compensation of $21.1 million, $8.5 million of inventory adjustments, depreciation expense of $7.8 million, and $6.3 million in net changes to operating assets and liabilities, partially offset by an $18.7 million decrease in the change in the fair value of the contingent consideration. Cash flow impact from changes in net operating assets and liabilities was primarily driven by increases in accounts receivable and inventory, as well as decreases in accrued expenses and operating lease liabilities. These uses of cash were partially offset by a decrease in prepaid expenses and other assets.</w:t>
      </w:r>
    </w:p>
    <w:p>
      <w:pPr>
        <w:pStyle w:val="TextBody"/>
        <w:bidi w:val="0"/>
        <w:spacing w:lineRule="auto" w:line="288" w:before="240" w:after="283"/>
        <w:jc w:val="both"/>
        <w:rPr>
          <w:rFonts w:ascii="Roboto;sans-serif" w:hAnsi="Roboto;sans-serif"/>
          <w:b/>
          <w:i/>
          <w:color w:val="DF1995"/>
          <w:sz w:val="20"/>
        </w:rPr>
      </w:pPr>
      <w:r>
        <w:rPr>
          <w:rFonts w:ascii="Roboto;sans-serif" w:hAnsi="Roboto;sans-serif"/>
          <w:b/>
          <w:i/>
          <w:color w:val="DF1995"/>
          <w:sz w:val="20"/>
        </w:rPr>
        <w:t>Investing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investing activities consist primarily of capital expenditures and investment purchases and maturities.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investing activities during the six months ended June 30, 2026 was primarily from $97.0 million of maturities of investments and $50.0 million of gross proceeds from a disposal of assets partially offset by $57.5 million of purchases of investments, $5.0 million of purchases of intangible assets, and $4.6 million of purchases of property and equipment.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investing activities during the six months ended June 30, 2025, was primarily from $195.4 million of maturities of investments partially offset by $118.0 million of purchases of investments and $5.0 million in purchases of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12520"/>
                <wp:effectExtent l="0" t="0" r="0" b="0"/>
                <wp:wrapNone/>
                <wp:docPr id="120" name="Frame3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5" descr=""/>
                                                <pic:cNvPicPr>
                                                  <a:picLocks noChangeAspect="1" noChangeArrowheads="1"/>
                                                </pic:cNvPicPr>
                                              </pic:nvPicPr>
                                              <pic:blipFill>
                                                <a:blip r:embed="rId83"/>
                                                <a:stretch>
                                                  <a:fillRect/>
                                                </a:stretch>
                                              </pic:blipFill>
                                              <pic:spPr bwMode="auto">
                                                <a:xfrm>
                                                  <a:off x="0" y="0"/>
                                                  <a:ext cx="457200" cy="95250"/>
                                                </a:xfrm>
                                                <a:prstGeom prst="rect">
                                                  <a:avLst/>
                                                </a:prstGeom>
                                              </pic:spPr>
                                            </pic:pic>
                                          </a:graphicData>
                                        </a:graphic>
                                      </wp:inline>
                                    </w:drawing>
                                  </w:r>
                                  <w:bookmarkStart w:id="82" w:name="i-45"/>
                                  <w:bookmarkEnd w:id="8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5" descr=""/>
                                          <pic:cNvPicPr>
                                            <a:picLocks noChangeAspect="1" noChangeArrowheads="1"/>
                                          </pic:cNvPicPr>
                                        </pic:nvPicPr>
                                        <pic:blipFill>
                                          <a:blip r:embed="rId84"/>
                                          <a:stretch>
                                            <a:fillRect/>
                                          </a:stretch>
                                        </pic:blipFill>
                                        <pic:spPr bwMode="auto">
                                          <a:xfrm>
                                            <a:off x="0" y="0"/>
                                            <a:ext cx="457200" cy="95250"/>
                                          </a:xfrm>
                                          <a:prstGeom prst="rect">
                                            <a:avLst/>
                                          </a:prstGeom>
                                        </pic:spPr>
                                      </pic:pic>
                                    </a:graphicData>
                                  </a:graphic>
                                </wp:inline>
                              </w:drawing>
                            </w:r>
                            <w:bookmarkStart w:id="83" w:name="i-45"/>
                            <w:bookmarkEnd w:id="8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DF1995"/>
          <w:sz w:val="20"/>
        </w:rPr>
      </w:pPr>
      <w:r>
        <w:rPr>
          <w:rFonts w:ascii="Roboto;sans-serif" w:hAnsi="Roboto;sans-serif"/>
          <w:b/>
          <w:i/>
          <w:color w:val="DF1995"/>
          <w:sz w:val="20"/>
        </w:rPr>
        <w:t>Financing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financing activities during the six months ended June 30, 2026 resulted from $1.7 million of proceeds from the issuance of common stock through our equity compensation plans.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financing activities during the six months ended June 30, 2025 resulted from $2.0 million from the issuance of common stock through our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65" w:type="dxa"/>
        <w:jc w:val="left"/>
        <w:tblInd w:w="0" w:type="dxa"/>
        <w:tblLayout w:type="fixed"/>
        <w:tblCellMar>
          <w:top w:w="28" w:type="dxa"/>
          <w:left w:w="28" w:type="dxa"/>
          <w:bottom w:w="28" w:type="dxa"/>
          <w:right w:w="28" w:type="dxa"/>
        </w:tblCellMar>
      </w:tblPr>
      <w:tblGrid>
        <w:gridCol w:w="1014"/>
        <w:gridCol w:w="890"/>
        <w:gridCol w:w="1261"/>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Contractual Obligations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presented our contractual obligations at December 31, 2025 in our 2025 Annual Report. There were no material changes outside the ordinary course of business to our contractual obligations during the six months ended June 30, 2026.</w:t>
      </w:r>
    </w:p>
    <w:tbl>
      <w:tblPr>
        <w:tblW w:w="6480" w:type="dxa"/>
        <w:jc w:val="left"/>
        <w:tblInd w:w="0" w:type="dxa"/>
        <w:tblLayout w:type="fixed"/>
        <w:tblCellMar>
          <w:top w:w="28" w:type="dxa"/>
          <w:left w:w="28" w:type="dxa"/>
          <w:bottom w:w="28" w:type="dxa"/>
          <w:right w:w="28" w:type="dxa"/>
        </w:tblCellMar>
      </w:tblPr>
      <w:tblGrid>
        <w:gridCol w:w="2076"/>
        <w:gridCol w:w="1823"/>
        <w:gridCol w:w="2581"/>
      </w:tblGrid>
      <w:tr>
        <w:trPr/>
        <w:tc>
          <w:tcPr>
            <w:tcW w:w="207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CRITICAL ACCOUNTING POLICIES AND ESTIMATES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and estimates as disclosed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505" w:type="dxa"/>
        <w:jc w:val="left"/>
        <w:tblInd w:w="0" w:type="dxa"/>
        <w:tblLayout w:type="fixed"/>
        <w:tblCellMar>
          <w:top w:w="28" w:type="dxa"/>
          <w:left w:w="28" w:type="dxa"/>
          <w:bottom w:w="28" w:type="dxa"/>
          <w:right w:w="28" w:type="dxa"/>
        </w:tblCellMar>
      </w:tblPr>
      <w:tblGrid>
        <w:gridCol w:w="1762"/>
        <w:gridCol w:w="1549"/>
        <w:gridCol w:w="2194"/>
      </w:tblGrid>
      <w:tr>
        <w:trPr/>
        <w:tc>
          <w:tcPr>
            <w:tcW w:w="176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RECENT ACCOUNTING PRONOUNCEMENTS</w:t>
            </w:r>
          </w:p>
        </w:tc>
      </w:tr>
    </w:tbl>
    <w:p>
      <w:pPr>
        <w:pStyle w:val="TextBody"/>
        <w:bidi w:val="0"/>
        <w:spacing w:lineRule="auto" w:line="288" w:before="120" w:after="283"/>
        <w:jc w:val="both"/>
        <w:rPr/>
      </w:pPr>
      <w:r>
        <w:rPr>
          <w:rFonts w:ascii="Roboto;sans-serif" w:hAnsi="Roboto;sans-serif"/>
          <w:b w:val="false"/>
          <w:color w:val="000000"/>
          <w:sz w:val="20"/>
        </w:rPr>
        <w:t xml:space="preserve">Please see </w:t>
      </w:r>
      <w:hyperlink w:anchor="i94297dc2d97e4e34aed4a2bdfd28cba8_31">
        <w:r>
          <w:rPr>
            <w:rStyle w:val="InternetLink"/>
            <w:rFonts w:ascii="Roboto;sans-serif" w:hAnsi="Roboto;sans-serif"/>
            <w:b w:val="false"/>
            <w:i/>
            <w:color w:val="0000FF"/>
            <w:sz w:val="20"/>
            <w:u w:val="single"/>
          </w:rPr>
          <w:t>Note 1. Organization and Significant Accounting Policies</w:t>
        </w:r>
      </w:hyperlink>
      <w:r>
        <w:rPr>
          <w:rFonts w:ascii="Roboto;sans-serif" w:hAnsi="Roboto;sans-serif"/>
          <w:b w:val="false"/>
          <w:color w:val="000000"/>
          <w:sz w:val="20"/>
        </w:rPr>
        <w:t>, subsection titled “Recent Accounting Pronouncements”, in Part I, Item 1 of this Quarterly Report on Form 10-Q for information regarding applicable recent accounting pronouncements.</w:t>
      </w:r>
    </w:p>
    <w:tbl>
      <w:tblPr>
        <w:tblW w:w="5025" w:type="dxa"/>
        <w:jc w:val="left"/>
        <w:tblInd w:w="0" w:type="dxa"/>
        <w:tblLayout w:type="fixed"/>
        <w:tblCellMar>
          <w:top w:w="28" w:type="dxa"/>
          <w:left w:w="28" w:type="dxa"/>
          <w:bottom w:w="28" w:type="dxa"/>
          <w:right w:w="28" w:type="dxa"/>
        </w:tblCellMar>
      </w:tblPr>
      <w:tblGrid>
        <w:gridCol w:w="1608"/>
        <w:gridCol w:w="1412"/>
        <w:gridCol w:w="2005"/>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DF1995" w:val="clear"/>
            <w:tcMar>
              <w:top w:w="0" w:type="dxa"/>
              <w:left w:w="0" w:type="dxa"/>
              <w:bottom w:w="0" w:type="dxa"/>
              <w:right w:w="0" w:type="dxa"/>
            </w:tcMar>
            <w:vAlign w:val="center"/>
          </w:tcPr>
          <w:p>
            <w:pPr>
              <w:pStyle w:val="TableContents"/>
              <w:bidi w:val="0"/>
              <w:spacing w:lineRule="auto" w:line="288" w:before="120" w:after="283"/>
              <w:ind w:left="0" w:right="0" w:hanging="990"/>
              <w:jc w:val="left"/>
              <w:rPr>
                <w:rFonts w:ascii="Roboto;sans-serif" w:hAnsi="Roboto;sans-serif"/>
                <w:b/>
                <w:color w:val="FFFFFF"/>
                <w:sz w:val="22"/>
              </w:rPr>
            </w:pPr>
            <w:r>
              <w:rPr>
                <w:rFonts w:ascii="Roboto;sans-serif" w:hAnsi="Roboto;sans-serif"/>
                <w:b/>
                <w:color w:val="FFFFFF"/>
                <w:sz w:val="22"/>
              </w:rPr>
              <w:t>OFF-BALANCE SHEET ARRANGEMENTS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2026, we did not have any off-balance sheet arrangements.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lineRule="auto" w:line="288" w:before="120" w:after="283"/>
        <w:jc w:val="both"/>
        <w:rPr/>
      </w:pPr>
      <w:r>
        <w:rPr>
          <w:rFonts w:ascii="Roboto;sans-serif" w:hAnsi="Roboto;sans-serif"/>
          <w:b w:val="false"/>
          <w:color w:val="000000"/>
          <w:sz w:val="20"/>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hyperlink w:anchor="i94297dc2d97e4e34aed4a2bdfd28cba8_49">
        <w:r>
          <w:rPr>
            <w:rStyle w:val="InternetLink"/>
            <w:rFonts w:ascii="Roboto;sans-serif" w:hAnsi="Roboto;sans-serif"/>
            <w:b w:val="false"/>
            <w:i/>
            <w:color w:val="0000FF"/>
            <w:sz w:val="20"/>
            <w:u w:val="single"/>
          </w:rPr>
          <w:t>Note 6. Commitments and Contingencies</w:t>
        </w:r>
      </w:hyperlink>
      <w:r>
        <w:rPr>
          <w:color w:val="000000"/>
        </w:rPr>
        <w:t xml:space="preserve"> </w:t>
      </w:r>
      <w:r>
        <w:rPr>
          <w:rFonts w:ascii="Roboto;sans-serif" w:hAnsi="Roboto;sans-serif"/>
          <w:b w:val="false"/>
          <w:color w:val="000000"/>
          <w:sz w:val="20"/>
        </w:rPr>
        <w:t xml:space="preserve">in Part I, Item 1 of this Quarterly Report on Form 10-Q, any associated expenses incurred are included within the related accrued litigation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12520"/>
                <wp:effectExtent l="0" t="0" r="0" b="0"/>
                <wp:wrapNone/>
                <wp:docPr id="123" name="Frame4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6" descr=""/>
                                                <pic:cNvPicPr>
                                                  <a:picLocks noChangeAspect="1" noChangeArrowheads="1"/>
                                                </pic:cNvPicPr>
                                              </pic:nvPicPr>
                                              <pic:blipFill>
                                                <a:blip r:embed="rId85"/>
                                                <a:stretch>
                                                  <a:fillRect/>
                                                </a:stretch>
                                              </pic:blipFill>
                                              <pic:spPr bwMode="auto">
                                                <a:xfrm>
                                                  <a:off x="0" y="0"/>
                                                  <a:ext cx="457200" cy="95250"/>
                                                </a:xfrm>
                                                <a:prstGeom prst="rect">
                                                  <a:avLst/>
                                                </a:prstGeom>
                                              </pic:spPr>
                                            </pic:pic>
                                          </a:graphicData>
                                        </a:graphic>
                                      </wp:inline>
                                    </w:drawing>
                                  </w:r>
                                  <w:bookmarkStart w:id="84" w:name="i-46"/>
                                  <w:bookmarkEnd w:id="8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6" descr=""/>
                                          <pic:cNvPicPr>
                                            <a:picLocks noChangeAspect="1" noChangeArrowheads="1"/>
                                          </pic:cNvPicPr>
                                        </pic:nvPicPr>
                                        <pic:blipFill>
                                          <a:blip r:embed="rId86"/>
                                          <a:stretch>
                                            <a:fillRect/>
                                          </a:stretch>
                                        </pic:blipFill>
                                        <pic:spPr bwMode="auto">
                                          <a:xfrm>
                                            <a:off x="0" y="0"/>
                                            <a:ext cx="457200" cy="95250"/>
                                          </a:xfrm>
                                          <a:prstGeom prst="rect">
                                            <a:avLst/>
                                          </a:prstGeom>
                                        </pic:spPr>
                                      </pic:pic>
                                    </a:graphicData>
                                  </a:graphic>
                                </wp:inline>
                              </w:drawing>
                            </w:r>
                            <w:bookmarkStart w:id="85" w:name="i-46"/>
                            <w:bookmarkEnd w:id="8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amounts. No additional liability associated with such indemnification agreements has been recorded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ind w:left="0" w:right="0" w:hanging="1109"/>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12520"/>
                <wp:effectExtent l="0" t="0" r="0" b="0"/>
                <wp:wrapNone/>
                <wp:docPr id="126" name="Frame4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7" descr=""/>
                                                <pic:cNvPicPr>
                                                  <a:picLocks noChangeAspect="1" noChangeArrowheads="1"/>
                                                </pic:cNvPicPr>
                                              </pic:nvPicPr>
                                              <pic:blipFill>
                                                <a:blip r:embed="rId87"/>
                                                <a:stretch>
                                                  <a:fillRect/>
                                                </a:stretch>
                                              </pic:blipFill>
                                              <pic:spPr bwMode="auto">
                                                <a:xfrm>
                                                  <a:off x="0" y="0"/>
                                                  <a:ext cx="457200" cy="95250"/>
                                                </a:xfrm>
                                                <a:prstGeom prst="rect">
                                                  <a:avLst/>
                                                </a:prstGeom>
                                              </pic:spPr>
                                            </pic:pic>
                                          </a:graphicData>
                                        </a:graphic>
                                      </wp:inline>
                                    </w:drawing>
                                  </w:r>
                                  <w:bookmarkStart w:id="86" w:name="i-47"/>
                                  <w:bookmarkEnd w:id="8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2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7" descr=""/>
                                          <pic:cNvPicPr>
                                            <a:picLocks noChangeAspect="1" noChangeArrowheads="1"/>
                                          </pic:cNvPicPr>
                                        </pic:nvPicPr>
                                        <pic:blipFill>
                                          <a:blip r:embed="rId88"/>
                                          <a:stretch>
                                            <a:fillRect/>
                                          </a:stretch>
                                        </pic:blipFill>
                                        <pic:spPr bwMode="auto">
                                          <a:xfrm>
                                            <a:off x="0" y="0"/>
                                            <a:ext cx="457200" cy="95250"/>
                                          </a:xfrm>
                                          <a:prstGeom prst="rect">
                                            <a:avLst/>
                                          </a:prstGeom>
                                        </pic:spPr>
                                      </pic:pic>
                                    </a:graphicData>
                                  </a:graphic>
                                </wp:inline>
                              </w:drawing>
                            </w:r>
                            <w:bookmarkStart w:id="87" w:name="i-47"/>
                            <w:bookmarkEnd w:id="8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52"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 xml:space="preserve">ITEM 3. QUANTITATIVE AND QUALITATIVE DISCLOSURES ABOUT MARKET RISK </w:t>
            </w:r>
          </w:p>
        </w:tc>
      </w:tr>
    </w:tbl>
    <w:tbl>
      <w:tblPr>
        <w:tblW w:w="3959" w:type="dxa"/>
        <w:jc w:val="left"/>
        <w:tblInd w:w="0" w:type="dxa"/>
        <w:tblLayout w:type="fixed"/>
        <w:tblCellMar>
          <w:top w:w="28" w:type="dxa"/>
          <w:left w:w="28" w:type="dxa"/>
          <w:bottom w:w="28" w:type="dxa"/>
          <w:right w:w="28" w:type="dxa"/>
        </w:tblCellMar>
      </w:tblPr>
      <w:tblGrid>
        <w:gridCol w:w="1268"/>
        <w:gridCol w:w="1112"/>
        <w:gridCol w:w="1579"/>
      </w:tblGrid>
      <w:tr>
        <w:trPr/>
        <w:tc>
          <w:tcPr>
            <w:tcW w:w="1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Interest Rate and Market Risk</w:t>
            </w:r>
          </w:p>
        </w:tc>
      </w:tr>
    </w:tbl>
    <w:p>
      <w:pPr>
        <w:pStyle w:val="TextBody"/>
        <w:bidi w:val="0"/>
        <w:spacing w:lineRule="auto" w:line="288" w:before="120" w:after="283"/>
        <w:jc w:val="both"/>
        <w:rPr/>
      </w:pPr>
      <w:r>
        <w:rPr>
          <w:rFonts w:ascii="Roboto;sans-serif" w:hAnsi="Roboto;sans-serif"/>
          <w:b w:val="false"/>
          <w:color w:val="000000"/>
          <w:sz w:val="20"/>
        </w:rPr>
        <w:t xml:space="preserve">The 2030 Notes and 2029 Notes have fixed annual interest rates of 1.375% and 1.50%, respectively, and accordingly we do not have any economic interest rate exposure or financial statement risk associated with changes in interest rates. The fair value of the notes, however, may fluctuate when interest rates and the market price of our stock changes. See </w:t>
      </w:r>
      <w:hyperlink w:anchor="i94297dc2d97e4e34aed4a2bdfd28cba8_40">
        <w:r>
          <w:rPr>
            <w:rStyle w:val="InternetLink"/>
            <w:rFonts w:ascii="Roboto;sans-serif" w:hAnsi="Roboto;sans-serif"/>
            <w:b w:val="false"/>
            <w:i/>
            <w:color w:val="0000FF"/>
            <w:sz w:val="20"/>
            <w:u w:val="single"/>
          </w:rPr>
          <w:t>Note 4. Convertible Senior Notes</w:t>
        </w:r>
      </w:hyperlink>
      <w:r>
        <w:rPr>
          <w:color w:val="000000"/>
        </w:rPr>
        <w:t xml:space="preserve"> </w:t>
      </w:r>
      <w:r>
        <w:rPr>
          <w:rFonts w:ascii="Roboto;sans-serif" w:hAnsi="Roboto;sans-serif"/>
          <w:b w:val="false"/>
          <w:color w:val="000000"/>
          <w:sz w:val="20"/>
        </w:rPr>
        <w:t>in Part I, Item 1 of this Quarterly Report on Form 10-Q for additional information.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six months ended June 30, 2026, we invested in cash equivalents, U.S. government and agency securities, and corporate debt securities which were designated as cash equivalents and available-for-sale investments. Our cash equivalents and available-for-sale securities as of June 30, 2026 were $201.8 million.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exposure to market risk for changes in interest rates relates primarily to our investment portfolio comprised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June 30, 2026 would have affected the fair value of our investment portfolio by approximately $1.3 million.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other material changes in market risk from the information provided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12520"/>
                <wp:effectExtent l="0" t="0" r="0" b="0"/>
                <wp:wrapNone/>
                <wp:docPr id="129" name="Frame4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8" descr=""/>
                                                <pic:cNvPicPr>
                                                  <a:picLocks noChangeAspect="1" noChangeArrowheads="1"/>
                                                </pic:cNvPicPr>
                                              </pic:nvPicPr>
                                              <pic:blipFill>
                                                <a:blip r:embed="rId89"/>
                                                <a:stretch>
                                                  <a:fillRect/>
                                                </a:stretch>
                                              </pic:blipFill>
                                              <pic:spPr bwMode="auto">
                                                <a:xfrm>
                                                  <a:off x="0" y="0"/>
                                                  <a:ext cx="457200" cy="95250"/>
                                                </a:xfrm>
                                                <a:prstGeom prst="rect">
                                                  <a:avLst/>
                                                </a:prstGeom>
                                              </pic:spPr>
                                            </pic:pic>
                                          </a:graphicData>
                                        </a:graphic>
                                      </wp:inline>
                                    </w:drawing>
                                  </w:r>
                                  <w:bookmarkStart w:id="88" w:name="i-48"/>
                                  <w:bookmarkEnd w:id="8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8" descr=""/>
                                          <pic:cNvPicPr>
                                            <a:picLocks noChangeAspect="1" noChangeArrowheads="1"/>
                                          </pic:cNvPicPr>
                                        </pic:nvPicPr>
                                        <pic:blipFill>
                                          <a:blip r:embed="rId90"/>
                                          <a:stretch>
                                            <a:fillRect/>
                                          </a:stretch>
                                        </pic:blipFill>
                                        <pic:spPr bwMode="auto">
                                          <a:xfrm>
                                            <a:off x="0" y="0"/>
                                            <a:ext cx="457200" cy="95250"/>
                                          </a:xfrm>
                                          <a:prstGeom prst="rect">
                                            <a:avLst/>
                                          </a:prstGeom>
                                        </pic:spPr>
                                      </pic:pic>
                                    </a:graphicData>
                                  </a:graphic>
                                </wp:inline>
                              </w:drawing>
                            </w:r>
                            <w:bookmarkStart w:id="89" w:name="i-48"/>
                            <w:bookmarkEnd w:id="8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5310" w:type="dxa"/>
        <w:jc w:val="left"/>
        <w:tblInd w:w="0" w:type="dxa"/>
        <w:tblLayout w:type="fixed"/>
        <w:tblCellMar>
          <w:top w:w="28" w:type="dxa"/>
          <w:left w:w="28" w:type="dxa"/>
          <w:bottom w:w="28" w:type="dxa"/>
          <w:right w:w="28" w:type="dxa"/>
        </w:tblCellMar>
      </w:tblPr>
      <w:tblGrid>
        <w:gridCol w:w="1699"/>
        <w:gridCol w:w="1494"/>
        <w:gridCol w:w="2117"/>
      </w:tblGrid>
      <w:tr>
        <w:trPr/>
        <w:tc>
          <w:tcPr>
            <w:tcW w:w="169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DF1995"/>
              <w:bottom w:val="single" w:sz="8" w:space="0" w:color="DF1995"/>
            </w:tcBorders>
            <w:tcMar>
              <w:top w:w="52"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4. CONTROLS AND PROCEDURES</w:t>
            </w:r>
          </w:p>
        </w:tc>
      </w:tr>
    </w:tbl>
    <w:tbl>
      <w:tblPr>
        <w:tblW w:w="4649" w:type="dxa"/>
        <w:jc w:val="left"/>
        <w:tblInd w:w="0" w:type="dxa"/>
        <w:tblLayout w:type="fixed"/>
        <w:tblCellMar>
          <w:top w:w="28" w:type="dxa"/>
          <w:left w:w="28" w:type="dxa"/>
          <w:bottom w:w="28" w:type="dxa"/>
          <w:right w:w="28" w:type="dxa"/>
        </w:tblCellMar>
      </w:tblPr>
      <w:tblGrid>
        <w:gridCol w:w="1487"/>
        <w:gridCol w:w="1309"/>
        <w:gridCol w:w="1853"/>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Disclosure Controls and Procedures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with the participation of our Chief Executive Officer and our Chief Financial Officer, evaluated the effectiveness of our disclosure controls and procedures (as defined in Rules 13a-15(e) and 15d-15(e) of the Securities Exchange Act of 1934, as amended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w:t>
      </w:r>
    </w:p>
    <w:tbl>
      <w:tblPr>
        <w:tblW w:w="6870" w:type="dxa"/>
        <w:jc w:val="left"/>
        <w:tblInd w:w="0" w:type="dxa"/>
        <w:tblLayout w:type="fixed"/>
        <w:tblCellMar>
          <w:top w:w="28" w:type="dxa"/>
          <w:left w:w="28" w:type="dxa"/>
          <w:bottom w:w="28" w:type="dxa"/>
          <w:right w:w="28" w:type="dxa"/>
        </w:tblCellMar>
      </w:tblPr>
      <w:tblGrid>
        <w:gridCol w:w="2197"/>
        <w:gridCol w:w="1932"/>
        <w:gridCol w:w="2741"/>
      </w:tblGrid>
      <w:tr>
        <w:trPr/>
        <w:tc>
          <w:tcPr>
            <w:tcW w:w="219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Changes in Internal Control Over Financial Reporting</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An evaluation was performed under the supervision and with the participation of our management, including our Chief Executive Officer and our Chief Financial Officer, to determine whether any change in our internal control over financial reporting occurred during the quarter ended June 30, 2026 that materially affected, or is reasonably likely to materially affect, our internal control over financial reporting. There were no material changes in our internal control over financial reporting during the quarter ended June 30, 2026 that have materially affected, or were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12520"/>
                <wp:effectExtent l="0" t="0" r="0" b="0"/>
                <wp:wrapNone/>
                <wp:docPr id="132" name="Frame4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9" descr=""/>
                                                <pic:cNvPicPr>
                                                  <a:picLocks noChangeAspect="1" noChangeArrowheads="1"/>
                                                </pic:cNvPicPr>
                                              </pic:nvPicPr>
                                              <pic:blipFill>
                                                <a:blip r:embed="rId91"/>
                                                <a:stretch>
                                                  <a:fillRect/>
                                                </a:stretch>
                                              </pic:blipFill>
                                              <pic:spPr bwMode="auto">
                                                <a:xfrm>
                                                  <a:off x="0" y="0"/>
                                                  <a:ext cx="457200" cy="95250"/>
                                                </a:xfrm>
                                                <a:prstGeom prst="rect">
                                                  <a:avLst/>
                                                </a:prstGeom>
                                              </pic:spPr>
                                            </pic:pic>
                                          </a:graphicData>
                                        </a:graphic>
                                      </wp:inline>
                                    </w:drawing>
                                  </w:r>
                                  <w:bookmarkStart w:id="90" w:name="i-49"/>
                                  <w:bookmarkEnd w:id="9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9" descr=""/>
                                          <pic:cNvPicPr>
                                            <a:picLocks noChangeAspect="1" noChangeArrowheads="1"/>
                                          </pic:cNvPicPr>
                                        </pic:nvPicPr>
                                        <pic:blipFill>
                                          <a:blip r:embed="rId92"/>
                                          <a:stretch>
                                            <a:fillRect/>
                                          </a:stretch>
                                        </pic:blipFill>
                                        <pic:spPr bwMode="auto">
                                          <a:xfrm>
                                            <a:off x="0" y="0"/>
                                            <a:ext cx="457200" cy="95250"/>
                                          </a:xfrm>
                                          <a:prstGeom prst="rect">
                                            <a:avLst/>
                                          </a:prstGeom>
                                        </pic:spPr>
                                      </pic:pic>
                                    </a:graphicData>
                                  </a:graphic>
                                </wp:inline>
                              </w:drawing>
                            </w:r>
                            <w:bookmarkStart w:id="91" w:name="i-49"/>
                            <w:bookmarkEnd w:id="9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0" w:after="0"/>
        <w:jc w:val="center"/>
        <w:rPr>
          <w:rFonts w:ascii="Roboto;sans-serif" w:hAnsi="Roboto;sans-serif"/>
          <w:b/>
          <w:color w:val="DF1995"/>
          <w:sz w:val="24"/>
        </w:rPr>
      </w:pPr>
      <w:r>
        <w:rPr>
          <w:rFonts w:ascii="Roboto;sans-serif" w:hAnsi="Roboto;sans-serif"/>
          <w:b/>
          <w:color w:val="DF1995"/>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24" w:type="dxa"/>
        <w:jc w:val="left"/>
        <w:tblInd w:w="0" w:type="dxa"/>
        <w:tblLayout w:type="fixed"/>
        <w:tblCellMar>
          <w:top w:w="28" w:type="dxa"/>
          <w:left w:w="28" w:type="dxa"/>
          <w:bottom w:w="28" w:type="dxa"/>
          <w:right w:w="28" w:type="dxa"/>
        </w:tblCellMar>
      </w:tblPr>
      <w:tblGrid>
        <w:gridCol w:w="1321"/>
        <w:gridCol w:w="1160"/>
        <w:gridCol w:w="1643"/>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DF1995"/>
              <w:bottom w:val="single" w:sz="8" w:space="0" w:color="DF1995"/>
            </w:tcBorders>
            <w:tcMar>
              <w:top w:w="52"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DF1995"/>
                <w:sz w:val="24"/>
              </w:rPr>
            </w:pPr>
            <w:r>
              <w:rPr>
                <w:rFonts w:ascii="Roboto;sans-serif" w:hAnsi="Roboto;sans-serif"/>
                <w:b/>
                <w:color w:val="DF1995"/>
                <w:sz w:val="24"/>
              </w:rPr>
              <w:t>ITEM 1. LEGAL PROCEEDINGS</w:t>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From time to time, we may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record a provision for contingent losses when it is both probable that a liability has been incurred and the amount of the loss can be reasonably estimated. We currently do not believe that the ultimate outcome of any current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12520"/>
                <wp:effectExtent l="0" t="0" r="0" b="0"/>
                <wp:wrapNone/>
                <wp:docPr id="135" name="Frame4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0" descr=""/>
                                                <pic:cNvPicPr>
                                                  <a:picLocks noChangeAspect="1" noChangeArrowheads="1"/>
                                                </pic:cNvPicPr>
                                              </pic:nvPicPr>
                                              <pic:blipFill>
                                                <a:blip r:embed="rId93"/>
                                                <a:stretch>
                                                  <a:fillRect/>
                                                </a:stretch>
                                              </pic:blipFill>
                                              <pic:spPr bwMode="auto">
                                                <a:xfrm>
                                                  <a:off x="0" y="0"/>
                                                  <a:ext cx="457200" cy="95250"/>
                                                </a:xfrm>
                                                <a:prstGeom prst="rect">
                                                  <a:avLst/>
                                                </a:prstGeom>
                                              </pic:spPr>
                                            </pic:pic>
                                          </a:graphicData>
                                        </a:graphic>
                                      </wp:inline>
                                    </w:drawing>
                                  </w:r>
                                  <w:bookmarkStart w:id="92" w:name="i-50"/>
                                  <w:bookmarkEnd w:id="9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0" descr=""/>
                                          <pic:cNvPicPr>
                                            <a:picLocks noChangeAspect="1" noChangeArrowheads="1"/>
                                          </pic:cNvPicPr>
                                        </pic:nvPicPr>
                                        <pic:blipFill>
                                          <a:blip r:embed="rId94"/>
                                          <a:stretch>
                                            <a:fillRect/>
                                          </a:stretch>
                                        </pic:blipFill>
                                        <pic:spPr bwMode="auto">
                                          <a:xfrm>
                                            <a:off x="0" y="0"/>
                                            <a:ext cx="457200" cy="95250"/>
                                          </a:xfrm>
                                          <a:prstGeom prst="rect">
                                            <a:avLst/>
                                          </a:prstGeom>
                                        </pic:spPr>
                                      </pic:pic>
                                    </a:graphicData>
                                  </a:graphic>
                                </wp:inline>
                              </w:drawing>
                            </w:r>
                            <w:bookmarkStart w:id="93" w:name="i-50"/>
                            <w:bookmarkEnd w:id="9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3420" w:type="dxa"/>
        <w:jc w:val="left"/>
        <w:tblInd w:w="0" w:type="dxa"/>
        <w:tblLayout w:type="fixed"/>
        <w:tblCellMar>
          <w:top w:w="28" w:type="dxa"/>
          <w:left w:w="28" w:type="dxa"/>
          <w:bottom w:w="28" w:type="dxa"/>
          <w:right w:w="28" w:type="dxa"/>
        </w:tblCellMar>
      </w:tblPr>
      <w:tblGrid>
        <w:gridCol w:w="1093"/>
        <w:gridCol w:w="962"/>
        <w:gridCol w:w="1365"/>
      </w:tblGrid>
      <w:tr>
        <w:trPr/>
        <w:tc>
          <w:tcPr>
            <w:tcW w:w="109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DF1995"/>
              <w:bottom w:val="single" w:sz="8" w:space="0" w:color="DF1995"/>
            </w:tcBorders>
            <w:tcMar>
              <w:top w:w="52"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1A. RISK FACTORS</w:t>
            </w:r>
          </w:p>
        </w:tc>
      </w:tr>
    </w:tbl>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tbl>
      <w:tblPr>
        <w:tblW w:w="3000" w:type="dxa"/>
        <w:jc w:val="left"/>
        <w:tblInd w:w="0" w:type="dxa"/>
        <w:tblLayout w:type="fixed"/>
        <w:tblCellMar>
          <w:top w:w="28" w:type="dxa"/>
          <w:left w:w="28" w:type="dxa"/>
          <w:bottom w:w="28" w:type="dxa"/>
          <w:right w:w="28" w:type="dxa"/>
        </w:tblCellMar>
      </w:tblPr>
      <w:tblGrid>
        <w:gridCol w:w="960"/>
        <w:gridCol w:w="843"/>
        <w:gridCol w:w="1197"/>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Summary Risk Factors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is a summary of the principal risks that could adversely affect our business, operations, and financial results. Such risks are discussed more fully below and include, but are not limited to, risks related to:</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market, commercialize, and sell current and future products and related maintenance services;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achieve profitability for our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implement required expense reduction initiatives;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repay our debt and fund our long-term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the disposition of assets related to our short-read DNA sequencing technology and related clustering, sequencing reagent, and detection technologies could have on our business, financial condition and results of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leverage and integrate our acquisitions and future acquisitions;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successfully research, develop and timely manufacture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management of new product introductions and transitions, resultant costs, and ability of new products to generate promised performance;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recent significant changes to our leadership team and resultant disruptions to our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retention, recruitment, and training of senior management, key personnel, scientists and engineers;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further penetrate nucleic acid sequencing applications, as well as grow product demand;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reliance on outsourcing to other companies for manufacturing certain of our products, components and sub-assemblies, some of which are sole-sourced;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tariffs recently threatened or imposed by the U.S. government or its trading partners in response, other possible tariffs or trade protection measures, import or export licensing requirements, new or different customs duties, trade embargoes and sanctions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consistently manufacture our instruments and consumables to meet customers’ specifications, quantity, cost, or performance requirements;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high amount of competition we face in our industry;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customers and increase sales of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reliance on a limited number of customers for a significant portion of our revenues, including academic, research and government institutions, which have been and may continue to be impacted by reductions in funding or targeted cancellations of certain grants or contracts by the U.S. federal government;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complexity of our products giving rise to defects or errors;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unpredictable and lengthy sales cycles;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possibility that our goodwill or intangible assets could become impaired;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effects resulting from political and economic tensions between the United States and other countries, including China and Russia, and other geopolitical uncertainties;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12520"/>
                <wp:effectExtent l="0" t="0" r="0" b="0"/>
                <wp:wrapNone/>
                <wp:docPr id="138" name="Frame4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3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1" descr=""/>
                                                <pic:cNvPicPr>
                                                  <a:picLocks noChangeAspect="1" noChangeArrowheads="1"/>
                                                </pic:cNvPicPr>
                                              </pic:nvPicPr>
                                              <pic:blipFill>
                                                <a:blip r:embed="rId95"/>
                                                <a:stretch>
                                                  <a:fillRect/>
                                                </a:stretch>
                                              </pic:blipFill>
                                              <pic:spPr bwMode="auto">
                                                <a:xfrm>
                                                  <a:off x="0" y="0"/>
                                                  <a:ext cx="457200" cy="95250"/>
                                                </a:xfrm>
                                                <a:prstGeom prst="rect">
                                                  <a:avLst/>
                                                </a:prstGeom>
                                              </pic:spPr>
                                            </pic:pic>
                                          </a:graphicData>
                                        </a:graphic>
                                      </wp:inline>
                                    </w:drawing>
                                  </w:r>
                                  <w:bookmarkStart w:id="94" w:name="i-51"/>
                                  <w:bookmarkEnd w:id="9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1" descr=""/>
                                          <pic:cNvPicPr>
                                            <a:picLocks noChangeAspect="1" noChangeArrowheads="1"/>
                                          </pic:cNvPicPr>
                                        </pic:nvPicPr>
                                        <pic:blipFill>
                                          <a:blip r:embed="rId96"/>
                                          <a:stretch>
                                            <a:fillRect/>
                                          </a:stretch>
                                        </pic:blipFill>
                                        <pic:spPr bwMode="auto">
                                          <a:xfrm>
                                            <a:off x="0" y="0"/>
                                            <a:ext cx="457200" cy="95250"/>
                                          </a:xfrm>
                                          <a:prstGeom prst="rect">
                                            <a:avLst/>
                                          </a:prstGeom>
                                        </pic:spPr>
                                      </pic:pic>
                                    </a:graphicData>
                                  </a:graphic>
                                </wp:inline>
                              </w:drawing>
                            </w:r>
                            <w:bookmarkStart w:id="95" w:name="i-51"/>
                            <w:bookmarkEnd w:id="9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securing and maintaining patent or other intellectual property protection for our products and related improvements;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current and future legal proceedings filed against us claiming intellectual property infringement;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potential adverse impact of health epidemics;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cybersecurity incidents and security breaches;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governmental regulations that burden operations or narrow the market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effects resulting from new, increased, or enhanced trade tariffs, import restrictions, export restrictions, or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evolving ethical, legal, privacy, social, and regulatory concerns regarding genetic testing;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volatility of the price of our common stock;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stock price falling as a result of future offerings or sales of securities.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risk factors are not guarantees that no such conditions exist as of the date hereof and should not be interpreted as an affirmative statement that such risks or conditions have not materialized, in whole or in part.</w:t>
      </w:r>
    </w:p>
    <w:tbl>
      <w:tblPr>
        <w:tblW w:w="3960" w:type="dxa"/>
        <w:jc w:val="left"/>
        <w:tblInd w:w="0" w:type="dxa"/>
        <w:tblLayout w:type="fixed"/>
        <w:tblCellMar>
          <w:top w:w="28" w:type="dxa"/>
          <w:left w:w="28" w:type="dxa"/>
          <w:bottom w:w="28" w:type="dxa"/>
          <w:right w:w="28" w:type="dxa"/>
        </w:tblCellMar>
      </w:tblPr>
      <w:tblGrid>
        <w:gridCol w:w="1267"/>
        <w:gridCol w:w="1113"/>
        <w:gridCol w:w="1580"/>
      </w:tblGrid>
      <w:tr>
        <w:trPr/>
        <w:tc>
          <w:tcPr>
            <w:tcW w:w="12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Our Business</w:t>
            </w:r>
          </w:p>
        </w:tc>
      </w:tr>
    </w:tbl>
    <w:p>
      <w:pPr>
        <w:pStyle w:val="TextBody"/>
        <w:bidi w:val="0"/>
        <w:spacing w:lineRule="auto" w:line="288" w:before="120" w:after="283"/>
        <w:jc w:val="both"/>
        <w:rPr>
          <w:rFonts w:ascii="Roboto;sans-serif" w:hAnsi="Roboto;sans-serif"/>
          <w:b/>
          <w:i/>
          <w:color w:val="DF1995"/>
          <w:sz w:val="20"/>
        </w:rPr>
      </w:pPr>
      <w:bookmarkStart w:id="96" w:name="i29333b647e3941e3b564cb5ee85e3f87_198501"/>
      <w:bookmarkEnd w:id="96"/>
      <w:r>
        <w:rPr>
          <w:rFonts w:ascii="Roboto;sans-serif" w:hAnsi="Roboto;sans-serif"/>
          <w:b/>
          <w:i/>
          <w:color w:val="DF1995"/>
          <w:sz w:val="20"/>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made and expect to continue making substantial investments to develop new products and enhance our existing products through our acquisitions and research and development efforts. For example, we commenced commercial shipments of Revio, our long-read sequencing system, in 2023. We also began taking orders and shipping our new Vega benchtop long-read sequencing system in the fourth quarter of 2024. Our future success is substantially dependent on our ability to successfully develop and commercialize our products, including in particular the Revio and Vega systems, as well as acquired technologies, which are anticipated to be used in demanding scientific research that requires substantial levels of accuracy and precision. In addition, we may not be successful in transitioning the customers of our prior generation products to our Revio and Vega products, or transitioning users of other third-party sequencing platforms to our portfolio of products, and have incurred and could continue to incur related obsolete inventory charges and losses on firm purchase commitments. Customers may also be slower than we anticipate in making new capital equipment acquisitions, especially in the current economic environment. Due to challenges we may experience in developing and marketing our existing products and launching new products, we may not be able to effectively: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 the timeliness of our new product introductions and the rate at which sales of our new products may cannibalize sales of our existing products or manage sales and marketing of multiple sequencing platforms;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drive adoption of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maintain our competitive position by continuing to attract and retain customers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appropriate levels of customer training and support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implement an effective marketing strategy to promote awareness of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develop and implement an effective sales and distribution strategy for our current and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develop, manufacture and commercialize new products or achieve an acceptable return on our manufacturing or research and development efforts and expenses;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comply with regulatory requirements applicable to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anticipate and adapt to changes in our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12520"/>
                <wp:effectExtent l="0" t="0" r="0" b="0"/>
                <wp:wrapNone/>
                <wp:docPr id="141" name="Frame4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2" descr=""/>
                                                <pic:cNvPicPr>
                                                  <a:picLocks noChangeAspect="1" noChangeArrowheads="1"/>
                                                </pic:cNvPicPr>
                                              </pic:nvPicPr>
                                              <pic:blipFill>
                                                <a:blip r:embed="rId97"/>
                                                <a:stretch>
                                                  <a:fillRect/>
                                                </a:stretch>
                                              </pic:blipFill>
                                              <pic:spPr bwMode="auto">
                                                <a:xfrm>
                                                  <a:off x="0" y="0"/>
                                                  <a:ext cx="457200" cy="95250"/>
                                                </a:xfrm>
                                                <a:prstGeom prst="rect">
                                                  <a:avLst/>
                                                </a:prstGeom>
                                              </pic:spPr>
                                            </pic:pic>
                                          </a:graphicData>
                                        </a:graphic>
                                      </wp:inline>
                                    </w:drawing>
                                  </w:r>
                                  <w:bookmarkStart w:id="97" w:name="i-52"/>
                                  <w:bookmarkEnd w:id="9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2" descr=""/>
                                          <pic:cNvPicPr>
                                            <a:picLocks noChangeAspect="1" noChangeArrowheads="1"/>
                                          </pic:cNvPicPr>
                                        </pic:nvPicPr>
                                        <pic:blipFill>
                                          <a:blip r:embed="rId98"/>
                                          <a:stretch>
                                            <a:fillRect/>
                                          </a:stretch>
                                        </pic:blipFill>
                                        <pic:spPr bwMode="auto">
                                          <a:xfrm>
                                            <a:off x="0" y="0"/>
                                            <a:ext cx="457200" cy="95250"/>
                                          </a:xfrm>
                                          <a:prstGeom prst="rect">
                                            <a:avLst/>
                                          </a:prstGeom>
                                        </pic:spPr>
                                      </pic:pic>
                                    </a:graphicData>
                                  </a:graphic>
                                </wp:inline>
                              </w:drawing>
                            </w:r>
                            <w:bookmarkStart w:id="98" w:name="i-52"/>
                            <w:bookmarkEnd w:id="9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accommodate customer expectations and demands with respect to our products, increase product adoption by our existing customers or develop new customer relationships;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deliver our early access systems to our external early access testing sites or complete our external early access testing program on our currently expected timelines;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overcome unexpected challenges discovered during early access testing;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complete the scientific and technical validation of new products on our currently expected timeline or at all;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deliver our future products in a timely manner to our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grow our market share by marketing and selling our products for new and additional applications;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manage the significant burdens that expanding our existing or future products into current and new markets may impose on marketing, compliance, and other administrative and managerial resources;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maintain and develop strategic relationships with vendors, manufacturers, and other industry partners to acquire necessary materials for the production of, and to develop, manufacture and commercialize, our existing or future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adapt or scale our manufacturing activities to meet performance specifications and potential demand at a reasonable cost;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avoid infringement and misappropriation of third-party intellectual property;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obtain and maintain any necessary licenses to third-party intellectual property on commercially reasonable terms;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obtain valid and enforceable patents that give us a competitive advantage or enforce existing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protect our proprietary technology;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attract, retain, and motivate qualified personnel.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pStyle w:val="TextBody"/>
        <w:bidi w:val="0"/>
        <w:spacing w:lineRule="auto" w:line="288" w:before="120" w:after="283"/>
        <w:jc w:val="both"/>
        <w:rPr/>
      </w:pPr>
      <w:r>
        <w:rPr>
          <w:rFonts w:ascii="Roboto;sans-serif" w:hAnsi="Roboto;sans-serif"/>
          <w:b w:val="false"/>
          <w:color w:val="000000"/>
          <w:sz w:val="20"/>
        </w:rPr>
        <w:t>We evaluate goodwill and other intangible assets with indefinite useful lives for impairment annually and whenever events or changes in circumstances indicate that the fair value of such assets may be less than the carrying value. We also perform regular reviews to determine if any event has occurred that may indicate that the carrying values of our intangible assets with finite lives and other finite-lived assets are impaired. Events that would indicate impairment and trigger an interim impairment test include, but are not limited to, adverse changes in business or economic conditions, lower-than-expected performance of a product line or business, changes in strategic direction, unanticipated technological or competitive developments, loss of key personnel, and actions by governments or courts. The occurrence of any of these events, may require us to record future impairment charges. For example, we recorded</w:t>
      </w:r>
      <w:r>
        <w:rPr>
          <w:color w:val="000000"/>
        </w:rPr>
        <w:t xml:space="preserve"> </w:t>
      </w:r>
      <w:r>
        <w:rPr>
          <w:rFonts w:ascii="Roboto;sans-serif" w:hAnsi="Roboto;sans-serif"/>
          <w:b w:val="false"/>
          <w:color w:val="000000"/>
          <w:sz w:val="20"/>
        </w:rPr>
        <w:t xml:space="preserve">$15.0 million of impairment charges during the year ended December 31, 2025, as described in additional detail in </w:t>
      </w:r>
      <w:r>
        <w:rPr>
          <w:rFonts w:ascii="Roboto;sans-serif" w:hAnsi="Roboto;sans-serif"/>
          <w:b w:val="false"/>
          <w:i/>
          <w:color w:val="000000"/>
          <w:sz w:val="20"/>
        </w:rPr>
        <w:t>Note 4. Balance Sheet Components</w:t>
      </w:r>
      <w:r>
        <w:rPr>
          <w:color w:val="000000"/>
        </w:rPr>
        <w:t xml:space="preserve"> </w:t>
      </w:r>
      <w:r>
        <w:rPr>
          <w:rFonts w:ascii="Roboto;sans-serif" w:hAnsi="Roboto;sans-serif"/>
          <w:b w:val="false"/>
          <w:color w:val="000000"/>
          <w:sz w:val="20"/>
        </w:rPr>
        <w:t xml:space="preserve">in Part II, Item 8 of our 2025 Annual Report. Additionally, amortization of acquired intangible assets during the year ended December 31, 2025 included $359.3 million of accelerated amortization pertaining to the Company's change in estimate of its remaining useful life of the developed technology acquired in connection with the 2021 Omniome, Inc. acquisition as described in additional detail in </w:t>
      </w:r>
      <w:r>
        <w:rPr>
          <w:rFonts w:ascii="Roboto;sans-serif" w:hAnsi="Roboto;sans-serif"/>
          <w:b w:val="false"/>
          <w:i/>
          <w:color w:val="000000"/>
          <w:sz w:val="20"/>
        </w:rPr>
        <w:t>Note 6. Restructuring</w:t>
      </w:r>
      <w:r>
        <w:rPr>
          <w:color w:val="000000"/>
        </w:rPr>
        <w:t xml:space="preserve"> </w:t>
      </w:r>
      <w:r>
        <w:rPr>
          <w:rFonts w:ascii="Roboto;sans-serif" w:hAnsi="Roboto;sans-serif"/>
          <w:b w:val="false"/>
          <w:color w:val="000000"/>
          <w:sz w:val="20"/>
        </w:rPr>
        <w:t>in Part II, Item 8 of our 2025 Annual Report. Any such charges may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12520"/>
                <wp:effectExtent l="0" t="0" r="0" b="0"/>
                <wp:wrapNone/>
                <wp:docPr id="144" name="Frame4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3" descr=""/>
                                                <pic:cNvPicPr>
                                                  <a:picLocks noChangeAspect="1" noChangeArrowheads="1"/>
                                                </pic:cNvPicPr>
                                              </pic:nvPicPr>
                                              <pic:blipFill>
                                                <a:blip r:embed="rId99"/>
                                                <a:stretch>
                                                  <a:fillRect/>
                                                </a:stretch>
                                              </pic:blipFill>
                                              <pic:spPr bwMode="auto">
                                                <a:xfrm>
                                                  <a:off x="0" y="0"/>
                                                  <a:ext cx="457200" cy="95250"/>
                                                </a:xfrm>
                                                <a:prstGeom prst="rect">
                                                  <a:avLst/>
                                                </a:prstGeom>
                                              </pic:spPr>
                                            </pic:pic>
                                          </a:graphicData>
                                        </a:graphic>
                                      </wp:inline>
                                    </w:drawing>
                                  </w:r>
                                  <w:bookmarkStart w:id="99" w:name="i-53"/>
                                  <w:bookmarkEnd w:id="9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3" descr=""/>
                                          <pic:cNvPicPr>
                                            <a:picLocks noChangeAspect="1" noChangeArrowheads="1"/>
                                          </pic:cNvPicPr>
                                        </pic:nvPicPr>
                                        <pic:blipFill>
                                          <a:blip r:embed="rId100"/>
                                          <a:stretch>
                                            <a:fillRect/>
                                          </a:stretch>
                                        </pic:blipFill>
                                        <pic:spPr bwMode="auto">
                                          <a:xfrm>
                                            <a:off x="0" y="0"/>
                                            <a:ext cx="457200" cy="95250"/>
                                          </a:xfrm>
                                          <a:prstGeom prst="rect">
                                            <a:avLst/>
                                          </a:prstGeom>
                                        </pic:spPr>
                                      </pic:pic>
                                    </a:graphicData>
                                  </a:graphic>
                                </wp:inline>
                              </w:drawing>
                            </w:r>
                            <w:bookmarkStart w:id="100" w:name="i-53"/>
                            <w:bookmarkEnd w:id="10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incurred losses to date, and we expect to continue to incur significant losses as we develop our business and we may never achieve profitability.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 Although we initiated expense reduction plans during the second quarter of 2024 and the first quarter of 2025 and additional reductions in July of 2026, we do not expect to be profitable for the remainder of 2026, and there can be no assurance that these expense reduction initiatives will be successful in helping us achieve profitability.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net losses since inception and our expectation of incurring substantial losses and negative cash flow for the foreseeable future could: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make it more difficult for us to satisfy our obligations;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 our vulnerability to general adverse economic and industry conditions;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ability to fund future working capital, capital expenditures, research and development and other business opportunities;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 the volatility of the price of our common stock;</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flexibility to react to changes in our business and the industry in which we operate;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place us at a disadvantage to other companies that offer nucleic acid sequencing equipment or consumables;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limit our ability to borrow additional funds.</w:t>
      </w:r>
    </w:p>
    <w:p>
      <w:pPr>
        <w:pStyle w:val="TextBody"/>
        <w:bidi w:val="0"/>
        <w:spacing w:lineRule="auto" w:line="288" w:before="120" w:after="283"/>
        <w:jc w:val="both"/>
        <w:rPr/>
      </w:pPr>
      <w:r>
        <w:rPr>
          <w:rFonts w:ascii="Roboto;sans-serif" w:hAnsi="Roboto;sans-serif"/>
          <w:b w:val="false"/>
          <w:color w:val="000000"/>
          <w:sz w:val="20"/>
        </w:rPr>
        <w:t xml:space="preserve">In addition, inflationary pressure, including as a result of supply shortages, has adversely impacted and could continue to adversely impact our financial results, and our operating costs may increase. For example, we have experienced and expect to continue to experience inflationary pressure with respect to certain components of certain of our products, including with respect to semiconductor materials, such as memory chips, due in part to accelerated demand associated with data processing and storage applications, for the foreseeable future. We may not fully offset these cost increases by raising prices for our products and services, which could result in downward pressure on our margins. Further, our customers may choose to reduce their business with us if we increase our pricing. Any or all of the foregoing may have a material adverse effect on our business, operations, financial condition, and prospects. </w:t>
      </w:r>
      <w:r>
        <w:rPr>
          <w:rFonts w:ascii="Roboto;sans-serif" w:hAnsi="Roboto;sans-serif"/>
          <w:b w:val="false"/>
          <w:color w:val="000000"/>
          <w:sz w:val="20"/>
          <w:shd w:fill="FFFFFF" w:val="clear"/>
        </w:rPr>
        <w:t xml:space="preserve">An impairment in value of our tangible or intangible assets could also be recorded as a result of weaker economic conditions. </w:t>
      </w:r>
      <w:r>
        <w:rPr>
          <w:rFonts w:ascii="Roboto;sans-serif" w:hAnsi="Roboto;sans-serif"/>
          <w:b w:val="false"/>
          <w:color w:val="000000"/>
          <w:sz w:val="20"/>
        </w:rPr>
        <w:t>For more information on impairment considerations, see “</w:t>
      </w:r>
      <w:r>
        <w:rPr>
          <w:color w:val="000000"/>
        </w:rPr>
        <w:t>—</w:t>
      </w:r>
      <w:hyperlink w:anchor="i29333b647e3941e3b564cb5ee85e3f87_198501">
        <w:r>
          <w:rPr>
            <w:rStyle w:val="InternetLink"/>
            <w:rFonts w:ascii="Roboto;sans-serif" w:hAnsi="Roboto;sans-serif"/>
            <w:b w:val="false"/>
            <w:i/>
            <w:color w:val="0000FF"/>
            <w:sz w:val="20"/>
            <w:u w:val="single"/>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hyperlink>
      <w:r>
        <w:rPr>
          <w:color w:val="000000"/>
        </w:rPr>
        <w:t xml:space="preserve">” </w:t>
      </w:r>
      <w:r>
        <w:rPr>
          <w:rFonts w:ascii="Roboto;sans-serif" w:hAnsi="Roboto;sans-serif"/>
          <w:b w:val="false"/>
          <w:color w:val="000000"/>
          <w:sz w:val="20"/>
        </w:rPr>
        <w:t>above.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Expense reduction initiatives could be disruptive to our operations and adversely affect our results of operations and financial condition, and we may not realize some or all of the anticipated benefits of these initiatives, whether in the time frame anticipated or at all.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During the third quarter of 2026, we announced plans to reduce certain of our annualized run-rate operating expenses by the end of the year, with the intent of better aligning our organizational structure and resources with our strategic initiatives. Our expense reduction initiatives comprise, among other things, workforce reductions and a refined pipeline of development activities. Additionally, for example, during the second quarter of 2024 we initiated plans to reduce certain of our annualized run-rate operating expenses by the end of the year, with the intent of better aligning our organizational structure and resources with our strategic initiatives, and during the first quarter of 2025 we initiated further plans to reduce certain of our annualized run-rate operating expenses by the end of the year, given persistent uncertainty surrounding academic and NIH funding, along with the introduction and impact of new or changing tariffs. The implementation of these expense reduction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12520"/>
                <wp:effectExtent l="0" t="0" r="0" b="0"/>
                <wp:wrapNone/>
                <wp:docPr id="147" name="Frame4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4" descr=""/>
                                                <pic:cNvPicPr>
                                                  <a:picLocks noChangeAspect="1" noChangeArrowheads="1"/>
                                                </pic:cNvPicPr>
                                              </pic:nvPicPr>
                                              <pic:blipFill>
                                                <a:blip r:embed="rId101"/>
                                                <a:stretch>
                                                  <a:fillRect/>
                                                </a:stretch>
                                              </pic:blipFill>
                                              <pic:spPr bwMode="auto">
                                                <a:xfrm>
                                                  <a:off x="0" y="0"/>
                                                  <a:ext cx="457200" cy="95250"/>
                                                </a:xfrm>
                                                <a:prstGeom prst="rect">
                                                  <a:avLst/>
                                                </a:prstGeom>
                                              </pic:spPr>
                                            </pic:pic>
                                          </a:graphicData>
                                        </a:graphic>
                                      </wp:inline>
                                    </w:drawing>
                                  </w:r>
                                  <w:bookmarkStart w:id="101" w:name="i-54"/>
                                  <w:bookmarkEnd w:id="10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4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4" descr=""/>
                                          <pic:cNvPicPr>
                                            <a:picLocks noChangeAspect="1" noChangeArrowheads="1"/>
                                          </pic:cNvPicPr>
                                        </pic:nvPicPr>
                                        <pic:blipFill>
                                          <a:blip r:embed="rId102"/>
                                          <a:stretch>
                                            <a:fillRect/>
                                          </a:stretch>
                                        </pic:blipFill>
                                        <pic:spPr bwMode="auto">
                                          <a:xfrm>
                                            <a:off x="0" y="0"/>
                                            <a:ext cx="457200" cy="95250"/>
                                          </a:xfrm>
                                          <a:prstGeom prst="rect">
                                            <a:avLst/>
                                          </a:prstGeom>
                                        </pic:spPr>
                                      </pic:pic>
                                    </a:graphicData>
                                  </a:graphic>
                                </wp:inline>
                              </w:drawing>
                            </w:r>
                            <w:bookmarkStart w:id="102" w:name="i-54"/>
                            <w:bookmarkEnd w:id="10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reduction initiatives and achieve the anticipated benefits within the expected time frame is subject to estimates and assumptions and may vary materially from our expectations, including as a result of factors that are beyond our control. Furthermore, our efforts to stabilize our business may not be successful.</w:t>
      </w:r>
    </w:p>
    <w:p>
      <w:pPr>
        <w:pStyle w:val="TextBody"/>
        <w:bidi w:val="0"/>
        <w:spacing w:lineRule="auto" w:line="288" w:before="180" w:after="283"/>
        <w:jc w:val="both"/>
        <w:rPr>
          <w:rFonts w:ascii="Roboto;sans-serif" w:hAnsi="Roboto;sans-serif"/>
          <w:b/>
          <w:i/>
          <w:color w:val="DF1995"/>
          <w:sz w:val="20"/>
        </w:rPr>
      </w:pPr>
      <w:bookmarkStart w:id="103" w:name="i29333b647e3941e3b564cb5ee85e3f87_198497"/>
      <w:bookmarkEnd w:id="103"/>
      <w:r>
        <w:rPr>
          <w:rFonts w:ascii="Roboto;sans-serif" w:hAnsi="Roboto;sans-serif"/>
          <w:b/>
          <w:i/>
          <w:color w:val="DF1995"/>
          <w:sz w:val="20"/>
        </w:rPr>
        <w:t>We are not cash flow positive and may not have sufficient cash to make required payments under the terms of our debt or fund our long-term planned operations.</w:t>
      </w:r>
    </w:p>
    <w:p>
      <w:pPr>
        <w:pStyle w:val="TextBody"/>
        <w:bidi w:val="0"/>
        <w:spacing w:lineRule="auto" w:line="288" w:before="120" w:after="283"/>
        <w:jc w:val="both"/>
        <w:rPr/>
      </w:pPr>
      <w:r>
        <w:rPr>
          <w:rFonts w:ascii="Roboto;sans-serif" w:hAnsi="Roboto;sans-serif"/>
          <w:b w:val="false"/>
          <w:color w:val="000000"/>
          <w:sz w:val="20"/>
        </w:rPr>
        <w:t xml:space="preserve">Our operations have consumed substantial amounts of cash since inception, and we expect to continue to incur substantial losses and negative cash flow from operations for the foreseeable future. Additional funds may not be available on terms acceptable to us or at all, particularly in light of our outstanding notes and lack of positive cash flow from operations. We have incurred significant debt, and we may incur additional debt in the future. As of June 30, 2026, we had outstanding approximately $200.0 million aggregate principal amount of our 1.50% Convertible Senior Notes due 2029 (the “2029 Notes”) and $441.0 million aggregate principal amount of our 1.375% Convertible Senior Notes due 2030 (the “2030 Notes” and together with the 2029 Notes, the “Notes”). As discussed in </w:t>
      </w:r>
      <w:hyperlink w:anchor="i94297dc2d97e4e34aed4a2bdfd28cba8_40">
        <w:r>
          <w:rPr>
            <w:rStyle w:val="InternetLink"/>
            <w:rFonts w:ascii="Roboto;sans-serif" w:hAnsi="Roboto;sans-serif"/>
            <w:b w:val="false"/>
            <w:i/>
            <w:color w:val="0000FF"/>
            <w:sz w:val="20"/>
            <w:u w:val="single"/>
          </w:rPr>
          <w:t>Note 4. Convertible Senior Notes</w:t>
        </w:r>
      </w:hyperlink>
      <w:r>
        <w:rPr>
          <w:color w:val="0000FF"/>
        </w:rPr>
        <w:t xml:space="preserve"> </w:t>
      </w:r>
      <w:r>
        <w:rPr>
          <w:rFonts w:ascii="Roboto;sans-serif" w:hAnsi="Roboto;sans-serif"/>
          <w:b w:val="false"/>
          <w:color w:val="000000"/>
          <w:sz w:val="20"/>
        </w:rPr>
        <w:t>in Part I, Item 1 of this Quarterly Report on Form 10-Q, we exchanged the remaining approximately $459.0 million in aggregate principal amount of our 1.50% Convertible Senior Notes due 2028 (the “2028 Notes”) for (i) $200.0 million aggregate principal amount of the 2029 Notes, (ii) 20,451,570 shares of common stock and (iii) $50.0 million of cash (the “2024 Exchange Transaction”). The 2024 Exchange Transaction closed on November 21, 2024. We may not have sufficient cash to make required payments under the terms of this debt, and should this occur, debt holders have rights senior to common stockholders to make claims on our assets. In addition, if we do not have sufficient cash to make the required payments at maturity, we may need to raise additional capital, which could result in dilution of our existing investors, or refinance or restructure our debt, which will depend on, among other things, the condition of the capital markets and our financial condition at such time, and which may be at higher interest rates.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We may be required to seek equity financing at a time when the market price for our common stock is low, which would further dilute ownership for existing common stockholders.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believe that our growth will depend, in part, on our ability to fund our commercialization efforts and our efforts to develop new products and improve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and there can be no assurance that any of these actions would be successful. If our cash, cash equivalents and investments are insufficient to fund our projected operating requirements and we are unable to raise capital, it could have a material adverse effect on our business, financial condition and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disposition of our assets related to our short-read DNA sequencing technology and related clustering, sequencing reagent, and detection technologies could have a material adverse effect on our business,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On January 30, 2026, we completed a disposition of assets to Buyer in accordance with the terms of the Asset Purchase Agreement, pursuant to which, among other matters, Buyer acquired certain intellectual property and other assets related to our short-read DNA sequencing technology and related clustering, sequencing reagent, and detection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12520"/>
                <wp:effectExtent l="0" t="0" r="0" b="0"/>
                <wp:wrapNone/>
                <wp:docPr id="150" name="Frame4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5" descr=""/>
                                                <pic:cNvPicPr>
                                                  <a:picLocks noChangeAspect="1" noChangeArrowheads="1"/>
                                                </pic:cNvPicPr>
                                              </pic:nvPicPr>
                                              <pic:blipFill>
                                                <a:blip r:embed="rId103"/>
                                                <a:stretch>
                                                  <a:fillRect/>
                                                </a:stretch>
                                              </pic:blipFill>
                                              <pic:spPr bwMode="auto">
                                                <a:xfrm>
                                                  <a:off x="0" y="0"/>
                                                  <a:ext cx="457200" cy="95250"/>
                                                </a:xfrm>
                                                <a:prstGeom prst="rect">
                                                  <a:avLst/>
                                                </a:prstGeom>
                                              </pic:spPr>
                                            </pic:pic>
                                          </a:graphicData>
                                        </a:graphic>
                                      </wp:inline>
                                    </w:drawing>
                                  </w:r>
                                  <w:bookmarkStart w:id="104" w:name="i-55"/>
                                  <w:bookmarkEnd w:id="10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5" descr=""/>
                                          <pic:cNvPicPr>
                                            <a:picLocks noChangeAspect="1" noChangeArrowheads="1"/>
                                          </pic:cNvPicPr>
                                        </pic:nvPicPr>
                                        <pic:blipFill>
                                          <a:blip r:embed="rId104"/>
                                          <a:stretch>
                                            <a:fillRect/>
                                          </a:stretch>
                                        </pic:blipFill>
                                        <pic:spPr bwMode="auto">
                                          <a:xfrm>
                                            <a:off x="0" y="0"/>
                                            <a:ext cx="457200" cy="95250"/>
                                          </a:xfrm>
                                          <a:prstGeom prst="rect">
                                            <a:avLst/>
                                          </a:prstGeom>
                                        </pic:spPr>
                                      </pic:pic>
                                    </a:graphicData>
                                  </a:graphic>
                                </wp:inline>
                              </w:drawing>
                            </w:r>
                            <w:bookmarkStart w:id="105" w:name="i-55"/>
                            <w:bookmarkEnd w:id="10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the Asset Purchase Agreement, we have retained certain liabilities arising from our short-read DNA sequencing technology and related clustering, sequencing reagent, and detection technologies as they existed prior to the closing of the Asset Sale. While we are not aware of any such liabilities that may be material and have adequately accrued for these liabilities, there can be no assurances that additional expenditures will not be incurred in resolving these liabilities, which may have a material adverse effect on our business, operations,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part of our business strategy, we have acquired and expect to continue to pursue acquisitions of complementary businesses, technologies, or assets. We may also pursue technology license arrangements, strategic alliances or investments that complement our business.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Acquisitions and strategic transactions involve numerous risks, any of which could harm our business and negatively affect our financial condition and results of operations,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intense competition for suitable acquisition targets, which could increase prices and adversely affect our ability to consummate deals on favorable or acceptable terms;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or material delay in closing a transaction;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transaction-related lawsuits or claims;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integrating the technologies, operations, existing contracts, and personnel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retaining key employees or business partners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retaining suppliers, partners, or customers of an acquired company;</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challenges with integrating the brand identity of an acquired company with our own;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diversion of financial and management resources from existing operations or alternative acquisition opportunities;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to realize the anticipated benefits or synergies of a transaction;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developing technology post-acquisition;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risks that regulatory bodies may enact new laws or promulgate new regulations that are adverse to an acquired company or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risks that regulatory bodies do not approve our acquisitions or business combinations or delay such approvals;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theft of our trade secrets or confidential information that we share with potential acquisition candidates or other potential strategic partners;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risk that an acquired company or investment in new services cannibalizes a portion of our existing business;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adverse market reaction to an acquisition or other strategic transaction.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If we fail to address the foregoing risks or other problems encountered in connection with past or future acquisitions of businesses, new technologies, services, and other assets and strategic investments, or if we fail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12520"/>
                <wp:effectExtent l="0" t="0" r="0" b="0"/>
                <wp:wrapNone/>
                <wp:docPr id="153" name="Frame5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6" descr=""/>
                                                <pic:cNvPicPr>
                                                  <a:picLocks noChangeAspect="1" noChangeArrowheads="1"/>
                                                </pic:cNvPicPr>
                                              </pic:nvPicPr>
                                              <pic:blipFill>
                                                <a:blip r:embed="rId105"/>
                                                <a:stretch>
                                                  <a:fillRect/>
                                                </a:stretch>
                                              </pic:blipFill>
                                              <pic:spPr bwMode="auto">
                                                <a:xfrm>
                                                  <a:off x="0" y="0"/>
                                                  <a:ext cx="457200" cy="95250"/>
                                                </a:xfrm>
                                                <a:prstGeom prst="rect">
                                                  <a:avLst/>
                                                </a:prstGeom>
                                              </pic:spPr>
                                            </pic:pic>
                                          </a:graphicData>
                                        </a:graphic>
                                      </wp:inline>
                                    </w:drawing>
                                  </w:r>
                                  <w:bookmarkStart w:id="106" w:name="i-56"/>
                                  <w:bookmarkEnd w:id="10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6" descr=""/>
                                          <pic:cNvPicPr>
                                            <a:picLocks noChangeAspect="1" noChangeArrowheads="1"/>
                                          </pic:cNvPicPr>
                                        </pic:nvPicPr>
                                        <pic:blipFill>
                                          <a:blip r:embed="rId106"/>
                                          <a:stretch>
                                            <a:fillRect/>
                                          </a:stretch>
                                        </pic:blipFill>
                                        <pic:spPr bwMode="auto">
                                          <a:xfrm>
                                            <a:off x="0" y="0"/>
                                            <a:ext cx="457200" cy="95250"/>
                                          </a:xfrm>
                                          <a:prstGeom prst="rect">
                                            <a:avLst/>
                                          </a:prstGeom>
                                        </pic:spPr>
                                      </pic:pic>
                                    </a:graphicData>
                                  </a:graphic>
                                </wp:inline>
                              </w:drawing>
                            </w:r>
                            <w:bookmarkStart w:id="107" w:name="i-56"/>
                            <w:bookmarkEnd w:id="10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successfully integrate such acquisitions or investments, our business, financial condition, and results of operations could be adversely affected, including potential impairments of goodwill and intangible assets.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we are unable to successfully develop and timely manufacture our current and future products, our business may be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Considering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Revio and Vega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Revio and Vega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The performance of our consumables is critical to our customers’ successful utilization of our products, and any defects or performance issues with our consumables would adversely affect our business. All of the foregoing could have a material adverse effect on our ability to sell our products or result in other material adverse effects on our business, operations, financial condition, and prospects.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continued rollout of our current and future products, including with respect to the SMRT Cell, the Revio and Vega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and the Revio and Vega systems could materially and adversely affect our business,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12520"/>
                <wp:effectExtent l="0" t="0" r="0" b="0"/>
                <wp:wrapNone/>
                <wp:docPr id="156" name="Frame5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7" descr=""/>
                                                <pic:cNvPicPr>
                                                  <a:picLocks noChangeAspect="1" noChangeArrowheads="1"/>
                                                </pic:cNvPicPr>
                                              </pic:nvPicPr>
                                              <pic:blipFill>
                                                <a:blip r:embed="rId107"/>
                                                <a:stretch>
                                                  <a:fillRect/>
                                                </a:stretch>
                                              </pic:blipFill>
                                              <pic:spPr bwMode="auto">
                                                <a:xfrm>
                                                  <a:off x="0" y="0"/>
                                                  <a:ext cx="457200" cy="95250"/>
                                                </a:xfrm>
                                                <a:prstGeom prst="rect">
                                                  <a:avLst/>
                                                </a:prstGeom>
                                              </pic:spPr>
                                            </pic:pic>
                                          </a:graphicData>
                                        </a:graphic>
                                      </wp:inline>
                                    </w:drawing>
                                  </w:r>
                                  <w:bookmarkStart w:id="108" w:name="i-57"/>
                                  <w:bookmarkEnd w:id="10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7" descr=""/>
                                          <pic:cNvPicPr>
                                            <a:picLocks noChangeAspect="1" noChangeArrowheads="1"/>
                                          </pic:cNvPicPr>
                                        </pic:nvPicPr>
                                        <pic:blipFill>
                                          <a:blip r:embed="rId108"/>
                                          <a:stretch>
                                            <a:fillRect/>
                                          </a:stretch>
                                        </pic:blipFill>
                                        <pic:spPr bwMode="auto">
                                          <a:xfrm>
                                            <a:off x="0" y="0"/>
                                            <a:ext cx="457200" cy="95250"/>
                                          </a:xfrm>
                                          <a:prstGeom prst="rect">
                                            <a:avLst/>
                                          </a:prstGeom>
                                        </pic:spPr>
                                      </pic:pic>
                                    </a:graphicData>
                                  </a:graphic>
                                </wp:inline>
                              </w:drawing>
                            </w:r>
                            <w:bookmarkStart w:id="109" w:name="i-57"/>
                            <w:bookmarkEnd w:id="10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dedicated significant resources to developing our current products. We are also engaged in substantial and complex research and development efforts, which, if successful, may result in the introduction of new products in the future, including in connection with the SMRT Cell and the Revio and Vega systems,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must successfully manage new product introductions and transitions and the development of acquired technologies, for which we may incur significant costs during these transitions and development, and these efforts may not result in the benefits we anticipate.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successfully demonstrate the differentiated value of long-read sequencing relative to short-read sequencing, and execute on the commercialization plan for our Revio HiFi long-read sequencing system and the Vega benchtop long-read sequencing system, and each of their related consumables,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products, and related consumables, has led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announcement of SPRQ-Nx and commercialization of our Vega system,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Revio and Vega systems and each of their related consumables, and any future long-read products, our business, operations, financial condition, and prospects may be materially and adversely affected.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business may be adversely affected by epidemics or other public health emergencies.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business could be adversely impacted by the effects of epidemics or other public health emergencies. These impacts could include, but are not necessarily limited to:</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shutdowns or business disruptions experienced by manufacturers, suppliers and other third parties with whom we conduct business;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disruptions or interruptions to our supply chains;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applicable public health regulations that require us to modify our business practices and operations;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12520"/>
                <wp:effectExtent l="0" t="0" r="0" b="0"/>
                <wp:wrapNone/>
                <wp:docPr id="159" name="Frame5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8" descr=""/>
                                                <pic:cNvPicPr>
                                                  <a:picLocks noChangeAspect="1" noChangeArrowheads="1"/>
                                                </pic:cNvPicPr>
                                              </pic:nvPicPr>
                                              <pic:blipFill>
                                                <a:blip r:embed="rId109"/>
                                                <a:stretch>
                                                  <a:fillRect/>
                                                </a:stretch>
                                              </pic:blipFill>
                                              <pic:spPr bwMode="auto">
                                                <a:xfrm>
                                                  <a:off x="0" y="0"/>
                                                  <a:ext cx="457200" cy="95250"/>
                                                </a:xfrm>
                                                <a:prstGeom prst="rect">
                                                  <a:avLst/>
                                                </a:prstGeom>
                                              </pic:spPr>
                                            </pic:pic>
                                          </a:graphicData>
                                        </a:graphic>
                                      </wp:inline>
                                    </w:drawing>
                                  </w:r>
                                  <w:bookmarkStart w:id="110" w:name="i-58"/>
                                  <w:bookmarkEnd w:id="11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8" descr=""/>
                                          <pic:cNvPicPr>
                                            <a:picLocks noChangeAspect="1" noChangeArrowheads="1"/>
                                          </pic:cNvPicPr>
                                        </pic:nvPicPr>
                                        <pic:blipFill>
                                          <a:blip r:embed="rId110"/>
                                          <a:stretch>
                                            <a:fillRect/>
                                          </a:stretch>
                                        </pic:blipFill>
                                        <pic:spPr bwMode="auto">
                                          <a:xfrm>
                                            <a:off x="0" y="0"/>
                                            <a:ext cx="457200" cy="95250"/>
                                          </a:xfrm>
                                          <a:prstGeom prst="rect">
                                            <a:avLst/>
                                          </a:prstGeom>
                                        </pic:spPr>
                                      </pic:pic>
                                    </a:graphicData>
                                  </a:graphic>
                                </wp:inline>
                              </w:drawing>
                            </w:r>
                            <w:bookmarkStart w:id="111" w:name="i-58"/>
                            <w:bookmarkEnd w:id="11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 to customer demand for our products.</w:t>
      </w:r>
    </w:p>
    <w:p>
      <w:pPr>
        <w:pStyle w:val="TextBody"/>
        <w:bidi w:val="0"/>
        <w:spacing w:lineRule="auto" w:line="288" w:before="120" w:after="283"/>
        <w:jc w:val="both"/>
        <w:rPr/>
      </w:pPr>
      <w:r>
        <w:rPr>
          <w:rFonts w:ascii="Roboto;sans-serif" w:hAnsi="Roboto;sans-serif"/>
          <w:b w:val="false"/>
          <w:color w:val="000000"/>
          <w:sz w:val="20"/>
          <w:shd w:fill="FFFFFF" w:val="clear"/>
        </w:rPr>
        <w:t xml:space="preserve">The extent to which any epidemic or other public health emergency impacts our business and financial results inherently depends on future developments, which are highly uncertain and cannot be predicted, including new information which may emerge concerning the severity of a particular public health matter and the actions to contain it or treat its impact, among others. Even after an epidemic or public health emergency has subsided, </w:t>
      </w:r>
      <w:r>
        <w:rPr>
          <w:rFonts w:ascii="Roboto;sans-serif" w:hAnsi="Roboto;sans-serif"/>
          <w:b w:val="false"/>
          <w:color w:val="000000"/>
          <w:sz w:val="20"/>
        </w:rPr>
        <w:t>we may continue to experience an adverse impact to our business as a result of economic aftershocks, including recessionary effects and inflationary pressures.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Significant changes to our leadership team and the resulting management transitions might harm our future operating results.</w:t>
      </w:r>
    </w:p>
    <w:p>
      <w:pPr>
        <w:pStyle w:val="TextBody"/>
        <w:bidi w:val="0"/>
        <w:spacing w:lineRule="auto" w:line="288" w:before="120" w:after="283"/>
        <w:jc w:val="both"/>
        <w:rPr/>
      </w:pPr>
      <w:r>
        <w:rPr>
          <w:rFonts w:ascii="Roboto;sans-serif" w:hAnsi="Roboto;sans-serif"/>
          <w:b w:val="false"/>
          <w:color w:val="000000"/>
          <w:sz w:val="20"/>
        </w:rPr>
        <w:t>We have in recent years experienced significant chan</w:t>
      </w:r>
      <w:r>
        <w:rPr>
          <w:rFonts w:ascii="Roboto;sans-serif" w:hAnsi="Roboto;sans-serif"/>
          <w:b w:val="false"/>
          <w:color w:val="000000"/>
          <w:sz w:val="20"/>
          <w:shd w:fill="FFFFFF" w:val="clear"/>
        </w:rPr>
        <w:t>ges to our leadership team. On July 30, 2026, our Board of Directors appointed Mark Van Oene as our President and Chief Executive Officer and as a member of our Board of Directors, effective August 5, 2026. Mr. Van Oene succeeds Christian Henry, who stepped down as our President and Chief Executive Officer, effective August 5, 2026. Mr. Henry will continue to serve on our Board of Directors.</w:t>
      </w:r>
    </w:p>
    <w:p>
      <w:pPr>
        <w:pStyle w:val="TextBody"/>
        <w:bidi w:val="0"/>
        <w:spacing w:lineRule="auto" w:line="288" w:before="120" w:after="283"/>
        <w:jc w:val="both"/>
        <w:rPr/>
      </w:pPr>
      <w:r>
        <w:rPr>
          <w:rFonts w:ascii="Roboto;sans-serif" w:hAnsi="Roboto;sans-serif"/>
          <w:b w:val="false"/>
          <w:color w:val="000000"/>
          <w:sz w:val="20"/>
          <w:shd w:fill="FFFFFF" w:val="clear"/>
        </w:rPr>
        <w:t>Although we believe these leadership transitions are in t</w:t>
      </w:r>
      <w:r>
        <w:rPr>
          <w:rFonts w:ascii="Roboto;sans-serif" w:hAnsi="Roboto;sans-serif"/>
          <w:b w:val="false"/>
          <w:color w:val="000000"/>
          <w:sz w:val="20"/>
        </w:rPr>
        <w:t xml:space="preserve">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w:t>
      </w:r>
      <w:r>
        <w:rPr>
          <w:rFonts w:ascii="Roboto;sans-serif" w:hAnsi="Roboto;sans-serif"/>
          <w:b w:val="false"/>
          <w:color w:val="000000"/>
          <w:sz w:val="20"/>
          <w:shd w:fill="FFFFFF" w:val="clear"/>
        </w:rPr>
        <w:t>transition</w:t>
      </w:r>
      <w:r>
        <w:rPr>
          <w:color w:val="000000"/>
        </w:rPr>
        <w:t xml:space="preserve"> </w:t>
      </w:r>
      <w:r>
        <w:rPr>
          <w:rFonts w:ascii="Roboto;sans-serif" w:hAnsi="Roboto;sans-serif"/>
          <w:b w:val="false"/>
          <w:color w:val="000000"/>
          <w:sz w:val="20"/>
        </w:rPr>
        <w:t>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may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from time to time. Our industry is characterized by high demand and intense competition for talent, and the turnover rate has been and may continue to be high. Our employees can leave our company with little to no prior notice and would be free to work for a competitor. We compete for qualified management and scientific personnel with other life science companies, academic institutions and research institutions, particularly those focusing on genomics. We also compete for qualified sales personnel to support the commercialization of our existing and new products. Workforce reductions, such as the workforce reduction we implemented during the third quarter of 2026 and the workforce reductions we implemented in 2024 and 2025, and other expense reduction efforts may be negatively received by potential or current employees, and accordingly result in attrition or difficulty in recruiting desirable candidates. Additionally, we may face challenges in retaining and recruiting key personnel due to sustained declines in our stock price that could reduce the retentive value of stock options, restricted stock units and other equity awards we issue as compensation. We may not be able to provide adequate cash or other incentives to adequately counterbalance any negative perceptions about the value of our equity awards. Moreover, the value of any equity awards that we do grant to our personnel may be significantly affected by movements in our stock price that are beyond our control.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12520"/>
                <wp:effectExtent l="0" t="0" r="0" b="0"/>
                <wp:wrapNone/>
                <wp:docPr id="162" name="Frame5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9" descr=""/>
                                                <pic:cNvPicPr>
                                                  <a:picLocks noChangeAspect="1" noChangeArrowheads="1"/>
                                                </pic:cNvPicPr>
                                              </pic:nvPicPr>
                                              <pic:blipFill>
                                                <a:blip r:embed="rId111"/>
                                                <a:stretch>
                                                  <a:fillRect/>
                                                </a:stretch>
                                              </pic:blipFill>
                                              <pic:spPr bwMode="auto">
                                                <a:xfrm>
                                                  <a:off x="0" y="0"/>
                                                  <a:ext cx="457200" cy="95250"/>
                                                </a:xfrm>
                                                <a:prstGeom prst="rect">
                                                  <a:avLst/>
                                                </a:prstGeom>
                                              </pic:spPr>
                                            </pic:pic>
                                          </a:graphicData>
                                        </a:graphic>
                                      </wp:inline>
                                    </w:drawing>
                                  </w:r>
                                  <w:bookmarkStart w:id="112" w:name="i-59"/>
                                  <w:bookmarkEnd w:id="11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9" descr=""/>
                                          <pic:cNvPicPr>
                                            <a:picLocks noChangeAspect="1" noChangeArrowheads="1"/>
                                          </pic:cNvPicPr>
                                        </pic:nvPicPr>
                                        <pic:blipFill>
                                          <a:blip r:embed="rId112"/>
                                          <a:stretch>
                                            <a:fillRect/>
                                          </a:stretch>
                                        </pic:blipFill>
                                        <pic:spPr bwMode="auto">
                                          <a:xfrm>
                                            <a:off x="0" y="0"/>
                                            <a:ext cx="457200" cy="95250"/>
                                          </a:xfrm>
                                          <a:prstGeom prst="rect">
                                            <a:avLst/>
                                          </a:prstGeom>
                                        </pic:spPr>
                                      </pic:pic>
                                    </a:graphicData>
                                  </a:graphic>
                                </wp:inline>
                              </w:drawing>
                            </w:r>
                            <w:bookmarkStart w:id="113" w:name="i-59"/>
                            <w:bookmarkEnd w:id="11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 changes to U.S. immigration policies, such as the implementation of more restrictive interpretations by the U.S. Citizenship and Immigration Services of regulatory requirements for H-1B and other visa programs, could restrain the flow of technical and professional talent into the U.S. and may inhibit our ability to hire and increase the cost of qualified personnel. If some of our employees’ temporary work permits expire and are not renewed, we may face increased turnover rates and labor shortages, which could result in higher labor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our products may not grow sufficiently to cover our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business currently depends on a limited number of products and there can be no assurance that we will be successful in adding new products or securing additional customers for our current and future products.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If the demand for our products grows slower than anticipated, if we are unable to successfully scale or otherwise ensure sufficient manufacturing capacity for new products to meet demand, if we are not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12520"/>
                <wp:effectExtent l="0" t="0" r="0" b="0"/>
                <wp:wrapNone/>
                <wp:docPr id="165" name="Frame5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0" descr=""/>
                                                <pic:cNvPicPr>
                                                  <a:picLocks noChangeAspect="1" noChangeArrowheads="1"/>
                                                </pic:cNvPicPr>
                                              </pic:nvPicPr>
                                              <pic:blipFill>
                                                <a:blip r:embed="rId113"/>
                                                <a:stretch>
                                                  <a:fillRect/>
                                                </a:stretch>
                                              </pic:blipFill>
                                              <pic:spPr bwMode="auto">
                                                <a:xfrm>
                                                  <a:off x="0" y="0"/>
                                                  <a:ext cx="457200" cy="95250"/>
                                                </a:xfrm>
                                                <a:prstGeom prst="rect">
                                                  <a:avLst/>
                                                </a:prstGeom>
                                              </pic:spPr>
                                            </pic:pic>
                                          </a:graphicData>
                                        </a:graphic>
                                      </wp:inline>
                                    </w:drawing>
                                  </w:r>
                                  <w:bookmarkStart w:id="114" w:name="i-60"/>
                                  <w:bookmarkEnd w:id="11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0" descr=""/>
                                          <pic:cNvPicPr>
                                            <a:picLocks noChangeAspect="1" noChangeArrowheads="1"/>
                                          </pic:cNvPicPr>
                                        </pic:nvPicPr>
                                        <pic:blipFill>
                                          <a:blip r:embed="rId114"/>
                                          <a:stretch>
                                            <a:fillRect/>
                                          </a:stretch>
                                        </pic:blipFill>
                                        <pic:spPr bwMode="auto">
                                          <a:xfrm>
                                            <a:off x="0" y="0"/>
                                            <a:ext cx="457200" cy="95250"/>
                                          </a:xfrm>
                                          <a:prstGeom prst="rect">
                                            <a:avLst/>
                                          </a:prstGeom>
                                        </pic:spPr>
                                      </pic:pic>
                                    </a:graphicData>
                                  </a:graphic>
                                </wp:inline>
                              </w:drawing>
                            </w:r>
                            <w:bookmarkStart w:id="115" w:name="i-60"/>
                            <w:bookmarkEnd w:id="11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our gross margins and operating results may decline, our cash flows and liquidity may be negatively impacted, our long-term growth strategy may not be realized, and our business may not succeed. </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rely on other companies for the manufacture of certain of our products,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products and critical components from a single source, including suppliers for our SMRT Cells, reagents, and instruments. We cannot assure you that products or product supplies will not be limited or interrupted, especially with respect to our sole source third-party manufacturing and supply collaborators, or that products or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manufacturers and vendors in the event they cease to provide their products or services to us or fail to provide sufficient quantities in a timely manner. If we are required to purchase these products or components from alternative sources, it could take several months or longer to qualify the alternative sources. If we are unable to source these products or product components from sole-source third-party manufacturing and supply collaborators for any reason, including acts of terrorism, hostilities, military conflict and acts of war, including between China and Taiwan, or secure a sufficient supply of these products or product components on a timely basis and at an acceptable cost, or if these products or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12520"/>
                <wp:effectExtent l="0" t="0" r="0" b="0"/>
                <wp:wrapNone/>
                <wp:docPr id="168" name="Frame5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1" descr=""/>
                                                <pic:cNvPicPr>
                                                  <a:picLocks noChangeAspect="1" noChangeArrowheads="1"/>
                                                </pic:cNvPicPr>
                                              </pic:nvPicPr>
                                              <pic:blipFill>
                                                <a:blip r:embed="rId115"/>
                                                <a:stretch>
                                                  <a:fillRect/>
                                                </a:stretch>
                                              </pic:blipFill>
                                              <pic:spPr bwMode="auto">
                                                <a:xfrm>
                                                  <a:off x="0" y="0"/>
                                                  <a:ext cx="457200" cy="95250"/>
                                                </a:xfrm>
                                                <a:prstGeom prst="rect">
                                                  <a:avLst/>
                                                </a:prstGeom>
                                              </pic:spPr>
                                            </pic:pic>
                                          </a:graphicData>
                                        </a:graphic>
                                      </wp:inline>
                                    </w:drawing>
                                  </w:r>
                                  <w:bookmarkStart w:id="116" w:name="i-61"/>
                                  <w:bookmarkEnd w:id="11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1" descr=""/>
                                          <pic:cNvPicPr>
                                            <a:picLocks noChangeAspect="1" noChangeArrowheads="1"/>
                                          </pic:cNvPicPr>
                                        </pic:nvPicPr>
                                        <pic:blipFill>
                                          <a:blip r:embed="rId116"/>
                                          <a:stretch>
                                            <a:fillRect/>
                                          </a:stretch>
                                        </pic:blipFill>
                                        <pic:spPr bwMode="auto">
                                          <a:xfrm>
                                            <a:off x="0" y="0"/>
                                            <a:ext cx="457200" cy="95250"/>
                                          </a:xfrm>
                                          <a:prstGeom prst="rect">
                                            <a:avLst/>
                                          </a:prstGeom>
                                        </pic:spPr>
                                      </pic:pic>
                                    </a:graphicData>
                                  </a:graphic>
                                </wp:inline>
                              </w:drawing>
                            </w:r>
                            <w:bookmarkStart w:id="117" w:name="i-61"/>
                            <w:bookmarkEnd w:id="11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The operations of our third-party manufacturing partners and suppliers have had and may in the future be disrupted by conditions unrelated to our business or operations or that are beyond our control, including but not limited to changing international trade policies, inflation, supply chain disruptions, and conditions    related to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We have and may continue to face challenges in our supply chain, which has and may continue to adversely impact margins. During periods of shortage or delay, the price of products or components may increase or the products or components may not be available at all. Our suppliers have raised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Various government policies have had, and may continue to have in the future, a negative impact on manufacturing and/or supply chains, in addition to customer demand for our products and demand through certain distributors. As a result of global economic or political instability, war and other international conflicts, such as the conflicts in the Middle East (including Iran), an escalation of the war in Ukraine, potential uncertainty related to Taiwan and its relationship with China, changing international trade policies, other disease outbreaks, or supply issues, we or our contractors could experience shortages, business disruptions or delays for materials sourced or manufactured in the affected countries, and their ability to supply us with instruments, products or components may be affected. For example, in times of global conflicts, we have experienced and may continue to experience supply shortages, delays in contracting, and negative impacts on delivering and installing products at customer locations adversely affected by such conflicts. While the conflict in the Middle East (including Iran) has not resulted in any material disruption to the supply of component materials that we source directly, we continue to monitor supplier operations, commodity markets, and transportation-related factors, including shipping lanes. These factors could adversely affect the availability and cost of raw materials sourced by our direct suppliers, as well as the cost and timing of transporting our products to customers. In addition, due in part to accelerated demand associated with data processing and storage applications, we have experienced and may continue to experience inflationary pressure with respect to certain components of certain of our products, including with respect to semiconductor materials, such as memory chips. Occasionally, system components and reagents reach the end of their life cycles or become obsolete, requiring us to source alternatives.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related to epidemics or pandemics are lifted, supply issues or business disruptions are resolved and/or other sources can be developed.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current manufacturing process is also characterized by long lead times between the placement of orders for and delivery of our products. If we do not accurately anticipate our needs or if we receive insufficient products or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be unable to consistently manufacture our instruments and consumables, including SMRT Cells and reagents, to the necessary specifications or in quantities necessary to meet demand at an acceptable cost or at an acceptable performance level.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our long-read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12520"/>
                <wp:effectExtent l="0" t="0" r="0" b="0"/>
                <wp:wrapNone/>
                <wp:docPr id="171" name="Frame5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2" descr=""/>
                                                <pic:cNvPicPr>
                                                  <a:picLocks noChangeAspect="1" noChangeArrowheads="1"/>
                                                </pic:cNvPicPr>
                                              </pic:nvPicPr>
                                              <pic:blipFill>
                                                <a:blip r:embed="rId117"/>
                                                <a:stretch>
                                                  <a:fillRect/>
                                                </a:stretch>
                                              </pic:blipFill>
                                              <pic:spPr bwMode="auto">
                                                <a:xfrm>
                                                  <a:off x="0" y="0"/>
                                                  <a:ext cx="457200" cy="95250"/>
                                                </a:xfrm>
                                                <a:prstGeom prst="rect">
                                                  <a:avLst/>
                                                </a:prstGeom>
                                              </pic:spPr>
                                            </pic:pic>
                                          </a:graphicData>
                                        </a:graphic>
                                      </wp:inline>
                                    </w:drawing>
                                  </w:r>
                                  <w:bookmarkStart w:id="118" w:name="i-62"/>
                                  <w:bookmarkEnd w:id="11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2" descr=""/>
                                          <pic:cNvPicPr>
                                            <a:picLocks noChangeAspect="1" noChangeArrowheads="1"/>
                                          </pic:cNvPicPr>
                                        </pic:nvPicPr>
                                        <pic:blipFill>
                                          <a:blip r:embed="rId118"/>
                                          <a:stretch>
                                            <a:fillRect/>
                                          </a:stretch>
                                        </pic:blipFill>
                                        <pic:spPr bwMode="auto">
                                          <a:xfrm>
                                            <a:off x="0" y="0"/>
                                            <a:ext cx="457200" cy="95250"/>
                                          </a:xfrm>
                                          <a:prstGeom prst="rect">
                                            <a:avLst/>
                                          </a:prstGeom>
                                        </pic:spPr>
                                      </pic:pic>
                                    </a:graphicData>
                                  </a:graphic>
                                </wp:inline>
                              </w:drawing>
                            </w:r>
                            <w:bookmarkStart w:id="119" w:name="i-62"/>
                            <w:bookmarkEnd w:id="11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 xml:space="preserve">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w:t>
      </w:r>
      <w:r>
        <w:rPr>
          <w:rFonts w:ascii="Roboto;sans-serif" w:hAnsi="Roboto;sans-serif"/>
          <w:b w:val="false"/>
          <w:color w:val="000000"/>
          <w:sz w:val="20"/>
          <w:shd w:fill="FFFFFF" w:val="clear"/>
        </w:rPr>
        <w:t>effect</w:t>
      </w:r>
      <w:r>
        <w:rPr>
          <w:color w:val="000000"/>
        </w:rPr>
        <w:t xml:space="preserve"> </w:t>
      </w:r>
      <w:r>
        <w:rPr>
          <w:rFonts w:ascii="Roboto;sans-serif" w:hAnsi="Roboto;sans-serif"/>
          <w:b w:val="false"/>
          <w:color w:val="000000"/>
          <w:sz w:val="20"/>
        </w:rPr>
        <w:t>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our suppliers are unable to meet our increased demand at a time when the supply chain is under duress due to potential dislocations and disruptions in product and employee availability (whether due to pandemics, government policy or otherwise).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Rapidly changing technology in life sciences and research diagnostics could make our products obsolete unless we continue to develop, manufacture and commercialize new and improved products and pursue new opportunities.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 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and the Revio and Vega systems, could diminish future demand for our products and may materially and adversely harm our future operating results.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size of the markets for our products, including our Revio and Vega instruments, may be smaller than estimated, and new market opportunities may not develop as quickly as we expect, or at all, limiting our ability to successfully sell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market for sequencing systems and consumables products is evolving, making it difficult to accurately predict the size of the markets for our current and future products, including our Revio and Vega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12520"/>
                <wp:effectExtent l="0" t="0" r="0" b="0"/>
                <wp:wrapNone/>
                <wp:docPr id="174" name="Frame5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3" descr=""/>
                                                <pic:cNvPicPr>
                                                  <a:picLocks noChangeAspect="1" noChangeArrowheads="1"/>
                                                </pic:cNvPicPr>
                                              </pic:nvPicPr>
                                              <pic:blipFill>
                                                <a:blip r:embed="rId119"/>
                                                <a:stretch>
                                                  <a:fillRect/>
                                                </a:stretch>
                                              </pic:blipFill>
                                              <pic:spPr bwMode="auto">
                                                <a:xfrm>
                                                  <a:off x="0" y="0"/>
                                                  <a:ext cx="457200" cy="95250"/>
                                                </a:xfrm>
                                                <a:prstGeom prst="rect">
                                                  <a:avLst/>
                                                </a:prstGeom>
                                              </pic:spPr>
                                            </pic:pic>
                                          </a:graphicData>
                                        </a:graphic>
                                      </wp:inline>
                                    </w:drawing>
                                  </w:r>
                                  <w:bookmarkStart w:id="120" w:name="i-63"/>
                                  <w:bookmarkEnd w:id="12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3" descr=""/>
                                          <pic:cNvPicPr>
                                            <a:picLocks noChangeAspect="1" noChangeArrowheads="1"/>
                                          </pic:cNvPicPr>
                                        </pic:nvPicPr>
                                        <pic:blipFill>
                                          <a:blip r:embed="rId120"/>
                                          <a:stretch>
                                            <a:fillRect/>
                                          </a:stretch>
                                        </pic:blipFill>
                                        <pic:spPr bwMode="auto">
                                          <a:xfrm>
                                            <a:off x="0" y="0"/>
                                            <a:ext cx="457200" cy="95250"/>
                                          </a:xfrm>
                                          <a:prstGeom prst="rect">
                                            <a:avLst/>
                                          </a:prstGeom>
                                        </pic:spPr>
                                      </pic:pic>
                                    </a:graphicData>
                                  </a:graphic>
                                </wp:inline>
                              </w:drawing>
                            </w:r>
                            <w:bookmarkStart w:id="121" w:name="i-63"/>
                            <w:bookmarkEnd w:id="12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and Vega systems, depends on a variety of factors, including the availability and cost-effectiveness of related tools for high 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and Vega systems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Increased market adoption of our products by customers may depend on the availability of sample preparation and informatics tools, some of which may be developed by third parties.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operate in a highly competitive industry and if we are not able to compete effectively, our business and operating results will likely be harmed.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Element and Singular.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be unable to successfully increase sales of our current products or market and sell our future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ability to achieve profitability depends, in part,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retain and manage qualified sales, marketing, and service personnel necessary to expand market acceptance for our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performance and commercial availability expectations of our existing and potential customers with respect to new and existing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12520"/>
                <wp:effectExtent l="0" t="0" r="0" b="0"/>
                <wp:wrapNone/>
                <wp:docPr id="177" name="Frame5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4" descr=""/>
                                                <pic:cNvPicPr>
                                                  <a:picLocks noChangeAspect="1" noChangeArrowheads="1"/>
                                                </pic:cNvPicPr>
                                              </pic:nvPicPr>
                                              <pic:blipFill>
                                                <a:blip r:embed="rId121"/>
                                                <a:stretch>
                                                  <a:fillRect/>
                                                </a:stretch>
                                              </pic:blipFill>
                                              <pic:spPr bwMode="auto">
                                                <a:xfrm>
                                                  <a:off x="0" y="0"/>
                                                  <a:ext cx="457200" cy="95250"/>
                                                </a:xfrm>
                                                <a:prstGeom prst="rect">
                                                  <a:avLst/>
                                                </a:prstGeom>
                                              </pic:spPr>
                                            </pic:pic>
                                          </a:graphicData>
                                        </a:graphic>
                                      </wp:inline>
                                    </w:drawing>
                                  </w:r>
                                  <w:bookmarkStart w:id="122" w:name="i-64"/>
                                  <w:bookmarkEnd w:id="12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7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4" descr=""/>
                                          <pic:cNvPicPr>
                                            <a:picLocks noChangeAspect="1" noChangeArrowheads="1"/>
                                          </pic:cNvPicPr>
                                        </pic:nvPicPr>
                                        <pic:blipFill>
                                          <a:blip r:embed="rId122"/>
                                          <a:stretch>
                                            <a:fillRect/>
                                          </a:stretch>
                                        </pic:blipFill>
                                        <pic:spPr bwMode="auto">
                                          <a:xfrm>
                                            <a:off x="0" y="0"/>
                                            <a:ext cx="457200" cy="95250"/>
                                          </a:xfrm>
                                          <a:prstGeom prst="rect">
                                            <a:avLst/>
                                          </a:prstGeom>
                                        </pic:spPr>
                                      </pic:pic>
                                    </a:graphicData>
                                  </a:graphic>
                                </wp:inline>
                              </w:drawing>
                            </w:r>
                            <w:bookmarkStart w:id="123" w:name="i-64"/>
                            <w:bookmarkEnd w:id="12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availability of potential sales and distribution partners to sell our technologies, and our ability to attract and retain such sales and distribution partners;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time and cost of maintaining and growing a specialized sales, marketing and service force for a particular application, which may be difficult to justify in light of the revenue generated;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sales, marketing and service force may be unable to execute successful commercial activities.</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 xml:space="preserve">We have, and may in the future, use promotional pricing and similar measures to attract purchases of our products. These measures may not be successful in attracting purchases and, even if successful, may negatively impact our gross margins.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enlisted and may continue to enlist third parties to assist with sales, equipment leasing,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receive a significant portion of our revenue from a limited number of customers. While during the years ended December 31, 2025, 2024, and 2023, no customer accounted for 10% or more of our total revenue, many of our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many of our customers, including some of our larger customers, have negotiated, or may in the future negotiate, volume-based discounts or other more favorable terms from us or our sales and distribution partners, which have had and may have a negative effect on our gross margins or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12520"/>
                <wp:effectExtent l="0" t="0" r="0" b="0"/>
                <wp:wrapNone/>
                <wp:docPr id="180" name="Frame5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5" descr=""/>
                                                <pic:cNvPicPr>
                                                  <a:picLocks noChangeAspect="1" noChangeArrowheads="1"/>
                                                </pic:cNvPicPr>
                                              </pic:nvPicPr>
                                              <pic:blipFill>
                                                <a:blip r:embed="rId123"/>
                                                <a:stretch>
                                                  <a:fillRect/>
                                                </a:stretch>
                                              </pic:blipFill>
                                              <pic:spPr bwMode="auto">
                                                <a:xfrm>
                                                  <a:off x="0" y="0"/>
                                                  <a:ext cx="457200" cy="95250"/>
                                                </a:xfrm>
                                                <a:prstGeom prst="rect">
                                                  <a:avLst/>
                                                </a:prstGeom>
                                              </pic:spPr>
                                            </pic:pic>
                                          </a:graphicData>
                                        </a:graphic>
                                      </wp:inline>
                                    </w:drawing>
                                  </w:r>
                                  <w:bookmarkStart w:id="124" w:name="i-65"/>
                                  <w:bookmarkEnd w:id="12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5" descr=""/>
                                          <pic:cNvPicPr>
                                            <a:picLocks noChangeAspect="1" noChangeArrowheads="1"/>
                                          </pic:cNvPicPr>
                                        </pic:nvPicPr>
                                        <pic:blipFill>
                                          <a:blip r:embed="rId124"/>
                                          <a:stretch>
                                            <a:fillRect/>
                                          </a:stretch>
                                        </pic:blipFill>
                                        <pic:spPr bwMode="auto">
                                          <a:xfrm>
                                            <a:off x="0" y="0"/>
                                            <a:ext cx="457200" cy="95250"/>
                                          </a:xfrm>
                                          <a:prstGeom prst="rect">
                                            <a:avLst/>
                                          </a:prstGeom>
                                        </pic:spPr>
                                      </pic:pic>
                                    </a:graphicData>
                                  </a:graphic>
                                </wp:inline>
                              </w:drawing>
                            </w:r>
                            <w:bookmarkStart w:id="125" w:name="i-65"/>
                            <w:bookmarkEnd w:id="12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products are highly complex, have recurring support requirements and could have unknown defects or errors, which may give rise to claims against us or divert application of our resources from other purposes.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highly complex and may develop or contain undetected defects or errors. Our customers have previously experienced reliability issues with our existing products, including the Sequel and Sequel II/IIe systems. In addition, it is possible our customers could experience reliability issues with current or future products, including the Revio and Vega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Revio and Vega systems, or enhancements to our existing products, including the SMRT Cell,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has and could in the future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 significant portion of our sales depends on customers’ spending budgets that may be subject to significant and unexpected variation which could have a negative effect on the demand for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have had and may continue to have a significant effect on the demand for our products. Spending budgets are based on a wide variety of factors, including the allocation of available resources to make purchases, funding from government sources which is highly uncertain and subject to change, including the persistent uncertainty surrounding NIH and academic funding, the spending priorities among various types of research equipment, policies regarding capital expenditures during economically uncertain periods and the potential impacts from health epidemics or pandemics.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may not be able to convert our orders in backlog into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Many events can cause an order to be delayed or not completed at all, some of which may be out of our control, including the potential impacts from health epidemics or pandemics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12520"/>
                <wp:effectExtent l="0" t="0" r="0" b="0"/>
                <wp:wrapNone/>
                <wp:docPr id="183" name="Frame6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6" descr=""/>
                                                <pic:cNvPicPr>
                                                  <a:picLocks noChangeAspect="1" noChangeArrowheads="1"/>
                                                </pic:cNvPicPr>
                                              </pic:nvPicPr>
                                              <pic:blipFill>
                                                <a:blip r:embed="rId125"/>
                                                <a:stretch>
                                                  <a:fillRect/>
                                                </a:stretch>
                                              </pic:blipFill>
                                              <pic:spPr bwMode="auto">
                                                <a:xfrm>
                                                  <a:off x="0" y="0"/>
                                                  <a:ext cx="457200" cy="95250"/>
                                                </a:xfrm>
                                                <a:prstGeom prst="rect">
                                                  <a:avLst/>
                                                </a:prstGeom>
                                              </pic:spPr>
                                            </pic:pic>
                                          </a:graphicData>
                                        </a:graphic>
                                      </wp:inline>
                                    </w:drawing>
                                  </w:r>
                                  <w:bookmarkStart w:id="126" w:name="i-66"/>
                                  <w:bookmarkEnd w:id="12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6" descr=""/>
                                          <pic:cNvPicPr>
                                            <a:picLocks noChangeAspect="1" noChangeArrowheads="1"/>
                                          </pic:cNvPicPr>
                                        </pic:nvPicPr>
                                        <pic:blipFill>
                                          <a:blip r:embed="rId126"/>
                                          <a:stretch>
                                            <a:fillRect/>
                                          </a:stretch>
                                        </pic:blipFill>
                                        <pic:spPr bwMode="auto">
                                          <a:xfrm>
                                            <a:off x="0" y="0"/>
                                            <a:ext cx="457200" cy="95250"/>
                                          </a:xfrm>
                                          <a:prstGeom prst="rect">
                                            <a:avLst/>
                                          </a:prstGeom>
                                        </pic:spPr>
                                      </pic:pic>
                                    </a:graphicData>
                                  </a:graphic>
                                </wp:inline>
                              </w:drawing>
                            </w:r>
                            <w:bookmarkStart w:id="127" w:name="i-66"/>
                            <w:bookmarkEnd w:id="12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sales cycles are unpredictable and lengthy, which makes it difficult to forecast revenue and may increase the magnitude of quarterly or annual fluctuations in our operating results.</w:t>
      </w:r>
    </w:p>
    <w:p>
      <w:pPr>
        <w:pStyle w:val="TextBody"/>
        <w:bidi w:val="0"/>
        <w:spacing w:lineRule="auto" w:line="288" w:before="120" w:after="283"/>
        <w:jc w:val="both"/>
        <w:rPr/>
      </w:pPr>
      <w:r>
        <w:rPr>
          <w:rFonts w:ascii="Roboto;sans-serif" w:hAnsi="Roboto;sans-serif"/>
          <w:b w:val="false"/>
          <w:color w:val="000000"/>
          <w:sz w:val="20"/>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and those sales cycles may result in lower units sold per cycle, as we continue to introduce our Revio and Vega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hyperlink w:anchor="i29333b647e3941e3b564cb5ee85e3f87_198500">
        <w:r>
          <w:rPr>
            <w:rStyle w:val="InternetLink"/>
            <w:rFonts w:ascii="Roboto;sans-serif" w:hAnsi="Roboto;sans-serif"/>
            <w:b w:val="false"/>
            <w:i/>
            <w:color w:val="0000FF"/>
            <w:sz w:val="20"/>
            <w:u w:val="single"/>
          </w:rPr>
          <w:t>Our operating results fluctuate from quarter to quarter and year over year, which makes our future results difficult to predict and could negatively impact the market price of our common stock</w:t>
        </w:r>
      </w:hyperlink>
      <w:r>
        <w:rPr>
          <w:rFonts w:ascii="Roboto;sans-serif" w:hAnsi="Roboto;sans-serif"/>
          <w:b w:val="false"/>
          <w:color w:val="000000"/>
          <w:sz w:val="20"/>
        </w:rPr>
        <w:t>,” below.</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Because some of our customers and suppliers are based in China, our business, financial condition and results of operations could be adversely affected by the political and economic tensions between the United States and China.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to risks associated with political conflicts between the U.S. and China. While during the years ended December 31, 2025, 2024, and 2023, no customer accounted for 10% or more of our total revenue, a portion of our revenue is generated from China. In addition, certain components, some of which are critical components, of our products are manufactured in China. These components are either sourced directly from companies in China or indirectly from third parties that source from companies in China.</w:t>
      </w:r>
    </w:p>
    <w:p>
      <w:pPr>
        <w:pStyle w:val="TextBody"/>
        <w:bidi w:val="0"/>
        <w:spacing w:lineRule="auto" w:line="288" w:before="120" w:after="283"/>
        <w:jc w:val="both"/>
        <w:rPr/>
      </w:pPr>
      <w:r>
        <w:rPr>
          <w:rFonts w:ascii="Roboto;sans-serif" w:hAnsi="Roboto;sans-serif"/>
          <w:b w:val="false"/>
          <w:color w:val="000000"/>
          <w:sz w:val="20"/>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continue to retaliate against U.S. trade restrictions in ways that could impact our business, including through the imposition of additional tariffs on imports from the U.S. and/or the imposition of additional export controls affecting the export of certain items from China.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hyperlink w:anchor="i29333b647e3941e3b564cb5ee85e3f87_198504">
        <w:r>
          <w:rPr>
            <w:rStyle w:val="InternetLink"/>
            <w:rFonts w:ascii="Roboto;sans-serif" w:hAnsi="Roboto;sans-serif"/>
            <w:b w:val="false"/>
            <w:i/>
            <w:color w:val="0000FF"/>
            <w:sz w:val="20"/>
            <w:u w:val="single"/>
          </w:rPr>
          <w:t>Enhanced trade tariffs, import restrictions, export restrictions, or other trade barriers may materially harm our business</w:t>
        </w:r>
      </w:hyperlink>
      <w:r>
        <w:rPr>
          <w:rFonts w:ascii="Roboto;sans-serif" w:hAnsi="Roboto;sans-serif"/>
          <w:b w:val="false"/>
          <w:color w:val="000000"/>
          <w:sz w:val="20"/>
        </w:rPr>
        <w: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risks could include: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interruptions to operations in China as a result of potential disease outbreaks or natural catastrophic events, which have in the past and can result in the future in business closures, transportation restrictions, import and export complications and cause shortages in the supply of raw materials or disruptions in manufacturing;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12520"/>
                <wp:effectExtent l="0" t="0" r="0" b="0"/>
                <wp:wrapNone/>
                <wp:docPr id="186" name="Frame6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7" descr=""/>
                                                <pic:cNvPicPr>
                                                  <a:picLocks noChangeAspect="1" noChangeArrowheads="1"/>
                                                </pic:cNvPicPr>
                                              </pic:nvPicPr>
                                              <pic:blipFill>
                                                <a:blip r:embed="rId127"/>
                                                <a:stretch>
                                                  <a:fillRect/>
                                                </a:stretch>
                                              </pic:blipFill>
                                              <pic:spPr bwMode="auto">
                                                <a:xfrm>
                                                  <a:off x="0" y="0"/>
                                                  <a:ext cx="457200" cy="95250"/>
                                                </a:xfrm>
                                                <a:prstGeom prst="rect">
                                                  <a:avLst/>
                                                </a:prstGeom>
                                              </pic:spPr>
                                            </pic:pic>
                                          </a:graphicData>
                                        </a:graphic>
                                      </wp:inline>
                                    </w:drawing>
                                  </w:r>
                                  <w:bookmarkStart w:id="128" w:name="i-67"/>
                                  <w:bookmarkEnd w:id="12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8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7" descr=""/>
                                          <pic:cNvPicPr>
                                            <a:picLocks noChangeAspect="1" noChangeArrowheads="1"/>
                                          </pic:cNvPicPr>
                                        </pic:nvPicPr>
                                        <pic:blipFill>
                                          <a:blip r:embed="rId128"/>
                                          <a:stretch>
                                            <a:fillRect/>
                                          </a:stretch>
                                        </pic:blipFill>
                                        <pic:spPr bwMode="auto">
                                          <a:xfrm>
                                            <a:off x="0" y="0"/>
                                            <a:ext cx="457200" cy="95250"/>
                                          </a:xfrm>
                                          <a:prstGeom prst="rect">
                                            <a:avLst/>
                                          </a:prstGeom>
                                        </pic:spPr>
                                      </pic:pic>
                                    </a:graphicData>
                                  </a:graphic>
                                </wp:inline>
                              </w:drawing>
                            </w:r>
                            <w:bookmarkStart w:id="129" w:name="i-67"/>
                            <w:bookmarkEnd w:id="12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product supply disruptions and increased costs as a result of heightened exposure to changes in the policies of the Chinese government, political unrest or unstable economic conditions in China;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nationalization or other expropriation of private enterprises or intellectual property by the Chinese government.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Difficulties in this relationship may require us to take actions adverse to our business to comply with governmental restrictions on business and trade with China.</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face significant risks associated with doing business with Taiwanese suppliers and manufacturers due to the tense relationship between Taiwan and mainland China.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Substantially all of our consumable chips are partly manufactured by a company based in Taiwan. Our supply of consumable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including trade disputes,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pStyle w:val="TextBody"/>
        <w:bidi w:val="0"/>
        <w:spacing w:lineRule="auto" w:line="288" w:before="180" w:after="283"/>
        <w:jc w:val="both"/>
        <w:rPr>
          <w:rFonts w:ascii="Roboto;sans-serif" w:hAnsi="Roboto;sans-serif"/>
          <w:b/>
          <w:i/>
          <w:color w:val="DF1995"/>
          <w:sz w:val="20"/>
        </w:rPr>
      </w:pPr>
      <w:bookmarkStart w:id="130" w:name="i29333b647e3941e3b564cb5ee85e3f87_198500"/>
      <w:bookmarkEnd w:id="130"/>
      <w:r>
        <w:rPr>
          <w:rFonts w:ascii="Roboto;sans-serif" w:hAnsi="Roboto;sans-serif"/>
          <w:b/>
          <w:i/>
          <w:color w:val="DF1995"/>
          <w:sz w:val="20"/>
        </w:rPr>
        <w:t>Our operating results fluctuate from quarter to quarter and year over year, which makes our future results difficult to predict and could negatively impact the market price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of our products, particularly our sequencing instruments, are subject to significant seasonality due to several factors, including the procurement and budgeting cycles of many of our customers, especially government-funded customers, which often coincide with government fiscal year ends and significant holidays disrupting business and sales activities in key markets. These factors have contributed, and in the future may contribute, to substantial fluctuations in our quarterly operating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operating results during any given period can also be impacted by numerous other factors, including the following: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market acceptance for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attract new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length of our sales cycles, as discussed above;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achieve economies of scale and other manufacturing efficiencies at the rate we anticipate;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publications of studies by us, our competitors or third parties;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timing and success of new product introductions by us or our competitors or other changes in the competitive dynamics of our industry, such as consolidation;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amount and timing of our costs and expenses;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our pricing policies or those of our competitors;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general economic, industry and market conditions;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impact of catastrophic events, including health epidemics or pandemics and military or other armed conflicts;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regulatory environment in which we operate;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expenses associated with warranty obligations or unforeseen product quality issues;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hiring, training, and retention of key employees, including our ability to grow our sales organization;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litigation or other claims against us for intellectual property infringement or otherwise;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ability to obtain additional financing as necessary;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or trends in new technologies and industry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12520"/>
                <wp:effectExtent l="0" t="0" r="0" b="0"/>
                <wp:wrapNone/>
                <wp:docPr id="189" name="Frame6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8" descr=""/>
                                                <pic:cNvPicPr>
                                                  <a:picLocks noChangeAspect="1" noChangeArrowheads="1"/>
                                                </pic:cNvPicPr>
                                              </pic:nvPicPr>
                                              <pic:blipFill>
                                                <a:blip r:embed="rId129"/>
                                                <a:stretch>
                                                  <a:fillRect/>
                                                </a:stretch>
                                              </pic:blipFill>
                                              <pic:spPr bwMode="auto">
                                                <a:xfrm>
                                                  <a:off x="0" y="0"/>
                                                  <a:ext cx="457200" cy="95250"/>
                                                </a:xfrm>
                                                <a:prstGeom prst="rect">
                                                  <a:avLst/>
                                                </a:prstGeom>
                                              </pic:spPr>
                                            </pic:pic>
                                          </a:graphicData>
                                        </a:graphic>
                                      </wp:inline>
                                    </w:drawing>
                                  </w:r>
                                  <w:bookmarkStart w:id="131" w:name="i-68"/>
                                  <w:bookmarkEnd w:id="13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8" descr=""/>
                                          <pic:cNvPicPr>
                                            <a:picLocks noChangeAspect="1" noChangeArrowheads="1"/>
                                          </pic:cNvPicPr>
                                        </pic:nvPicPr>
                                        <pic:blipFill>
                                          <a:blip r:embed="rId130"/>
                                          <a:stretch>
                                            <a:fillRect/>
                                          </a:stretch>
                                        </pic:blipFill>
                                        <pic:spPr bwMode="auto">
                                          <a:xfrm>
                                            <a:off x="0" y="0"/>
                                            <a:ext cx="457200" cy="95250"/>
                                          </a:xfrm>
                                          <a:prstGeom prst="rect">
                                            <a:avLst/>
                                          </a:prstGeom>
                                        </pic:spPr>
                                      </pic:pic>
                                    </a:graphicData>
                                  </a:graphic>
                                </wp:inline>
                              </w:drawing>
                            </w:r>
                            <w:bookmarkStart w:id="132" w:name="i-68"/>
                            <w:bookmarkEnd w:id="13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Additionally, any bankruptcy of a customer or other party with whom we do business, or the failure of any such party to make payments when due, or any breach or default by any such party, or the loss of any significant partnerships, could impact our revenue recognition or result in material losses to us, which may have a material adverse impact on our business.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ability to use net operating losses and certain other tax attributes to offset future taxable income may be subject to substantial limitations.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Under Sections 382 and 383 of the Internal Revenue Code of 1986, as amended, a corporation that undergoes an “ownership change” is subject to limitations on its ability to utilize its pre-change net operating losses (“NOLs”) and other pre-change tax attributes, such as research and development credits, to offset its post-change taxable income or tax liability. An “ownership change” is generally defined as a greater than 50% change (by value) in a corporation’s equity ownership by “5 percent shareholders” over a rolling three-year period. We believe that we have had one or more ownership changes, and as a result our existing NOLs are currently subject to limitation. Future changes in our stock ownership could result in additional ownership changes, including potentially material changes, under Sections 382 and 383. Further, California has enacted legislation that limits the use of state NOLs for tax years beginning on or after January 1, 2024, and before January 1, 2027. Other limitations may also apply under state tax law. As a result of this legislation or other unforeseen reasons, we may not be able to utilize some or all of our NOLs even if we attain profitability.</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Changes in tax law and differences in interpretation of tax laws and regulations could adversely impact our business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operate in multiple jurisdictions and are subject to tax laws and regulations of the U.S. federal, state and local and non-U.S. governments. Tax laws, regulations and administrative practices in these jurisdictions may be subject to significant changes, with or without advance notice.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facilities in California are located near earthquake faults, and the occurrence of an earthquake or other catastrophic disaster could cause damage to our facilities and equipment, which could require us to cease or curtail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tbl>
      <w:tblPr>
        <w:tblW w:w="5444" w:type="dxa"/>
        <w:jc w:val="left"/>
        <w:tblInd w:w="0" w:type="dxa"/>
        <w:tblLayout w:type="fixed"/>
        <w:tblCellMar>
          <w:top w:w="28" w:type="dxa"/>
          <w:left w:w="28" w:type="dxa"/>
          <w:bottom w:w="28" w:type="dxa"/>
          <w:right w:w="28" w:type="dxa"/>
        </w:tblCellMar>
      </w:tblPr>
      <w:tblGrid>
        <w:gridCol w:w="1742"/>
        <w:gridCol w:w="1532"/>
        <w:gridCol w:w="2170"/>
      </w:tblGrid>
      <w:tr>
        <w:trPr/>
        <w:tc>
          <w:tcPr>
            <w:tcW w:w="174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Our Intellectual Property</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Failure to secure patent or other intellectual property protection for our products and improvements to our products may reduce our ability to maintain any technological or competitive advantage over our current and potential competitors.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licensors might not have been the first to make the inventions covered by each of our pending patent applications or issued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licensors might not have been the first to file patent applications for these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12520"/>
                <wp:effectExtent l="0" t="0" r="0" b="0"/>
                <wp:wrapNone/>
                <wp:docPr id="192" name="Frame6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9" descr=""/>
                                                <pic:cNvPicPr>
                                                  <a:picLocks noChangeAspect="1" noChangeArrowheads="1"/>
                                                </pic:cNvPicPr>
                                              </pic:nvPicPr>
                                              <pic:blipFill>
                                                <a:blip r:embed="rId131"/>
                                                <a:stretch>
                                                  <a:fillRect/>
                                                </a:stretch>
                                              </pic:blipFill>
                                              <pic:spPr bwMode="auto">
                                                <a:xfrm>
                                                  <a:off x="0" y="0"/>
                                                  <a:ext cx="457200" cy="95250"/>
                                                </a:xfrm>
                                                <a:prstGeom prst="rect">
                                                  <a:avLst/>
                                                </a:prstGeom>
                                              </pic:spPr>
                                            </pic:pic>
                                          </a:graphicData>
                                        </a:graphic>
                                      </wp:inline>
                                    </w:drawing>
                                  </w:r>
                                  <w:bookmarkStart w:id="133" w:name="i-69"/>
                                  <w:bookmarkEnd w:id="13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9" descr=""/>
                                          <pic:cNvPicPr>
                                            <a:picLocks noChangeAspect="1" noChangeArrowheads="1"/>
                                          </pic:cNvPicPr>
                                        </pic:nvPicPr>
                                        <pic:blipFill>
                                          <a:blip r:embed="rId132"/>
                                          <a:stretch>
                                            <a:fillRect/>
                                          </a:stretch>
                                        </pic:blipFill>
                                        <pic:spPr bwMode="auto">
                                          <a:xfrm>
                                            <a:off x="0" y="0"/>
                                            <a:ext cx="457200" cy="95250"/>
                                          </a:xfrm>
                                          <a:prstGeom prst="rect">
                                            <a:avLst/>
                                          </a:prstGeom>
                                        </pic:spPr>
                                      </pic:pic>
                                    </a:graphicData>
                                  </a:graphic>
                                </wp:inline>
                              </w:drawing>
                            </w:r>
                            <w:bookmarkStart w:id="134" w:name="i-69"/>
                            <w:bookmarkEnd w:id="13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it is possible that neither our pending patent applications nor the pending patent applications of our licensors will result in issued patents;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our enforcement of patents and proprietary rights in other countries may be problematic or unpredictable;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or our partners may not adequately protect our trade secrets;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we may not develop additional proprietary technologies that are patentable; or</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patents of others may limit our freedom to operate and prevent us from commercializing our technology in accordance with our plans.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occurrence of any of these events could impair our ability to operate without infringing upon the proprietary rights of others or prevent us from establishing or maintaining a competitive advantage over our competitors.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Variability in intellectual property laws may adversely affect our intellectual property position.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12520"/>
                <wp:effectExtent l="0" t="0" r="0" b="0"/>
                <wp:wrapNone/>
                <wp:docPr id="195" name="Frame6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70" descr=""/>
                                                <pic:cNvPicPr>
                                                  <a:picLocks noChangeAspect="1" noChangeArrowheads="1"/>
                                                </pic:cNvPicPr>
                                              </pic:nvPicPr>
                                              <pic:blipFill>
                                                <a:blip r:embed="rId133"/>
                                                <a:stretch>
                                                  <a:fillRect/>
                                                </a:stretch>
                                              </pic:blipFill>
                                              <pic:spPr bwMode="auto">
                                                <a:xfrm>
                                                  <a:off x="0" y="0"/>
                                                  <a:ext cx="457200" cy="95250"/>
                                                </a:xfrm>
                                                <a:prstGeom prst="rect">
                                                  <a:avLst/>
                                                </a:prstGeom>
                                              </pic:spPr>
                                            </pic:pic>
                                          </a:graphicData>
                                        </a:graphic>
                                      </wp:inline>
                                    </w:drawing>
                                  </w:r>
                                  <w:bookmarkStart w:id="135" w:name="i-70"/>
                                  <w:bookmarkEnd w:id="13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70" descr=""/>
                                          <pic:cNvPicPr>
                                            <a:picLocks noChangeAspect="1" noChangeArrowheads="1"/>
                                          </pic:cNvPicPr>
                                        </pic:nvPicPr>
                                        <pic:blipFill>
                                          <a:blip r:embed="rId134"/>
                                          <a:stretch>
                                            <a:fillRect/>
                                          </a:stretch>
                                        </pic:blipFill>
                                        <pic:spPr bwMode="auto">
                                          <a:xfrm>
                                            <a:off x="0" y="0"/>
                                            <a:ext cx="457200" cy="95250"/>
                                          </a:xfrm>
                                          <a:prstGeom prst="rect">
                                            <a:avLst/>
                                          </a:prstGeom>
                                        </pic:spPr>
                                      </pic:pic>
                                    </a:graphicData>
                                  </a:graphic>
                                </wp:inline>
                              </w:drawing>
                            </w:r>
                            <w:bookmarkStart w:id="136" w:name="i-70"/>
                            <w:bookmarkEnd w:id="13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Some of the intellectual property that is important to our business is owned by other companies or institutions and licensed to us, and changes to the rights we have licensed may adversely impact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12520"/>
                <wp:effectExtent l="0" t="0" r="0" b="0"/>
                <wp:wrapNone/>
                <wp:docPr id="198" name="Frame6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19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71" descr=""/>
                                                <pic:cNvPicPr>
                                                  <a:picLocks noChangeAspect="1" noChangeArrowheads="1"/>
                                                </pic:cNvPicPr>
                                              </pic:nvPicPr>
                                              <pic:blipFill>
                                                <a:blip r:embed="rId135"/>
                                                <a:stretch>
                                                  <a:fillRect/>
                                                </a:stretch>
                                              </pic:blipFill>
                                              <pic:spPr bwMode="auto">
                                                <a:xfrm>
                                                  <a:off x="0" y="0"/>
                                                  <a:ext cx="457200" cy="95250"/>
                                                </a:xfrm>
                                                <a:prstGeom prst="rect">
                                                  <a:avLst/>
                                                </a:prstGeom>
                                              </pic:spPr>
                                            </pic:pic>
                                          </a:graphicData>
                                        </a:graphic>
                                      </wp:inline>
                                    </w:drawing>
                                  </w:r>
                                  <w:bookmarkStart w:id="137" w:name="i-71"/>
                                  <w:bookmarkEnd w:id="13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1" descr=""/>
                                          <pic:cNvPicPr>
                                            <a:picLocks noChangeAspect="1" noChangeArrowheads="1"/>
                                          </pic:cNvPicPr>
                                        </pic:nvPicPr>
                                        <pic:blipFill>
                                          <a:blip r:embed="rId136"/>
                                          <a:stretch>
                                            <a:fillRect/>
                                          </a:stretch>
                                        </pic:blipFill>
                                        <pic:spPr bwMode="auto">
                                          <a:xfrm>
                                            <a:off x="0" y="0"/>
                                            <a:ext cx="457200" cy="95250"/>
                                          </a:xfrm>
                                          <a:prstGeom prst="rect">
                                            <a:avLst/>
                                          </a:prstGeom>
                                        </pic:spPr>
                                      </pic:pic>
                                    </a:graphicData>
                                  </a:graphic>
                                </wp:inline>
                              </w:drawing>
                            </w:r>
                            <w:bookmarkStart w:id="138" w:name="i-71"/>
                            <w:bookmarkEnd w:id="13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intellectual property may be subject to challenges in the United States or foreign jurisdictions that could adversely affect our intellectual property position.</w:t>
      </w:r>
    </w:p>
    <w:p>
      <w:pPr>
        <w:pStyle w:val="TextBody"/>
        <w:bidi w:val="0"/>
        <w:spacing w:lineRule="auto" w:line="288" w:before="120" w:after="283"/>
        <w:jc w:val="both"/>
        <w:rPr/>
      </w:pPr>
      <w:r>
        <w:rPr>
          <w:rFonts w:ascii="Roboto;sans-serif" w:hAnsi="Roboto;sans-serif"/>
          <w:b w:val="false"/>
          <w:color w:val="000000"/>
          <w:sz w:val="20"/>
        </w:rPr>
        <w:t xml:space="preserve">Our pending, issued and granted U.S. and foreign patents and patent applications have been, are and may in the future be, subject to challenges by ONT Ltd., Oxford Nanopore Technologies, Inc. ("ONT Inc.") and Metrichor, Ltd. (“Metrichor” and, together with ONT Ltd. and ONT Inc., “ONT”) in addition to other parties asserting prior invention by others or invalidity on various grounds, through proceedings, such as </w:t>
      </w:r>
      <w:r>
        <w:rPr>
          <w:rFonts w:ascii="Roboto;sans-serif" w:hAnsi="Roboto;sans-serif"/>
          <w:b w:val="false"/>
          <w:color w:val="000000"/>
          <w:sz w:val="20"/>
          <w:shd w:fill="FFFFFF" w:val="clear"/>
        </w:rPr>
        <w:t>interferences</w:t>
      </w:r>
      <w:r>
        <w:rPr>
          <w:rFonts w:ascii="Roboto;sans-serif" w:hAnsi="Roboto;sans-serif"/>
          <w:b w:val="false"/>
          <w:color w:val="000000"/>
          <w:sz w:val="20"/>
        </w:rPr>
        <w:t xml:space="preserve">,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 xml:space="preserve">reviews of certain patents that we have asserted against ONT Inc. and ONT Ltd. in litigation proceedings for patent infringement. While none of the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Some of our technology is subject to “march-in” rights by the U.S. government.</w:t>
      </w:r>
    </w:p>
    <w:p>
      <w:pPr>
        <w:pStyle w:val="TextBody"/>
        <w:bidi w:val="0"/>
        <w:spacing w:lineRule="auto" w:line="288" w:before="120" w:after="283"/>
        <w:jc w:val="both"/>
        <w:rPr/>
      </w:pPr>
      <w:r>
        <w:rPr>
          <w:rFonts w:ascii="Roboto;sans-serif" w:hAnsi="Roboto;sans-serif"/>
          <w:b w:val="false"/>
          <w:color w:val="000000"/>
          <w:sz w:val="20"/>
        </w:rPr>
        <w:t xml:space="preserve">Some of our patented technology was developed with U.S. federal government funding. When new technologies are </w:t>
      </w:r>
      <w:r>
        <w:rPr>
          <w:rFonts w:ascii="Roboto;sans-serif" w:hAnsi="Roboto;sans-serif"/>
          <w:b w:val="false"/>
          <w:color w:val="000000"/>
          <w:sz w:val="20"/>
          <w:shd w:fill="FFFFFF" w:val="clear"/>
        </w:rPr>
        <w:t>developed</w:t>
      </w:r>
      <w:r>
        <w:rPr>
          <w:color w:val="000000"/>
        </w:rPr>
        <w:t xml:space="preserve"> </w:t>
      </w:r>
      <w:r>
        <w:rPr>
          <w:rFonts w:ascii="Roboto;sans-serif" w:hAnsi="Roboto;sans-serif"/>
          <w:b w:val="false"/>
          <w:color w:val="000000"/>
          <w:sz w:val="20"/>
        </w:rPr>
        <w:t>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12520"/>
                <wp:effectExtent l="0" t="0" r="0" b="0"/>
                <wp:wrapNone/>
                <wp:docPr id="201" name="Frame6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2" descr=""/>
                                                <pic:cNvPicPr>
                                                  <a:picLocks noChangeAspect="1" noChangeArrowheads="1"/>
                                                </pic:cNvPicPr>
                                              </pic:nvPicPr>
                                              <pic:blipFill>
                                                <a:blip r:embed="rId137"/>
                                                <a:stretch>
                                                  <a:fillRect/>
                                                </a:stretch>
                                              </pic:blipFill>
                                              <pic:spPr bwMode="auto">
                                                <a:xfrm>
                                                  <a:off x="0" y="0"/>
                                                  <a:ext cx="457200" cy="95250"/>
                                                </a:xfrm>
                                                <a:prstGeom prst="rect">
                                                  <a:avLst/>
                                                </a:prstGeom>
                                              </pic:spPr>
                                            </pic:pic>
                                          </a:graphicData>
                                        </a:graphic>
                                      </wp:inline>
                                    </w:drawing>
                                  </w:r>
                                  <w:bookmarkStart w:id="139" w:name="i-72"/>
                                  <w:bookmarkEnd w:id="13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2" descr=""/>
                                          <pic:cNvPicPr>
                                            <a:picLocks noChangeAspect="1" noChangeArrowheads="1"/>
                                          </pic:cNvPicPr>
                                        </pic:nvPicPr>
                                        <pic:blipFill>
                                          <a:blip r:embed="rId138"/>
                                          <a:stretch>
                                            <a:fillRect/>
                                          </a:stretch>
                                        </pic:blipFill>
                                        <pic:spPr bwMode="auto">
                                          <a:xfrm>
                                            <a:off x="0" y="0"/>
                                            <a:ext cx="457200" cy="95250"/>
                                          </a:xfrm>
                                          <a:prstGeom prst="rect">
                                            <a:avLst/>
                                          </a:prstGeom>
                                        </pic:spPr>
                                      </pic:pic>
                                    </a:graphicData>
                                  </a:graphic>
                                </wp:inline>
                              </w:drawing>
                            </w:r>
                            <w:bookmarkStart w:id="140" w:name="i-72"/>
                            <w:bookmarkEnd w:id="14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are involved in legal proceedings to enforce our intellectual property rights.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been, are currently, and could in the future be, subject to legal proceedings with third parties who may claim that our products infringe or misappropriate their intellectual property rights.</w:t>
      </w:r>
    </w:p>
    <w:p>
      <w:pPr>
        <w:pStyle w:val="TextBody"/>
        <w:bidi w:val="0"/>
        <w:spacing w:lineRule="auto" w:line="288" w:before="120" w:after="283"/>
        <w:jc w:val="both"/>
        <w:rPr/>
      </w:pPr>
      <w:r>
        <w:rPr>
          <w:rFonts w:ascii="Roboto;sans-serif" w:hAnsi="Roboto;sans-serif"/>
          <w:b w:val="false"/>
          <w:color w:val="000000"/>
          <w:sz w:val="20"/>
        </w:rPr>
        <w:t xml:space="preserve">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w:t>
      </w:r>
      <w:r>
        <w:rPr>
          <w:rFonts w:ascii="Roboto;sans-serif" w:hAnsi="Roboto;sans-serif"/>
          <w:b w:val="false"/>
          <w:color w:val="000000"/>
          <w:sz w:val="20"/>
          <w:shd w:fill="FFFFFF" w:val="clear"/>
        </w:rPr>
        <w:t>infringe</w:t>
      </w:r>
      <w:r>
        <w:rPr>
          <w:color w:val="000000"/>
        </w:rPr>
        <w:t xml:space="preserve"> </w:t>
      </w:r>
      <w:r>
        <w:rPr>
          <w:rFonts w:ascii="Roboto;sans-serif" w:hAnsi="Roboto;sans-serif"/>
          <w:b w:val="false"/>
          <w:color w:val="000000"/>
          <w:sz w:val="20"/>
        </w:rPr>
        <w:t>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In addition, ONT Ltd. and Harvard University have, in the past, filed claims against us in the High Court of England and Wales and the District Court of Mannheim, Germany for patent infringement, and PGI has, in the past,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12520"/>
                <wp:effectExtent l="0" t="0" r="0" b="0"/>
                <wp:wrapNone/>
                <wp:docPr id="204" name="Frame6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3" descr=""/>
                                                <pic:cNvPicPr>
                                                  <a:picLocks noChangeAspect="1" noChangeArrowheads="1"/>
                                                </pic:cNvPicPr>
                                              </pic:nvPicPr>
                                              <pic:blipFill>
                                                <a:blip r:embed="rId139"/>
                                                <a:stretch>
                                                  <a:fillRect/>
                                                </a:stretch>
                                              </pic:blipFill>
                                              <pic:spPr bwMode="auto">
                                                <a:xfrm>
                                                  <a:off x="0" y="0"/>
                                                  <a:ext cx="457200" cy="95250"/>
                                                </a:xfrm>
                                                <a:prstGeom prst="rect">
                                                  <a:avLst/>
                                                </a:prstGeom>
                                              </pic:spPr>
                                            </pic:pic>
                                          </a:graphicData>
                                        </a:graphic>
                                      </wp:inline>
                                    </w:drawing>
                                  </w:r>
                                  <w:bookmarkStart w:id="141" w:name="i-73"/>
                                  <w:bookmarkEnd w:id="14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3" descr=""/>
                                          <pic:cNvPicPr>
                                            <a:picLocks noChangeAspect="1" noChangeArrowheads="1"/>
                                          </pic:cNvPicPr>
                                        </pic:nvPicPr>
                                        <pic:blipFill>
                                          <a:blip r:embed="rId140"/>
                                          <a:stretch>
                                            <a:fillRect/>
                                          </a:stretch>
                                        </pic:blipFill>
                                        <pic:spPr bwMode="auto">
                                          <a:xfrm>
                                            <a:off x="0" y="0"/>
                                            <a:ext cx="457200" cy="95250"/>
                                          </a:xfrm>
                                          <a:prstGeom prst="rect">
                                            <a:avLst/>
                                          </a:prstGeom>
                                        </pic:spPr>
                                      </pic:pic>
                                    </a:graphicData>
                                  </a:graphic>
                                </wp:inline>
                              </w:drawing>
                            </w:r>
                            <w:bookmarkStart w:id="142" w:name="i-73"/>
                            <w:bookmarkEnd w:id="14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have not yet registered some of our trademarks in all of our potential markets, and failure to secure those registrations could adversely affect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use of “open source” software could adversely affect our ability to sell our products and subject us to possible litigation.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12520"/>
                <wp:effectExtent l="0" t="0" r="0" b="0"/>
                <wp:wrapNone/>
                <wp:docPr id="207" name="Frame6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4" descr=""/>
                                                <pic:cNvPicPr>
                                                  <a:picLocks noChangeAspect="1" noChangeArrowheads="1"/>
                                                </pic:cNvPicPr>
                                              </pic:nvPicPr>
                                              <pic:blipFill>
                                                <a:blip r:embed="rId141"/>
                                                <a:stretch>
                                                  <a:fillRect/>
                                                </a:stretch>
                                              </pic:blipFill>
                                              <pic:spPr bwMode="auto">
                                                <a:xfrm>
                                                  <a:off x="0" y="0"/>
                                                  <a:ext cx="457200" cy="95250"/>
                                                </a:xfrm>
                                                <a:prstGeom prst="rect">
                                                  <a:avLst/>
                                                </a:prstGeom>
                                              </pic:spPr>
                                            </pic:pic>
                                          </a:graphicData>
                                        </a:graphic>
                                      </wp:inline>
                                    </w:drawing>
                                  </w:r>
                                  <w:bookmarkStart w:id="143" w:name="i-74"/>
                                  <w:bookmarkEnd w:id="14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0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4" descr=""/>
                                          <pic:cNvPicPr>
                                            <a:picLocks noChangeAspect="1" noChangeArrowheads="1"/>
                                          </pic:cNvPicPr>
                                        </pic:nvPicPr>
                                        <pic:blipFill>
                                          <a:blip r:embed="rId142"/>
                                          <a:stretch>
                                            <a:fillRect/>
                                          </a:stretch>
                                        </pic:blipFill>
                                        <pic:spPr bwMode="auto">
                                          <a:xfrm>
                                            <a:off x="0" y="0"/>
                                            <a:ext cx="457200" cy="95250"/>
                                          </a:xfrm>
                                          <a:prstGeom prst="rect">
                                            <a:avLst/>
                                          </a:prstGeom>
                                        </pic:spPr>
                                      </pic:pic>
                                    </a:graphicData>
                                  </a:graphic>
                                </wp:inline>
                              </w:drawing>
                            </w:r>
                            <w:bookmarkStart w:id="144" w:name="i-74"/>
                            <w:bookmarkEnd w:id="14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3674" w:type="dxa"/>
        <w:jc w:val="left"/>
        <w:tblInd w:w="0" w:type="dxa"/>
        <w:tblLayout w:type="fixed"/>
        <w:tblCellMar>
          <w:top w:w="28" w:type="dxa"/>
          <w:left w:w="28" w:type="dxa"/>
          <w:bottom w:w="28" w:type="dxa"/>
          <w:right w:w="28" w:type="dxa"/>
        </w:tblCellMar>
      </w:tblPr>
      <w:tblGrid>
        <w:gridCol w:w="1176"/>
        <w:gridCol w:w="1034"/>
        <w:gridCol w:w="1464"/>
      </w:tblGrid>
      <w:tr>
        <w:trPr/>
        <w:tc>
          <w:tcPr>
            <w:tcW w:w="117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Regulation</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We are, and may become, subject to governmental regulations that may impose burdens on our operations, and the markets for our products may be narrowed.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 result of certain geopolitical events and conflicts and any related political or economic responses and counter-responses or otherwise by various global actors. On January 15, 2025, the United States Department of Commerce’s Bureau of Industry and Security (“BIS”) issued an Interim Final Rule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 Additionally, restrictions on the ability to send certain products and technology related to semiconductors, semiconductor manufacturing, and supercomputing to China continue to increase in both product and country scope and may impact our ability to provide products to customers or distributors worldwide.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pStyle w:val="TextBody"/>
        <w:bidi w:val="0"/>
        <w:spacing w:lineRule="auto" w:line="288" w:before="120" w:after="283"/>
        <w:jc w:val="both"/>
        <w:rPr/>
      </w:pPr>
      <w:r>
        <w:rPr>
          <w:rFonts w:ascii="Roboto;sans-serif" w:hAnsi="Roboto;sans-serif"/>
          <w:b w:val="false"/>
          <w:color w:val="000000"/>
          <w:sz w:val="20"/>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Roboto;sans-serif" w:hAnsi="Roboto;sans-serif"/>
          <w:b w:val="false"/>
          <w:i/>
          <w:color w:val="000000"/>
          <w:sz w:val="20"/>
        </w:rPr>
        <w:t>in vitro</w:t>
      </w:r>
      <w:r>
        <w:rPr>
          <w:color w:val="000000"/>
        </w:rPr>
        <w:t xml:space="preserve"> </w:t>
      </w:r>
      <w:r>
        <w:rPr>
          <w:rFonts w:ascii="Roboto;sans-serif" w:hAnsi="Roboto;sans-serif"/>
          <w:b w:val="false"/>
          <w:color w:val="000000"/>
          <w:sz w:val="20"/>
        </w:rPr>
        <w:t>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LDTs for clinical diagnostic use, which could subject our products to government regulation, and the regulatory clearance or approval and maintenance process for such products may be uncertain, expensive, and time-consuming.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12520"/>
                <wp:effectExtent l="0" t="0" r="0" b="0"/>
                <wp:wrapNone/>
                <wp:docPr id="210" name="Frame6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5" descr=""/>
                                                <pic:cNvPicPr>
                                                  <a:picLocks noChangeAspect="1" noChangeArrowheads="1"/>
                                                </pic:cNvPicPr>
                                              </pic:nvPicPr>
                                              <pic:blipFill>
                                                <a:blip r:embed="rId143"/>
                                                <a:stretch>
                                                  <a:fillRect/>
                                                </a:stretch>
                                              </pic:blipFill>
                                              <pic:spPr bwMode="auto">
                                                <a:xfrm>
                                                  <a:off x="0" y="0"/>
                                                  <a:ext cx="457200" cy="95250"/>
                                                </a:xfrm>
                                                <a:prstGeom prst="rect">
                                                  <a:avLst/>
                                                </a:prstGeom>
                                              </pic:spPr>
                                            </pic:pic>
                                          </a:graphicData>
                                        </a:graphic>
                                      </wp:inline>
                                    </w:drawing>
                                  </w:r>
                                  <w:bookmarkStart w:id="145" w:name="i-75"/>
                                  <w:bookmarkEnd w:id="14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5" descr=""/>
                                          <pic:cNvPicPr>
                                            <a:picLocks noChangeAspect="1" noChangeArrowheads="1"/>
                                          </pic:cNvPicPr>
                                        </pic:nvPicPr>
                                        <pic:blipFill>
                                          <a:blip r:embed="rId144"/>
                                          <a:stretch>
                                            <a:fillRect/>
                                          </a:stretch>
                                        </pic:blipFill>
                                        <pic:spPr bwMode="auto">
                                          <a:xfrm>
                                            <a:off x="0" y="0"/>
                                            <a:ext cx="457200" cy="95250"/>
                                          </a:xfrm>
                                          <a:prstGeom prst="rect">
                                            <a:avLst/>
                                          </a:prstGeom>
                                        </pic:spPr>
                                      </pic:pic>
                                    </a:graphicData>
                                  </a:graphic>
                                </wp:inline>
                              </w:drawing>
                            </w:r>
                            <w:bookmarkStart w:id="146" w:name="i-75"/>
                            <w:bookmarkEnd w:id="14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particular,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FDA has historically exercised enforcement discretion in not enforcing the medical device regulations against laboratories developing and offering LDTs. In May 2024, the FDA issued a final rule that phases out its enforcement discretion for LDTs, unless exempt, and amends the FDA’s regulations to make explicit that in vitro diagnostics are medical devices under the Federal Food, Drug, and Cosmetic Act (“FDCA”), including when the manufacturer of the diagnostic product is a laboratory. On March 31, 2025, a U.S. District Court in Texas ruled that the FDA exceeded its authority and vacated and set aside this LDT final rule in its entirety. We cannot predict the potential impact of any future lawsuits brought against the FDA, and future legislative and administration actions on our business. Additionally, in June 2024, the U.S. Supreme Court overruled the Chevron doctrine, which gave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of the FDA, which could undermine the FDA’s authority and lead to uncertainties in the industry. We cannot predict the full impact of this decision on our business or that of our customers.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 under the current administration, agency reorganization, departure of high-profile regulators at the FDA, and layoffs due to the reduction in force initiative may impact the normal operations of federal agencies, including the FDA. NIH funding cuts can impact the business operations of our customers and decrease the demand for our products. It is unclear how our industry and the businesses of our customers will be impacted by executive orders, policies and regulations implemented under the current administration. There is significant uncertainty in the industry.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Future legislative or administrative actions can impact the sales of our products and how customers use our products, and may require us to change our business model in order to maintain compliance with applicable laws. Changes to the current regulatory framework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FDCA and subject to recall and/or other enforcement action.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pStyle w:val="TextBody"/>
        <w:bidi w:val="0"/>
        <w:spacing w:lineRule="auto" w:line="288" w:before="120" w:after="283"/>
        <w:jc w:val="both"/>
        <w:rPr/>
      </w:pPr>
      <w:r>
        <w:rPr>
          <w:rFonts w:ascii="Roboto;sans-serif" w:hAnsi="Roboto;sans-serif"/>
          <w:b w:val="false"/>
          <w:color w:val="000000"/>
          <w:sz w:val="20"/>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Roboto;sans-serif" w:hAnsi="Roboto;sans-serif"/>
          <w:b w:val="false"/>
          <w:i/>
          <w:color w:val="000000"/>
          <w:sz w:val="20"/>
        </w:rPr>
        <w:t>de novo</w:t>
      </w:r>
      <w:r>
        <w:rPr>
          <w:color w:val="000000"/>
        </w:rPr>
        <w:t xml:space="preserve"> </w:t>
      </w:r>
      <w:r>
        <w:rPr>
          <w:rFonts w:ascii="Roboto;sans-serif" w:hAnsi="Roboto;sans-serif"/>
          <w:b w:val="false"/>
          <w:color w:val="000000"/>
          <w:sz w:val="20"/>
        </w:rPr>
        <w:t xml:space="preserve">application is required for some of our products. If such applications were required, greater time and investment would be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12520"/>
                <wp:effectExtent l="0" t="0" r="0" b="0"/>
                <wp:wrapNone/>
                <wp:docPr id="213" name="Frame7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6" descr=""/>
                                                <pic:cNvPicPr>
                                                  <a:picLocks noChangeAspect="1" noChangeArrowheads="1"/>
                                                </pic:cNvPicPr>
                                              </pic:nvPicPr>
                                              <pic:blipFill>
                                                <a:blip r:embed="rId145"/>
                                                <a:stretch>
                                                  <a:fillRect/>
                                                </a:stretch>
                                              </pic:blipFill>
                                              <pic:spPr bwMode="auto">
                                                <a:xfrm>
                                                  <a:off x="0" y="0"/>
                                                  <a:ext cx="457200" cy="95250"/>
                                                </a:xfrm>
                                                <a:prstGeom prst="rect">
                                                  <a:avLst/>
                                                </a:prstGeom>
                                              </pic:spPr>
                                            </pic:pic>
                                          </a:graphicData>
                                        </a:graphic>
                                      </wp:inline>
                                    </w:drawing>
                                  </w:r>
                                  <w:bookmarkStart w:id="147" w:name="i-76"/>
                                  <w:bookmarkEnd w:id="14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6" descr=""/>
                                          <pic:cNvPicPr>
                                            <a:picLocks noChangeAspect="1" noChangeArrowheads="1"/>
                                          </pic:cNvPicPr>
                                        </pic:nvPicPr>
                                        <pic:blipFill>
                                          <a:blip r:embed="rId146"/>
                                          <a:stretch>
                                            <a:fillRect/>
                                          </a:stretch>
                                        </pic:blipFill>
                                        <pic:spPr bwMode="auto">
                                          <a:xfrm>
                                            <a:off x="0" y="0"/>
                                            <a:ext cx="457200" cy="95250"/>
                                          </a:xfrm>
                                          <a:prstGeom prst="rect">
                                            <a:avLst/>
                                          </a:prstGeom>
                                        </pic:spPr>
                                      </pic:pic>
                                    </a:graphicData>
                                  </a:graphic>
                                </wp:inline>
                              </w:drawing>
                            </w:r>
                            <w:bookmarkStart w:id="148" w:name="i-76"/>
                            <w:bookmarkEnd w:id="14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sought and received regulatory clearance or approval for certain of our products, we would be subject to ongoing FDA obligations and continued regulatory oversight and review, including the general controls listed above and the FDA’s Quality System Regulations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could make obtaining regulatory approvals in Europe more challenging.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pStyle w:val="TextBody"/>
        <w:bidi w:val="0"/>
        <w:spacing w:lineRule="auto" w:line="288" w:before="180" w:after="283"/>
        <w:jc w:val="both"/>
        <w:rPr>
          <w:rFonts w:ascii="Roboto;sans-serif" w:hAnsi="Roboto;sans-serif"/>
          <w:b/>
          <w:i/>
          <w:color w:val="DF1995"/>
          <w:sz w:val="20"/>
        </w:rPr>
      </w:pPr>
      <w:bookmarkStart w:id="149" w:name="i29333b647e3941e3b564cb5ee85e3f87_198504"/>
      <w:bookmarkEnd w:id="149"/>
      <w:r>
        <w:rPr>
          <w:rFonts w:ascii="Roboto;sans-serif" w:hAnsi="Roboto;sans-serif"/>
          <w:b/>
          <w:i/>
          <w:color w:val="DF1995"/>
          <w:sz w:val="20"/>
        </w:rPr>
        <w:t>Enhanced trade tariffs, import restrictions, export restrictions, or other trade barriers may materially harm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are continuing to expand our international operations as part of our growth strategy and have experienced an increasing concentration of sales in certain regions outside the United States, especially the Asia-Pacific region and in Europe. There is currently significant uncertainty about the future relationship between the United States and various other trading partners with respect to trade policies, treaties, government regulations, tariffs, and other similar policies affecting cross-border operations. The U.S. government has made and continues to make significant changes in U.S. trade policy, specifically tariffs, and may continue to take actions that could negatively impact our business, including the imposition of Section 301 tariffs on imports of products of countries engaging in unfair trading practices; of “reciprocal” and “fentanyl-related” tariffs imposed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12520"/>
                <wp:effectExtent l="0" t="0" r="0" b="0"/>
                <wp:wrapNone/>
                <wp:docPr id="216" name="Frame7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7" descr=""/>
                                                <pic:cNvPicPr>
                                                  <a:picLocks noChangeAspect="1" noChangeArrowheads="1"/>
                                                </pic:cNvPicPr>
                                              </pic:nvPicPr>
                                              <pic:blipFill>
                                                <a:blip r:embed="rId147"/>
                                                <a:stretch>
                                                  <a:fillRect/>
                                                </a:stretch>
                                              </pic:blipFill>
                                              <pic:spPr bwMode="auto">
                                                <a:xfrm>
                                                  <a:off x="0" y="0"/>
                                                  <a:ext cx="457200" cy="95250"/>
                                                </a:xfrm>
                                                <a:prstGeom prst="rect">
                                                  <a:avLst/>
                                                </a:prstGeom>
                                              </pic:spPr>
                                            </pic:pic>
                                          </a:graphicData>
                                        </a:graphic>
                                      </wp:inline>
                                    </w:drawing>
                                  </w:r>
                                  <w:bookmarkStart w:id="150" w:name="i-77"/>
                                  <w:bookmarkEnd w:id="15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1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7" descr=""/>
                                          <pic:cNvPicPr>
                                            <a:picLocks noChangeAspect="1" noChangeArrowheads="1"/>
                                          </pic:cNvPicPr>
                                        </pic:nvPicPr>
                                        <pic:blipFill>
                                          <a:blip r:embed="rId148"/>
                                          <a:stretch>
                                            <a:fillRect/>
                                          </a:stretch>
                                        </pic:blipFill>
                                        <pic:spPr bwMode="auto">
                                          <a:xfrm>
                                            <a:off x="0" y="0"/>
                                            <a:ext cx="457200" cy="95250"/>
                                          </a:xfrm>
                                          <a:prstGeom prst="rect">
                                            <a:avLst/>
                                          </a:prstGeom>
                                        </pic:spPr>
                                      </pic:pic>
                                    </a:graphicData>
                                  </a:graphic>
                                </wp:inline>
                              </w:drawing>
                            </w:r>
                            <w:bookmarkStart w:id="151" w:name="i-77"/>
                            <w:bookmarkEnd w:id="15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International Emergency Economic Powers Act (“IEEPA”) (which were subsequently invalidated by the U.S. Supreme Court in February 2026); of Section 232 tariffs on imports of items that threaten to impair U.S. national security, including but not limited to certain advanced semiconductors, articles of steel and aluminum; passenger vehicles, trucks, and automotive components; articles of copper; and timber, lumber, and articles of wood; as well as a “temporary import surcharge” imposed under Section 122 on certain imports from most U.S. trading partners. The U.S. government announced in April 2026 that it would impose a new Section 232 tariff of 100% on certain patented or branded pharmaceuticals and pharmaceutical products beginning in July 2026. Additional U.S. government investigations are underway or may be undertaken with respect to Section 232 and Section 301 authorities; when these investigations are complete, the U.S. government may decide to levy additional tariffs on products under these authorities. For example, the U.S. Trade Representative in June 2026 proposed a new Section 301 tariff of 10 to 12.5% for virtually all of the largest U.S. trading partners, premised on a finding that those countries’ enforcement with respect to the use of forced labor is inadequate, which could in the future be implemented by the U.S. government.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Although, the Supreme Court ruled against President Trump’s use of IEEPA to impose tariffs on global trade partners, the full impact of this decision on previous tariffs that we have paid —including the availability and timing of possible refunds for these amounts—is not yet clear.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response to these and other U.S. trade measures, certain affected countries have taken retaliatory trade actions. For example, China has increased tariffs on U.S. exports to China and subjected additional items to export control requirements, including certain rare earth materials. These trade controls have and could continue to raise our costs. Furthermore, tariffs, trade restrictions, or trade barriers that have been, or may in the future be, placed on products such as ours by foreign governments, which have raised and could further raise amounts paid for some or all of our products, which may result in the loss of customers and our business, and our financial condition and results of operations may be harmed, although some of these risks have been contained by trade deals reached between the U.S. and affected governments, including China, the EU, Japan, Taiwan, and South Korea. However, these policies are subject to continued negotiation and effective policies may change over time; for example, these trade deals may not be fully honored or implemented following the changed legal circumstances stemming from the Supreme Court’s invalidation of the President’s use of IEEPA to impose tariffs. We may be unable to make changes in our supply chain quickly enough to avoid the impact of new or potential tariffs, or to do so on commercially reasonable terms. Uncertainty regarding the scope and amount of potential additional tariffs may also result in disruptions in our supply chain, particularly if such changes in applicable or potential tariffs makes current or planned production unprofitable. In addition, these tariff actions may also indirectly affect our business through impacts on our customers, who may be directly affected by some or all of these tariff actions, or indirectly affected by macroeconomic effects resulting from these or other tariff related actions, including potential risks associated with inflation or economic recession.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subject to U.S. export control laws and regulations, including the Export Administration Regulations administered by BIS. Under these laws and regulations, exports of our products as well as the underlying technology may require export authorization, including by license, a license exception, or other appropriate government authorizations. Furthermore, our products and services are subject to U.S. economic and trade sanctions laws and regulations administered by the U.S. Department of Treasury’s Office of Foreign Assets Control that prohibit the provision of services and the export of hardware, software, and technology to embargoed jurisdictions or sanctioned parties without the required export authorizations. The U.S. government has continued to increase controls initially imposed in 2022 restricting the ability to send certain products and technology related to semiconductors, semiconductor manufacturing, and supercomputing including expanding the list of advanced integrated circuits subject to heightened export controls, expanding the list of destinations requiring export authorization for such items, and adding new restrictions based on the headquarters location of the parties involved. In many cases, these licenses are subject to a policy of denial and will not be issued. The U.S. government also continues to add additional entities in China and other countries to restricted party lists impacting the ability of U.S. companies to provide items to these entities. These existing and future laws and regulations may impact our ability to export certain products to customers or distributors in China or other locations and may restrict our ability to use certain integrated circuits in our products. If we need to obtain any necessary export licenses or other authorizations for a particular sale, the process may be time-consuming and may result in the delay or loss of opportunities to sell our products. In addition, these licenses may not be issued. In April 2025, the Company received inquiries from BIS regarding a distributor based in Hong Kong and that distributor's customer located in China. In May 2025, following a review of sales to China, the Company responded to BIS's inquiries and submitted a voluntary self-disclosure to BIS related to a limited number of transactions. This self-disclosure was closed out by BIS in September 2025 without penalties with a warning letter.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12520"/>
                <wp:effectExtent l="0" t="0" r="0" b="0"/>
                <wp:wrapNone/>
                <wp:docPr id="219" name="Frame7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8" descr=""/>
                                                <pic:cNvPicPr>
                                                  <a:picLocks noChangeAspect="1" noChangeArrowheads="1"/>
                                                </pic:cNvPicPr>
                                              </pic:nvPicPr>
                                              <pic:blipFill>
                                                <a:blip r:embed="rId149"/>
                                                <a:stretch>
                                                  <a:fillRect/>
                                                </a:stretch>
                                              </pic:blipFill>
                                              <pic:spPr bwMode="auto">
                                                <a:xfrm>
                                                  <a:off x="0" y="0"/>
                                                  <a:ext cx="457200" cy="95250"/>
                                                </a:xfrm>
                                                <a:prstGeom prst="rect">
                                                  <a:avLst/>
                                                </a:prstGeom>
                                              </pic:spPr>
                                            </pic:pic>
                                          </a:graphicData>
                                        </a:graphic>
                                      </wp:inline>
                                    </w:drawing>
                                  </w:r>
                                  <w:bookmarkStart w:id="152" w:name="i-78"/>
                                  <w:bookmarkEnd w:id="15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8" descr=""/>
                                          <pic:cNvPicPr>
                                            <a:picLocks noChangeAspect="1" noChangeArrowheads="1"/>
                                          </pic:cNvPicPr>
                                        </pic:nvPicPr>
                                        <pic:blipFill>
                                          <a:blip r:embed="rId150"/>
                                          <a:stretch>
                                            <a:fillRect/>
                                          </a:stretch>
                                        </pic:blipFill>
                                        <pic:spPr bwMode="auto">
                                          <a:xfrm>
                                            <a:off x="0" y="0"/>
                                            <a:ext cx="457200" cy="95250"/>
                                          </a:xfrm>
                                          <a:prstGeom prst="rect">
                                            <a:avLst/>
                                          </a:prstGeom>
                                        </pic:spPr>
                                      </pic:pic>
                                    </a:graphicData>
                                  </a:graphic>
                                </wp:inline>
                              </w:drawing>
                            </w:r>
                            <w:bookmarkStart w:id="153" w:name="i-78"/>
                            <w:bookmarkEnd w:id="15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introduce additional restrictions and negatively impact our business.</w:t>
      </w:r>
      <w:r>
        <w:rPr>
          <w:color w:val="000000"/>
        </w:rPr>
        <w:t xml:space="preserve"> </w:t>
      </w:r>
      <w:r>
        <w:rPr>
          <w:rFonts w:ascii="Roboto;sans-serif" w:hAnsi="Roboto;sans-serif"/>
          <w:b w:val="false"/>
          <w:color w:val="000000"/>
          <w:sz w:val="20"/>
        </w:rPr>
        <w:t>For example, legislation in Congress known as the BIOSECURE Act was passed as part of the 2026 National Defense Authorization Act, which limits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This legislation, or similar laws and regulations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lineRule="auto" w:line="288" w:before="120" w:after="283"/>
        <w:jc w:val="both"/>
        <w:rPr/>
      </w:pPr>
      <w:r>
        <w:rPr>
          <w:rFonts w:ascii="Roboto;sans-serif" w:hAnsi="Roboto;sans-serif"/>
          <w:b w:val="false"/>
          <w:color w:val="000000"/>
          <w:sz w:val="20"/>
        </w:rPr>
        <w:t>Compliance with these laws and regulations may be costly. In addition, if we are found to be in violation of U.S. economic sanctions or trade control laws, it could result in fines and penalties. We may also be adversely affected through other penalties, business disruption, loss of export privileges, reputational harm, loss of access to certain markets, or otherwise.</w:t>
      </w:r>
      <w:r>
        <w:rPr>
          <w:color w:val="DF1995"/>
        </w:rPr>
        <w:t xml:space="preserv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It is possible that our ability to export our products to customers or distributors may be further restricted in the future. For example, on January 15, 2025, BIS issued an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Chinese government has introduced and may in the future introduce additional retaliatory measures in response to existing or future U.S. export controls, tariffs and other trade restrictions and it is possible that the Chinese, U.S., or other foreign governments will implement additional retaliatory measures which could impact our business. It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and foreign governments will act with respect to export controls, tariffs, international trade agreements and similar policies, there could be additional tax or other regulatory changes in the future. Any such changes could, directly or indirectly, adversely impact our financial results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international business could expose us to business, regulatory, political, operational, financial, and economic risks associated with doing business outside of the United States.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Engaging in international business inherently involves a number of difficulties and risks,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required compliance with existing and changing foreign regulatory requirements and laws that are or may be applicable to our business in the future, such as the European Union’s General Data Protection Regulation (“GDPR”), the UK General Data Protection Regulation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required compliance with U.S. laws such as the Foreign Corrupt Practices Act, and other U.S. federal laws and trade and economic sanctions and other regulations established by the Office of Foreign Asset Control;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export requirements and import or trade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12520"/>
                <wp:effectExtent l="0" t="0" r="0" b="0"/>
                <wp:wrapNone/>
                <wp:docPr id="222" name="Frame7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9" descr=""/>
                                                <pic:cNvPicPr>
                                                  <a:picLocks noChangeAspect="1" noChangeArrowheads="1"/>
                                                </pic:cNvPicPr>
                                              </pic:nvPicPr>
                                              <pic:blipFill>
                                                <a:blip r:embed="rId151"/>
                                                <a:stretch>
                                                  <a:fillRect/>
                                                </a:stretch>
                                              </pic:blipFill>
                                              <pic:spPr bwMode="auto">
                                                <a:xfrm>
                                                  <a:off x="0" y="0"/>
                                                  <a:ext cx="457200" cy="95250"/>
                                                </a:xfrm>
                                                <a:prstGeom prst="rect">
                                                  <a:avLst/>
                                                </a:prstGeom>
                                              </pic:spPr>
                                            </pic:pic>
                                          </a:graphicData>
                                        </a:graphic>
                                      </wp:inline>
                                    </w:drawing>
                                  </w:r>
                                  <w:bookmarkStart w:id="154" w:name="i-79"/>
                                  <w:bookmarkEnd w:id="15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9" descr=""/>
                                          <pic:cNvPicPr>
                                            <a:picLocks noChangeAspect="1" noChangeArrowheads="1"/>
                                          </pic:cNvPicPr>
                                        </pic:nvPicPr>
                                        <pic:blipFill>
                                          <a:blip r:embed="rId152"/>
                                          <a:stretch>
                                            <a:fillRect/>
                                          </a:stretch>
                                        </pic:blipFill>
                                        <pic:spPr bwMode="auto">
                                          <a:xfrm>
                                            <a:off x="0" y="0"/>
                                            <a:ext cx="457200" cy="95250"/>
                                          </a:xfrm>
                                          <a:prstGeom prst="rect">
                                            <a:avLst/>
                                          </a:prstGeom>
                                        </pic:spPr>
                                      </pic:pic>
                                    </a:graphicData>
                                  </a:graphic>
                                </wp:inline>
                              </w:drawing>
                            </w:r>
                            <w:bookmarkStart w:id="155" w:name="i-79"/>
                            <w:bookmarkEnd w:id="15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laws and business practices favoring local companies;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restrictions on both inbound and outbound cross-border investment;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foreign currency exchange, longer payment cycles and difficulties in enforcing agreements and collecting receivables through certain foreign legal systems;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ongoing geopolitical tensions related to the political uncertainty and military actions associated with the war in Ukraine, resulting sanctions imposed by the U.S. and other countries, and retaliatory actions taken by Russia in response to such sanctions;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potentially adverse tax consequences, tariffs, customs charges, bureaucratic requirements,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and costs of staffing and managing foreign operations;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protecting, maintaining, enforcing, or procuring intellectual property rights and defending against intellectual property claims under the law and judicial systems of other countries.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operations involve the use of hazardous materials, and we must comply with environmental, health and safety laws, which can be expensive and may adversely affect our business, operating results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Ethical, legal, privacy, data protection and social concerns or governmental restrictions surrounding the use of genetic information could reduce demand for our technology.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12520"/>
                <wp:effectExtent l="0" t="0" r="0" b="0"/>
                <wp:wrapNone/>
                <wp:docPr id="225" name="Frame7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80" descr=""/>
                                                <pic:cNvPicPr>
                                                  <a:picLocks noChangeAspect="1" noChangeArrowheads="1"/>
                                                </pic:cNvPicPr>
                                              </pic:nvPicPr>
                                              <pic:blipFill>
                                                <a:blip r:embed="rId153"/>
                                                <a:stretch>
                                                  <a:fillRect/>
                                                </a:stretch>
                                              </pic:blipFill>
                                              <pic:spPr bwMode="auto">
                                                <a:xfrm>
                                                  <a:off x="0" y="0"/>
                                                  <a:ext cx="457200" cy="95250"/>
                                                </a:xfrm>
                                                <a:prstGeom prst="rect">
                                                  <a:avLst/>
                                                </a:prstGeom>
                                              </pic:spPr>
                                            </pic:pic>
                                          </a:graphicData>
                                        </a:graphic>
                                      </wp:inline>
                                    </w:drawing>
                                  </w:r>
                                  <w:bookmarkStart w:id="156" w:name="i-80"/>
                                  <w:bookmarkEnd w:id="15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80" descr=""/>
                                          <pic:cNvPicPr>
                                            <a:picLocks noChangeAspect="1" noChangeArrowheads="1"/>
                                          </pic:cNvPicPr>
                                        </pic:nvPicPr>
                                        <pic:blipFill>
                                          <a:blip r:embed="rId154"/>
                                          <a:stretch>
                                            <a:fillRect/>
                                          </a:stretch>
                                        </pic:blipFill>
                                        <pic:spPr bwMode="auto">
                                          <a:xfrm>
                                            <a:off x="0" y="0"/>
                                            <a:ext cx="457200" cy="95250"/>
                                          </a:xfrm>
                                          <a:prstGeom prst="rect">
                                            <a:avLst/>
                                          </a:prstGeom>
                                        </pic:spPr>
                                      </pic:pic>
                                    </a:graphicData>
                                  </a:graphic>
                                </wp:inline>
                              </w:drawing>
                            </w:r>
                            <w:bookmarkStart w:id="157" w:name="i-80"/>
                            <w:bookmarkEnd w:id="15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any of which could have a material adverse effect on our business, financial condition, and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Regulations related to conflict minerals has caused us to incur, and will continue to cause us to incur, additional expenses and could limit the supply and increase the costs of certain materials used in the manufacture of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to requirements under the Dodd-Frank Wall Street Reform and Consumer Protection Act of 2010 that require us to conduct diligence and report on whether or not our products contain conflict minerals.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tbl>
      <w:tblPr>
        <w:tblW w:w="5775" w:type="dxa"/>
        <w:jc w:val="left"/>
        <w:tblInd w:w="0" w:type="dxa"/>
        <w:tblLayout w:type="fixed"/>
        <w:tblCellMar>
          <w:top w:w="28" w:type="dxa"/>
          <w:left w:w="28" w:type="dxa"/>
          <w:bottom w:w="28" w:type="dxa"/>
          <w:right w:w="28" w:type="dxa"/>
        </w:tblCellMar>
      </w:tblPr>
      <w:tblGrid>
        <w:gridCol w:w="1846"/>
        <w:gridCol w:w="1625"/>
        <w:gridCol w:w="2304"/>
      </w:tblGrid>
      <w:tr>
        <w:trPr/>
        <w:tc>
          <w:tcPr>
            <w:tcW w:w="184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Owning Our Common Stock</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The price of our common stock has been, is, and may continue to be, highly volatile, and you may be unable to sell your shares at or above the price you paid to acquire them.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market price of our common stock is highly volatile, and we expect it to continue to be volatile for the foreseeable future in response to many risk factors listed in this section, and others beyond our control, including:</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actual or anticipated fluctuations in our financial condition and operating results;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of new products, technological innovations or strategic partnerships by us or our competitors;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by us, our customers, partners, or suppliers relating directly or indirectly to our products, services or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overall conditions in our industry and market;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addition or loss of significant customers;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laws or regulations applicable to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actual or anticipated changes in our growth rate relative to our competitors;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announcements by us or our competitors of significant acquisitions, strategic partnerships, joint ventures, capital commitments or achievement of significant milestones;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additions or departures of key personnel;</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competition from existing products or new products that may emerge;</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issuance of new or updated research or reports by securities analysts;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disputes or other developments related to proprietary rights, including patents, litigation matters or our ability to obtain intellectual property protection for our technologies;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announcement or expectation of additional financing efforts;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sales of our common stock by us or our stockholders;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stock price and volume fluctuations attributable to inconsistent trading volume levels of our shares;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reports, guidance and ratings issued by securities or industry analysts;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12520"/>
                <wp:effectExtent l="0" t="0" r="0" b="0"/>
                <wp:wrapNone/>
                <wp:docPr id="228" name="Frame7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2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81" descr=""/>
                                                <pic:cNvPicPr>
                                                  <a:picLocks noChangeAspect="1" noChangeArrowheads="1"/>
                                                </pic:cNvPicPr>
                                              </pic:nvPicPr>
                                              <pic:blipFill>
                                                <a:blip r:embed="rId155"/>
                                                <a:stretch>
                                                  <a:fillRect/>
                                                </a:stretch>
                                              </pic:blipFill>
                                              <pic:spPr bwMode="auto">
                                                <a:xfrm>
                                                  <a:off x="0" y="0"/>
                                                  <a:ext cx="457200" cy="95250"/>
                                                </a:xfrm>
                                                <a:prstGeom prst="rect">
                                                  <a:avLst/>
                                                </a:prstGeom>
                                              </pic:spPr>
                                            </pic:pic>
                                          </a:graphicData>
                                        </a:graphic>
                                      </wp:inline>
                                    </w:drawing>
                                  </w:r>
                                  <w:bookmarkStart w:id="158" w:name="i-81"/>
                                  <w:bookmarkEnd w:id="15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1" descr=""/>
                                          <pic:cNvPicPr>
                                            <a:picLocks noChangeAspect="1" noChangeArrowheads="1"/>
                                          </pic:cNvPicPr>
                                        </pic:nvPicPr>
                                        <pic:blipFill>
                                          <a:blip r:embed="rId156"/>
                                          <a:stretch>
                                            <a:fillRect/>
                                          </a:stretch>
                                        </pic:blipFill>
                                        <pic:spPr bwMode="auto">
                                          <a:xfrm>
                                            <a:off x="0" y="0"/>
                                            <a:ext cx="457200" cy="95250"/>
                                          </a:xfrm>
                                          <a:prstGeom prst="rect">
                                            <a:avLst/>
                                          </a:prstGeom>
                                        </pic:spPr>
                                      </pic:pic>
                                    </a:graphicData>
                                  </a:graphic>
                                </wp:inline>
                              </w:drawing>
                            </w:r>
                            <w:bookmarkStart w:id="159" w:name="i-81"/>
                            <w:bookmarkEnd w:id="15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operating results below the expectations of securities analysts or investors;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 xml:space="preserve">general economic and market conditions, which could be impacted by various events including health epidemics or pandemics, interest rate fluctuations, increases in fuel prices, foreign currency fluctuations, changing international trade policies, acts of terrorism, hostilities or the perception that hostilities may be imminent, and military conflict and acts of war.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any of the foregoing occurs, it would cause our stock price or trading volume to decline. Stock markets in general and the market for companies in our industry in particular have experienced price and volume fluctuations; these fluctuations have been, and may continue to be, exacerbated by current macroeconomic trends and geopolitical events.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if our stockholders sell, or indicate an intent to sell, a large number of shares of our common stock in the public market, it could cause our stock price to fall, particularly if such sales occur over a short period of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Concentration of ownership by our principal stockholders may result in control by such stockholders of the composition of our board of directors.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existing principal stockholders, holders of Notes, executive officers, directors, and their affiliates beneficially own, or following conversion of the Notes could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authorize our board of directors to issue, without further action by the stockholders, up to 50,000,000 shares of undesignated preferred stock and up to approximately 1,000,000,000 shares of authorized but unissued shares of common stock;</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require that any action to be taken by our stockholders be effected at a duly called annual or special meeting and not by written consent;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12520"/>
                <wp:effectExtent l="0" t="0" r="0" b="0"/>
                <wp:wrapNone/>
                <wp:docPr id="231" name="Frame7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2" descr=""/>
                                                <pic:cNvPicPr>
                                                  <a:picLocks noChangeAspect="1" noChangeArrowheads="1"/>
                                                </pic:cNvPicPr>
                                              </pic:nvPicPr>
                                              <pic:blipFill>
                                                <a:blip r:embed="rId157"/>
                                                <a:stretch>
                                                  <a:fillRect/>
                                                </a:stretch>
                                              </pic:blipFill>
                                              <pic:spPr bwMode="auto">
                                                <a:xfrm>
                                                  <a:off x="0" y="0"/>
                                                  <a:ext cx="457200" cy="95250"/>
                                                </a:xfrm>
                                                <a:prstGeom prst="rect">
                                                  <a:avLst/>
                                                </a:prstGeom>
                                              </pic:spPr>
                                            </pic:pic>
                                          </a:graphicData>
                                        </a:graphic>
                                      </wp:inline>
                                    </w:drawing>
                                  </w:r>
                                  <w:bookmarkStart w:id="160" w:name="i-82"/>
                                  <w:bookmarkEnd w:id="16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82" descr=""/>
                                          <pic:cNvPicPr>
                                            <a:picLocks noChangeAspect="1" noChangeArrowheads="1"/>
                                          </pic:cNvPicPr>
                                        </pic:nvPicPr>
                                        <pic:blipFill>
                                          <a:blip r:embed="rId158"/>
                                          <a:stretch>
                                            <a:fillRect/>
                                          </a:stretch>
                                        </pic:blipFill>
                                        <pic:spPr bwMode="auto">
                                          <a:xfrm>
                                            <a:off x="0" y="0"/>
                                            <a:ext cx="457200" cy="95250"/>
                                          </a:xfrm>
                                          <a:prstGeom prst="rect">
                                            <a:avLst/>
                                          </a:prstGeom>
                                        </pic:spPr>
                                      </pic:pic>
                                    </a:graphicData>
                                  </a:graphic>
                                </wp:inline>
                              </w:drawing>
                            </w:r>
                            <w:bookmarkStart w:id="161" w:name="i-82"/>
                            <w:bookmarkEnd w:id="16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specify that special meetings of our stockholders can be called only by our board of directors, the Chair of the Board, the Chief Executive Officer or the President;</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establish advance notice procedures for stockholder approvals to be brought before an annual meeting of our stockholders, including proposed nominations of persons for election to our board of directors;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establish that our board of directors is divided into three classes, Class I, Class II and Class III, with each class serving staggered terms (until our board of directors is fully declassified beginning with the 2027 annual meeting of stockholders);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that our directors may be removed only for cause;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provide that vacancies on our board of directors may be filled only by a majority of directors then in office, even though less than a quorum.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 through (v) above, for any claim as to which such court determines that there is an indispensable party not subject to the jurisdiction of such court.</w:t>
      </w:r>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12520"/>
                <wp:effectExtent l="0" t="0" r="0" b="0"/>
                <wp:wrapNone/>
                <wp:docPr id="234" name="Frame7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3" descr=""/>
                                                <pic:cNvPicPr>
                                                  <a:picLocks noChangeAspect="1" noChangeArrowheads="1"/>
                                                </pic:cNvPicPr>
                                              </pic:nvPicPr>
                                              <pic:blipFill>
                                                <a:blip r:embed="rId159"/>
                                                <a:stretch>
                                                  <a:fillRect/>
                                                </a:stretch>
                                              </pic:blipFill>
                                              <pic:spPr bwMode="auto">
                                                <a:xfrm>
                                                  <a:off x="0" y="0"/>
                                                  <a:ext cx="457200" cy="95250"/>
                                                </a:xfrm>
                                                <a:prstGeom prst="rect">
                                                  <a:avLst/>
                                                </a:prstGeom>
                                              </pic:spPr>
                                            </pic:pic>
                                          </a:graphicData>
                                        </a:graphic>
                                      </wp:inline>
                                    </w:drawing>
                                  </w:r>
                                  <w:bookmarkStart w:id="162" w:name="i-83"/>
                                  <w:bookmarkEnd w:id="16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83" descr=""/>
                                          <pic:cNvPicPr>
                                            <a:picLocks noChangeAspect="1" noChangeArrowheads="1"/>
                                          </pic:cNvPicPr>
                                        </pic:nvPicPr>
                                        <pic:blipFill>
                                          <a:blip r:embed="rId160"/>
                                          <a:stretch>
                                            <a:fillRect/>
                                          </a:stretch>
                                        </pic:blipFill>
                                        <pic:spPr bwMode="auto">
                                          <a:xfrm>
                                            <a:off x="0" y="0"/>
                                            <a:ext cx="457200" cy="95250"/>
                                          </a:xfrm>
                                          <a:prstGeom prst="rect">
                                            <a:avLst/>
                                          </a:prstGeom>
                                        </pic:spPr>
                                      </pic:pic>
                                    </a:graphicData>
                                  </a:graphic>
                                </wp:inline>
                              </w:drawing>
                            </w:r>
                            <w:bookmarkStart w:id="163" w:name="i-83"/>
                            <w:bookmarkEnd w:id="16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large number of authorized but unissued shares of common stock may potentially dilute existing stockholders’ stockholdings.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do not intend to pay dividends for the foreseeable future.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tbl>
      <w:tblPr>
        <w:tblW w:w="3570" w:type="dxa"/>
        <w:jc w:val="left"/>
        <w:tblInd w:w="0" w:type="dxa"/>
        <w:tblLayout w:type="fixed"/>
        <w:tblCellMar>
          <w:top w:w="28" w:type="dxa"/>
          <w:left w:w="28" w:type="dxa"/>
          <w:bottom w:w="28" w:type="dxa"/>
          <w:right w:w="28" w:type="dxa"/>
        </w:tblCellMar>
      </w:tblPr>
      <w:tblGrid>
        <w:gridCol w:w="1142"/>
        <w:gridCol w:w="1004"/>
        <w:gridCol w:w="1424"/>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Risks Related to Our Notes</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2026, we had outstanding approximately $200.0 million aggregate principal amount of our 2029 Notes and $441.0 million aggregate principal amount of our 2030 Notes. The 2029 Notes will mature on August 15, 2029, subject to earlier conversion, redemption or repurchase, including upon a fundamental change. The 2030 Notes will mature on December 15, 2030, subject to earlier conversion, redemption or repurchase, including upon a fundamental change. The 2029 Notes and the 2030 Notes are collectively referred to as the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Holders of each series of Notes will have the right to require us to repurchase all or a portion of their Notes upon the occurrence of a fundamental change before the maturity date at a repurchase price equal to 100% of the principal amount of the Notes of the applicable series to be repurchased, plus unpaid interest to, but excluding, the applicable maturity date. In addition, upon conversion of the Notes of a series,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of the applicable series in cash at the applicable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12520"/>
                <wp:effectExtent l="0" t="0" r="0" b="0"/>
                <wp:wrapNone/>
                <wp:docPr id="237" name="Frame7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4" descr=""/>
                                                <pic:cNvPicPr>
                                                  <a:picLocks noChangeAspect="1" noChangeArrowheads="1"/>
                                                </pic:cNvPicPr>
                                              </pic:nvPicPr>
                                              <pic:blipFill>
                                                <a:blip r:embed="rId161"/>
                                                <a:stretch>
                                                  <a:fillRect/>
                                                </a:stretch>
                                              </pic:blipFill>
                                              <pic:spPr bwMode="auto">
                                                <a:xfrm>
                                                  <a:off x="0" y="0"/>
                                                  <a:ext cx="457200" cy="95250"/>
                                                </a:xfrm>
                                                <a:prstGeom prst="rect">
                                                  <a:avLst/>
                                                </a:prstGeom>
                                              </pic:spPr>
                                            </pic:pic>
                                          </a:graphicData>
                                        </a:graphic>
                                      </wp:inline>
                                    </w:drawing>
                                  </w:r>
                                  <w:bookmarkStart w:id="164" w:name="i-84"/>
                                  <w:bookmarkEnd w:id="16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3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4" descr=""/>
                                          <pic:cNvPicPr>
                                            <a:picLocks noChangeAspect="1" noChangeArrowheads="1"/>
                                          </pic:cNvPicPr>
                                        </pic:nvPicPr>
                                        <pic:blipFill>
                                          <a:blip r:embed="rId162"/>
                                          <a:stretch>
                                            <a:fillRect/>
                                          </a:stretch>
                                        </pic:blipFill>
                                        <pic:spPr bwMode="auto">
                                          <a:xfrm>
                                            <a:off x="0" y="0"/>
                                            <a:ext cx="457200" cy="95250"/>
                                          </a:xfrm>
                                          <a:prstGeom prst="rect">
                                            <a:avLst/>
                                          </a:prstGeom>
                                        </pic:spPr>
                                      </pic:pic>
                                    </a:graphicData>
                                  </a:graphic>
                                </wp:inline>
                              </w:drawing>
                            </w:r>
                            <w:bookmarkStart w:id="165" w:name="i-84"/>
                            <w:bookmarkEnd w:id="16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our ability to repurchase the Notes or to pay cash upon conversions of Notes or at the applicable maturity may be limited by law, regulatory authority or agreements governing our future indebtedness. Our failure to repurchase Notes of a series at a time when the repurchase is required by the applicable indenture or to pay cash upon conversions of such Notes or at the applicable maturity as required by the applicable indenture would constitute a default under such indenture. A default under either indenture or the occurrence of a fundamental change under either indenture itself could also lead to a default under agreements governing our future indebtedness. Moreover, the occurrence of a fundamental change under either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applicable series of Notes.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The Side Letter to our 2029 Notes imposes operating restrictions on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November 21, 2024, in connection with the issuance of the 2029 Notes, the Company and SB Northstar LP (“SBN”) entered into a letter agreement (the “Letter Agreement”) pursuant to which the Company and SBN agreed that, for so long as SBN and its affiliates hold at least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 amount of secured indebtedness pursuant to Credit Facilities (as defined in the Letter Agreement).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Additionally, the Letter Agreement restricts the ability of the Company and its subsidiaries from guaranteeing any indebtedness or incurring certain indebtedness outside of the ordinary course of business unless, in each case, the Company and its subsidiaries concurrently provide a guarantee of the Company’s obligations under the 2029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These covenants may adversely affect our ability to finance our operations, meet or otherwise address our capital needs, pursue business opportunities or react to market conditions, or otherwise restrict our activities or business plans.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breach of any of the covenants under the Letter Agreement could result in an event of default under the 2029 Notes. As of June 30, 2026, we were in compliance with all covenants under the Letter Agreement. However, if an event of default occurs, SBN could accelerate our obligations under the 2029 Notes. Any such acceleration could result in an event of default under our other indebtedness, including the 2030 Notes.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the Notes are converted, it may adversely affect our financial condition and operating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Holders of either series of Notes are entitled to convert their respective series of Notes at any time at their option. If one or more holders elect to convert the Notes of the applicable series,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12520"/>
                <wp:effectExtent l="0" t="0" r="0" b="0"/>
                <wp:wrapNone/>
                <wp:docPr id="240" name="Frame7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5" descr=""/>
                                                <pic:cNvPicPr>
                                                  <a:picLocks noChangeAspect="1" noChangeArrowheads="1"/>
                                                </pic:cNvPicPr>
                                              </pic:nvPicPr>
                                              <pic:blipFill>
                                                <a:blip r:embed="rId163"/>
                                                <a:stretch>
                                                  <a:fillRect/>
                                                </a:stretch>
                                              </pic:blipFill>
                                              <pic:spPr bwMode="auto">
                                                <a:xfrm>
                                                  <a:off x="0" y="0"/>
                                                  <a:ext cx="457200" cy="95250"/>
                                                </a:xfrm>
                                                <a:prstGeom prst="rect">
                                                  <a:avLst/>
                                                </a:prstGeom>
                                              </pic:spPr>
                                            </pic:pic>
                                          </a:graphicData>
                                        </a:graphic>
                                      </wp:inline>
                                    </w:drawing>
                                  </w:r>
                                  <w:bookmarkStart w:id="166" w:name="i-85"/>
                                  <w:bookmarkEnd w:id="16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5" descr=""/>
                                          <pic:cNvPicPr>
                                            <a:picLocks noChangeAspect="1" noChangeArrowheads="1"/>
                                          </pic:cNvPicPr>
                                        </pic:nvPicPr>
                                        <pic:blipFill>
                                          <a:blip r:embed="rId164"/>
                                          <a:stretch>
                                            <a:fillRect/>
                                          </a:stretch>
                                        </pic:blipFill>
                                        <pic:spPr bwMode="auto">
                                          <a:xfrm>
                                            <a:off x="0" y="0"/>
                                            <a:ext cx="457200" cy="95250"/>
                                          </a:xfrm>
                                          <a:prstGeom prst="rect">
                                            <a:avLst/>
                                          </a:prstGeom>
                                        </pic:spPr>
                                      </pic:pic>
                                    </a:graphicData>
                                  </a:graphic>
                                </wp:inline>
                              </w:drawing>
                            </w:r>
                            <w:bookmarkStart w:id="167" w:name="i-85"/>
                            <w:bookmarkEnd w:id="16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2760" w:type="dxa"/>
        <w:jc w:val="left"/>
        <w:tblInd w:w="0" w:type="dxa"/>
        <w:tblLayout w:type="fixed"/>
        <w:tblCellMar>
          <w:top w:w="28" w:type="dxa"/>
          <w:left w:w="28" w:type="dxa"/>
          <w:bottom w:w="28" w:type="dxa"/>
          <w:right w:w="28" w:type="dxa"/>
        </w:tblCellMar>
      </w:tblPr>
      <w:tblGrid>
        <w:gridCol w:w="883"/>
        <w:gridCol w:w="776"/>
        <w:gridCol w:w="1101"/>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bottom w:val="dotted" w:sz="8" w:space="0" w:color="1383C6"/>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1383C6"/>
                <w:sz w:val="22"/>
              </w:rPr>
            </w:pPr>
            <w:r>
              <w:rPr>
                <w:rFonts w:ascii="Roboto;sans-serif" w:hAnsi="Roboto;sans-serif"/>
                <w:b/>
                <w:color w:val="1383C6"/>
                <w:sz w:val="22"/>
              </w:rPr>
              <w:t>General Risk Factors</w:t>
            </w:r>
          </w:p>
        </w:tc>
      </w:tr>
    </w:tbl>
    <w:p>
      <w:pPr>
        <w:pStyle w:val="TextBody"/>
        <w:bidi w:val="0"/>
        <w:spacing w:lineRule="auto" w:line="288" w:before="120" w:after="283"/>
        <w:jc w:val="both"/>
        <w:rPr>
          <w:rFonts w:ascii="Roboto;sans-serif" w:hAnsi="Roboto;sans-serif"/>
          <w:b/>
          <w:i/>
          <w:color w:val="DF1995"/>
          <w:sz w:val="20"/>
        </w:rPr>
      </w:pPr>
      <w:r>
        <w:rPr>
          <w:rFonts w:ascii="Roboto;sans-serif" w:hAnsi="Roboto;sans-serif"/>
          <w:b/>
          <w:i/>
          <w:color w:val="DF1995"/>
          <w:sz w:val="20"/>
        </w:rPr>
        <w:t>Unfavorable global economic or political conditions could adversely affect our business, financial condition or results of operations.</w:t>
      </w:r>
    </w:p>
    <w:p>
      <w:pPr>
        <w:pStyle w:val="TextBody"/>
        <w:bidi w:val="0"/>
        <w:spacing w:lineRule="auto" w:line="288" w:before="0" w:after="0"/>
        <w:jc w:val="both"/>
        <w:rPr/>
      </w:pPr>
      <w:r>
        <w:rPr>
          <w:rFonts w:ascii="Roboto;sans-serif" w:hAnsi="Roboto;sans-serif"/>
          <w:b w:val="false"/>
          <w:color w:val="000000"/>
          <w:sz w:val="20"/>
        </w:rPr>
        <w:t>General conditions in the global economy and in the global financial markets could adversely affect our results of operations, and the overall demand for nucleic acid sequencing products may be particularly vulnerable to unfavorable economic conditions. A global financial crisis, inflation or a global or regional political disruption, acts of terrorism, hostilities, military conflict and acts of war, including any further escalation of the conflicts in the Middle East (including Iran) and the war in Ukraine, as well as the related responses, could cause extreme volatility in the capital and credit markets, and disrupt shipping lanes. We have experienced and may continue to experience negative impacts from the conflicts in the Middle East (including Iran) on delivering and installing products at customer locations adversely affected by such conflicts.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 impairment in value of our tangible or intangible assets could also be recorded as a result of weaker economic conditions. Any of the foregoing could harm our business and we cannot anticipate all of the ways in which the political or economic climate and financial market conditions could adversely impact our business. For more information on impairment considerations, see “</w:t>
      </w:r>
      <w:r>
        <w:rPr>
          <w:color w:val="000000"/>
        </w:rPr>
        <w:t>—</w:t>
      </w:r>
      <w:hyperlink w:anchor="i29333b647e3941e3b564cb5ee85e3f87_198501">
        <w:r>
          <w:rPr>
            <w:rStyle w:val="InternetLink"/>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w:t>
        </w:r>
      </w:hyperlink>
      <w:hyperlink w:anchor="i29333b647e3941e3b564cb5ee85e3f87_198501">
        <w:r>
          <w:rPr>
            <w:rStyle w:val="InternetLink"/>
          </w:rPr>
          <w:t>ns</w:t>
        </w:r>
      </w:hyperlink>
      <w:r>
        <w:rPr>
          <w:rFonts w:ascii="Roboto;sans-serif" w:hAnsi="Roboto;sans-serif"/>
          <w:b w:val="false"/>
          <w:i/>
          <w:color w:val="000000"/>
          <w:sz w:val="20"/>
        </w:rPr>
        <w:t>.</w:t>
      </w:r>
      <w:r>
        <w:rPr>
          <w:color w:val="000000"/>
        </w:rPr>
        <w:t xml:space="preserve">” </w:t>
      </w:r>
      <w:r>
        <w:rPr>
          <w:rFonts w:ascii="Roboto;sans-serif" w:hAnsi="Roboto;sans-serif"/>
          <w:b w:val="false"/>
          <w:color w:val="000000"/>
          <w:sz w:val="20"/>
        </w:rPr>
        <w:t>above.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Delivery of our products could be delayed or disrupted by factors beyond our control, and we could lose customers as a result.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Doing business internationally creates operational and financial risks for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challenges in staffing and managing foreign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potentially longer sales cycles and more time required to engage and educate customers on the benefits of our platform outside of the United States;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the potential need for localized software and documentation;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reduced protection for intellectual property rights in some countries and practical difficulties of enforcing intellectual property and contract rights abroad;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challenges with defending against intellectual property claims in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12520"/>
                <wp:effectExtent l="0" t="0" r="0" b="0"/>
                <wp:wrapNone/>
                <wp:docPr id="243" name="Frame8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6" descr=""/>
                                                <pic:cNvPicPr>
                                                  <a:picLocks noChangeAspect="1" noChangeArrowheads="1"/>
                                                </pic:cNvPicPr>
                                              </pic:nvPicPr>
                                              <pic:blipFill>
                                                <a:blip r:embed="rId165"/>
                                                <a:stretch>
                                                  <a:fillRect/>
                                                </a:stretch>
                                              </pic:blipFill>
                                              <pic:spPr bwMode="auto">
                                                <a:xfrm>
                                                  <a:off x="0" y="0"/>
                                                  <a:ext cx="457200" cy="95250"/>
                                                </a:xfrm>
                                                <a:prstGeom prst="rect">
                                                  <a:avLst/>
                                                </a:prstGeom>
                                              </pic:spPr>
                                            </pic:pic>
                                          </a:graphicData>
                                        </a:graphic>
                                      </wp:inline>
                                    </w:drawing>
                                  </w:r>
                                  <w:bookmarkStart w:id="168" w:name="i-86"/>
                                  <w:bookmarkEnd w:id="16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6" descr=""/>
                                          <pic:cNvPicPr>
                                            <a:picLocks noChangeAspect="1" noChangeArrowheads="1"/>
                                          </pic:cNvPicPr>
                                        </pic:nvPicPr>
                                        <pic:blipFill>
                                          <a:blip r:embed="rId166"/>
                                          <a:stretch>
                                            <a:fillRect/>
                                          </a:stretch>
                                        </pic:blipFill>
                                        <pic:spPr bwMode="auto">
                                          <a:xfrm>
                                            <a:off x="0" y="0"/>
                                            <a:ext cx="457200" cy="95250"/>
                                          </a:xfrm>
                                          <a:prstGeom prst="rect">
                                            <a:avLst/>
                                          </a:prstGeom>
                                        </pic:spPr>
                                      </pic:pic>
                                    </a:graphicData>
                                  </a:graphic>
                                </wp:inline>
                              </w:drawing>
                            </w:r>
                            <w:bookmarkStart w:id="169" w:name="i-86"/>
                            <w:bookmarkEnd w:id="16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restrictions on both inbound and outbound cross-border investment, including enhanced oversight by the Committee on Foreign Investment in the United States (“CFIUS”) and substantial restrictions on investment from China;</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U.S. and foreign government trade restrictions, including those which may impose restrictions on the importation, exportation, re-exportation, sale, shipment or other transfer of programming, technology, components, and/or services to foreign persons;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diplomatic and trade relationships, including new, increased, or enhanced tariffs, trade protection measures, import or export licensing requirements, trade embargoes, sanctions, and other trade barriers;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tariffs imposed by the U.S. on goods from other countries and tariffs imposed by other countries on U.S. goods, which may be imposed on products such as ours, the amount, scope, and duration of which, if implemented, remains uncertain;</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deterioration of political relations among, between, and within the U.S., Russia, China, Japan, Korea, Mexico, Canada, the United Kingdom (“U.K.”), and the European Union ("E.U."), which could have a material adverse effect on our sales and operations in these countries;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changes in social, political, and economic conditions or in laws, regulations and policies governing foreign trade, manufacturing, development, and investment both domestically as well as in the other countries and jurisdictions into which we sell our products;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difficulties in obtaining export licenses or in overcoming other trade barriers and restrictions resulting in delivery delays;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fluctuations in currency exchange rates and the related effect on our results of operations;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increased financial accounting and reporting burdens and complexities;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limits to travel as a result of epidemics or pandemics;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disruptions to global trade due to disease outbreaks or conflicts;</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potential increases on tariffs or restrictions on trade generally; and</w:t>
      </w:r>
    </w:p>
    <w:p>
      <w:pPr>
        <w:pStyle w:val="TextBody"/>
        <w:bidi w:val="0"/>
        <w:spacing w:lineRule="auto" w:line="288" w:before="120" w:after="283"/>
        <w:ind w:left="0" w:right="0" w:hanging="360"/>
        <w:jc w:val="both"/>
        <w:rPr/>
      </w:pPr>
      <w:r>
        <w:rPr>
          <w:color w:val="DF1995"/>
        </w:rPr>
        <w:t>•</w:t>
      </w:r>
      <w:r>
        <w:rPr>
          <w:rFonts w:ascii="Roboto;sans-serif" w:hAnsi="Roboto;sans-serif"/>
          <w:b w:val="false"/>
          <w:color w:val="000000"/>
          <w:sz w:val="20"/>
        </w:rPr>
        <w:t>significant taxes or other burdens of complying with a variety of foreign laws and regulations, including laws and regulations relating to privacy and data protection such as the E.U. General Data Protection Regulation.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applicable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12520"/>
                <wp:effectExtent l="0" t="0" r="0" b="0"/>
                <wp:wrapNone/>
                <wp:docPr id="246" name="Frame81"/>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7" descr=""/>
                                                <pic:cNvPicPr>
                                                  <a:picLocks noChangeAspect="1" noChangeArrowheads="1"/>
                                                </pic:cNvPicPr>
                                              </pic:nvPicPr>
                                              <pic:blipFill>
                                                <a:blip r:embed="rId167"/>
                                                <a:stretch>
                                                  <a:fillRect/>
                                                </a:stretch>
                                              </pic:blipFill>
                                              <pic:spPr bwMode="auto">
                                                <a:xfrm>
                                                  <a:off x="0" y="0"/>
                                                  <a:ext cx="457200" cy="95250"/>
                                                </a:xfrm>
                                                <a:prstGeom prst="rect">
                                                  <a:avLst/>
                                                </a:prstGeom>
                                              </pic:spPr>
                                            </pic:pic>
                                          </a:graphicData>
                                        </a:graphic>
                                      </wp:inline>
                                    </w:drawing>
                                  </w:r>
                                  <w:bookmarkStart w:id="170" w:name="i-87"/>
                                  <w:bookmarkEnd w:id="17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4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7" descr=""/>
                                          <pic:cNvPicPr>
                                            <a:picLocks noChangeAspect="1" noChangeArrowheads="1"/>
                                          </pic:cNvPicPr>
                                        </pic:nvPicPr>
                                        <pic:blipFill>
                                          <a:blip r:embed="rId168"/>
                                          <a:stretch>
                                            <a:fillRect/>
                                          </a:stretch>
                                        </pic:blipFill>
                                        <pic:spPr bwMode="auto">
                                          <a:xfrm>
                                            <a:off x="0" y="0"/>
                                            <a:ext cx="457200" cy="95250"/>
                                          </a:xfrm>
                                          <a:prstGeom prst="rect">
                                            <a:avLst/>
                                          </a:prstGeom>
                                        </pic:spPr>
                                      </pic:pic>
                                    </a:graphicData>
                                  </a:graphic>
                                </wp:inline>
                              </w:drawing>
                            </w:r>
                            <w:bookmarkStart w:id="171" w:name="i-87"/>
                            <w:bookmarkEnd w:id="17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If we fail to maintain proper and effective internal controls, our ability to produce accurate financial statements on a timely basis could be impaired, which would adversely affect our business and our stock price.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business could be negatively impacted by changes in the United States political environment.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depend on the availability of genetic data and its utilization in clinical research by academic and governmental research institutions, commercial testing and service laboratories, genome centers, public health labs, hospitals and clinical research institutes, CROs, pharmaceutical companies, and agricultural companies. As a result, changes in the regulatory environment affecting such institutions could adversely affect our business or results of operations. For example, reduced allocations to government agencies that fund research and development activities, such as the recent announcements regarding NIH funding involving a cap on the institute’s indirect funding rates, or targeted cancellations by the U.S. federal government of certain grants or contracts may significantly impact the markets in which we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12520"/>
                <wp:effectExtent l="0" t="0" r="0" b="0"/>
                <wp:wrapNone/>
                <wp:docPr id="249" name="Frame82"/>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8" descr=""/>
                                                <pic:cNvPicPr>
                                                  <a:picLocks noChangeAspect="1" noChangeArrowheads="1"/>
                                                </pic:cNvPicPr>
                                              </pic:nvPicPr>
                                              <pic:blipFill>
                                                <a:blip r:embed="rId169"/>
                                                <a:stretch>
                                                  <a:fillRect/>
                                                </a:stretch>
                                              </pic:blipFill>
                                              <pic:spPr bwMode="auto">
                                                <a:xfrm>
                                                  <a:off x="0" y="0"/>
                                                  <a:ext cx="457200" cy="95250"/>
                                                </a:xfrm>
                                                <a:prstGeom prst="rect">
                                                  <a:avLst/>
                                                </a:prstGeom>
                                              </pic:spPr>
                                            </pic:pic>
                                          </a:graphicData>
                                        </a:graphic>
                                      </wp:inline>
                                    </w:drawing>
                                  </w:r>
                                  <w:bookmarkStart w:id="172" w:name="i-88"/>
                                  <w:bookmarkEnd w:id="17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8" descr=""/>
                                          <pic:cNvPicPr>
                                            <a:picLocks noChangeAspect="1" noChangeArrowheads="1"/>
                                          </pic:cNvPicPr>
                                        </pic:nvPicPr>
                                        <pic:blipFill>
                                          <a:blip r:embed="rId170"/>
                                          <a:stretch>
                                            <a:fillRect/>
                                          </a:stretch>
                                        </pic:blipFill>
                                        <pic:spPr bwMode="auto">
                                          <a:xfrm>
                                            <a:off x="0" y="0"/>
                                            <a:ext cx="457200" cy="95250"/>
                                          </a:xfrm>
                                          <a:prstGeom prst="rect">
                                            <a:avLst/>
                                          </a:prstGeom>
                                        </pic:spPr>
                                      </pic:pic>
                                    </a:graphicData>
                                  </a:graphic>
                                </wp:inline>
                              </w:drawing>
                            </w:r>
                            <w:bookmarkStart w:id="173" w:name="i-88"/>
                            <w:bookmarkEnd w:id="17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is significant ongoing uncertainty with respect to potential legislation, regulation and government policy at the federal level, as well as the state and local levels. Specific legislative and regulatory proposals discussed or implemented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operations and financial condition could be materially and adversely impacted in the future.</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Disruption of critical information technology systems or material breaches in the security of our systems could harm our business, customer relations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political uncertainty, war and other international conflicts, including the conflicts in the Middle East (including Iran) and the war in Ukraine. In addition, due to recent hostilities in the Middle East (including Iran) and elsewhere, certain companies have become more frequent targets of cyberattacks. While incidents of cybersecurity breaches have not significantly impacted our IT systems, or to our knowledge our supply chain, we continue to monitor such risks given their potential to disrupt our and our suppliers’ operations and logistics networks.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 Some of our IT infrastructure still utilizes outdated legacy systems, software and hardware, some of which may be approaching end-of-life or end of support, and that may be particularly susceptible to cybersecurity breaches, errors and operational failures. Upgrading, replacing and enhancing such infrastructure may be expensive and put the continuity of our operations at risk while a failure to do so may make us more susceptible to the risks discussed above.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12520"/>
                <wp:effectExtent l="0" t="0" r="0" b="0"/>
                <wp:wrapNone/>
                <wp:docPr id="252" name="Frame83"/>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9" descr=""/>
                                                <pic:cNvPicPr>
                                                  <a:picLocks noChangeAspect="1" noChangeArrowheads="1"/>
                                                </pic:cNvPicPr>
                                              </pic:nvPicPr>
                                              <pic:blipFill>
                                                <a:blip r:embed="rId171"/>
                                                <a:stretch>
                                                  <a:fillRect/>
                                                </a:stretch>
                                              </pic:blipFill>
                                              <pic:spPr bwMode="auto">
                                                <a:xfrm>
                                                  <a:off x="0" y="0"/>
                                                  <a:ext cx="457200" cy="95250"/>
                                                </a:xfrm>
                                                <a:prstGeom prst="rect">
                                                  <a:avLst/>
                                                </a:prstGeom>
                                              </pic:spPr>
                                            </pic:pic>
                                          </a:graphicData>
                                        </a:graphic>
                                      </wp:inline>
                                    </w:drawing>
                                  </w:r>
                                  <w:bookmarkStart w:id="174" w:name="i-89"/>
                                  <w:bookmarkEnd w:id="17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9" descr=""/>
                                          <pic:cNvPicPr>
                                            <a:picLocks noChangeAspect="1" noChangeArrowheads="1"/>
                                          </pic:cNvPicPr>
                                        </pic:nvPicPr>
                                        <pic:blipFill>
                                          <a:blip r:embed="rId172"/>
                                          <a:stretch>
                                            <a:fillRect/>
                                          </a:stretch>
                                        </pic:blipFill>
                                        <pic:spPr bwMode="auto">
                                          <a:xfrm>
                                            <a:off x="0" y="0"/>
                                            <a:ext cx="457200" cy="95250"/>
                                          </a:xfrm>
                                          <a:prstGeom prst="rect">
                                            <a:avLst/>
                                          </a:prstGeom>
                                        </pic:spPr>
                                      </pic:pic>
                                    </a:graphicData>
                                  </a:graphic>
                                </wp:inline>
                              </w:drawing>
                            </w:r>
                            <w:bookmarkStart w:id="175" w:name="i-89"/>
                            <w:bookmarkEnd w:id="17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Security breaches and other disruptions could compromise our information and expose us to liability, which would cause our business and reputation to suffer.</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our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12520"/>
                <wp:effectExtent l="0" t="0" r="0" b="0"/>
                <wp:wrapNone/>
                <wp:docPr id="255" name="Frame84"/>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90" descr=""/>
                                                <pic:cNvPicPr>
                                                  <a:picLocks noChangeAspect="1" noChangeArrowheads="1"/>
                                                </pic:cNvPicPr>
                                              </pic:nvPicPr>
                                              <pic:blipFill>
                                                <a:blip r:embed="rId173"/>
                                                <a:stretch>
                                                  <a:fillRect/>
                                                </a:stretch>
                                              </pic:blipFill>
                                              <pic:spPr bwMode="auto">
                                                <a:xfrm>
                                                  <a:off x="0" y="0"/>
                                                  <a:ext cx="457200" cy="95250"/>
                                                </a:xfrm>
                                                <a:prstGeom prst="rect">
                                                  <a:avLst/>
                                                </a:prstGeom>
                                              </pic:spPr>
                                            </pic:pic>
                                          </a:graphicData>
                                        </a:graphic>
                                      </wp:inline>
                                    </w:drawing>
                                  </w:r>
                                  <w:bookmarkStart w:id="176" w:name="i-90"/>
                                  <w:bookmarkEnd w:id="17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90" descr=""/>
                                          <pic:cNvPicPr>
                                            <a:picLocks noChangeAspect="1" noChangeArrowheads="1"/>
                                          </pic:cNvPicPr>
                                        </pic:nvPicPr>
                                        <pic:blipFill>
                                          <a:blip r:embed="rId174"/>
                                          <a:stretch>
                                            <a:fillRect/>
                                          </a:stretch>
                                        </pic:blipFill>
                                        <pic:spPr bwMode="auto">
                                          <a:xfrm>
                                            <a:off x="0" y="0"/>
                                            <a:ext cx="457200" cy="95250"/>
                                          </a:xfrm>
                                          <a:prstGeom prst="rect">
                                            <a:avLst/>
                                          </a:prstGeom>
                                        </pic:spPr>
                                      </pic:pic>
                                    </a:graphicData>
                                  </a:graphic>
                                </wp:inline>
                              </w:drawing>
                            </w:r>
                            <w:bookmarkStart w:id="177" w:name="i-90"/>
                            <w:bookmarkEnd w:id="17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Our use of artificial intelligence and machine learning technologies may result in reputational harm or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incorporated and may continue to incorporate additional artificial intelligence and machine learning, or AIML, technologies into our sequencing platforms, marketing programs, and analysis software, and these solutions and features are advantageous to describing, enhancing, and maximizing the capabilities of our differentiated technologies and to our future growth over time. We rely and expect to rely on AIML technologies such as basecalling, variant calling, epigenetic analysis and tertiary analysis, but there can be no assurance that we will realize the desired or anticipated benefits from AIML or any at all. We may also fail to properly implement or utilize AIML technologies. Our competitors or other third parties may incorporate AIML into their products, platforms, software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are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12520"/>
                <wp:effectExtent l="0" t="0" r="0" b="0"/>
                <wp:wrapNone/>
                <wp:docPr id="258" name="Frame85"/>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5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1" descr=""/>
                                                <pic:cNvPicPr>
                                                  <a:picLocks noChangeAspect="1" noChangeArrowheads="1"/>
                                                </pic:cNvPicPr>
                                              </pic:nvPicPr>
                                              <pic:blipFill>
                                                <a:blip r:embed="rId175"/>
                                                <a:stretch>
                                                  <a:fillRect/>
                                                </a:stretch>
                                              </pic:blipFill>
                                              <pic:spPr bwMode="auto">
                                                <a:xfrm>
                                                  <a:off x="0" y="0"/>
                                                  <a:ext cx="457200" cy="95250"/>
                                                </a:xfrm>
                                                <a:prstGeom prst="rect">
                                                  <a:avLst/>
                                                </a:prstGeom>
                                              </pic:spPr>
                                            </pic:pic>
                                          </a:graphicData>
                                        </a:graphic>
                                      </wp:inline>
                                    </w:drawing>
                                  </w:r>
                                  <w:bookmarkStart w:id="178" w:name="i-91"/>
                                  <w:bookmarkEnd w:id="17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91" descr=""/>
                                          <pic:cNvPicPr>
                                            <a:picLocks noChangeAspect="1" noChangeArrowheads="1"/>
                                          </pic:cNvPicPr>
                                        </pic:nvPicPr>
                                        <pic:blipFill>
                                          <a:blip r:embed="rId176"/>
                                          <a:stretch>
                                            <a:fillRect/>
                                          </a:stretch>
                                        </pic:blipFill>
                                        <pic:spPr bwMode="auto">
                                          <a:xfrm>
                                            <a:off x="0" y="0"/>
                                            <a:ext cx="457200" cy="95250"/>
                                          </a:xfrm>
                                          <a:prstGeom prst="rect">
                                            <a:avLst/>
                                          </a:prstGeom>
                                        </pic:spPr>
                                      </pic:pic>
                                    </a:graphicData>
                                  </a:graphic>
                                </wp:inline>
                              </w:drawing>
                            </w:r>
                            <w:bookmarkStart w:id="179" w:name="i-91"/>
                            <w:bookmarkEnd w:id="17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 xml:space="preserve">In the United States, various federal and state regulators, including governmental agencies like the Consumer Financial Protection </w:t>
      </w:r>
      <w:r>
        <w:rPr>
          <w:rFonts w:ascii="Roboto;sans-serif" w:hAnsi="Roboto;sans-serif"/>
          <w:b w:val="false"/>
          <w:color w:val="000000"/>
          <w:sz w:val="20"/>
          <w:shd w:fill="FFFFFF" w:val="clear"/>
        </w:rPr>
        <w:t>Bureau, the Department of Justice,</w:t>
      </w:r>
      <w:r>
        <w:rPr>
          <w:color w:val="000000"/>
        </w:rPr>
        <w:t xml:space="preserve"> </w:t>
      </w:r>
      <w:r>
        <w:rPr>
          <w:rFonts w:ascii="Roboto;sans-serif" w:hAnsi="Roboto;sans-serif"/>
          <w:b w:val="false"/>
          <w:color w:val="000000"/>
          <w:sz w:val="20"/>
        </w:rPr>
        <w:t>and the Federal Trade Commission, have adopted, or are considering adopting, laws and regulations concerning personal information and data security.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has been discussion in the U.S. Congress of a new comprehensive federal data privacy law. These and future laws and regulations may increase our compliance costs and potential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12520"/>
                <wp:effectExtent l="0" t="0" r="0" b="0"/>
                <wp:wrapNone/>
                <wp:docPr id="261" name="Frame86"/>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2" descr=""/>
                                                <pic:cNvPicPr>
                                                  <a:picLocks noChangeAspect="1" noChangeArrowheads="1"/>
                                                </pic:cNvPicPr>
                                              </pic:nvPicPr>
                                              <pic:blipFill>
                                                <a:blip r:embed="rId177"/>
                                                <a:stretch>
                                                  <a:fillRect/>
                                                </a:stretch>
                                              </pic:blipFill>
                                              <pic:spPr bwMode="auto">
                                                <a:xfrm>
                                                  <a:off x="0" y="0"/>
                                                  <a:ext cx="457200" cy="95250"/>
                                                </a:xfrm>
                                                <a:prstGeom prst="rect">
                                                  <a:avLst/>
                                                </a:prstGeom>
                                              </pic:spPr>
                                            </pic:pic>
                                          </a:graphicData>
                                        </a:graphic>
                                      </wp:inline>
                                    </w:drawing>
                                  </w:r>
                                  <w:bookmarkStart w:id="180" w:name="i-92"/>
                                  <w:bookmarkEnd w:id="18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92" descr=""/>
                                          <pic:cNvPicPr>
                                            <a:picLocks noChangeAspect="1" noChangeArrowheads="1"/>
                                          </pic:cNvPicPr>
                                        </pic:nvPicPr>
                                        <pic:blipFill>
                                          <a:blip r:embed="rId178"/>
                                          <a:stretch>
                                            <a:fillRect/>
                                          </a:stretch>
                                        </pic:blipFill>
                                        <pic:spPr bwMode="auto">
                                          <a:xfrm>
                                            <a:off x="0" y="0"/>
                                            <a:ext cx="457200" cy="95250"/>
                                          </a:xfrm>
                                          <a:prstGeom prst="rect">
                                            <a:avLst/>
                                          </a:prstGeom>
                                        </pic:spPr>
                                      </pic:pic>
                                    </a:graphicData>
                                  </a:graphic>
                                </wp:inline>
                              </w:drawing>
                            </w:r>
                            <w:bookmarkStart w:id="181" w:name="i-92"/>
                            <w:bookmarkEnd w:id="18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lineRule="auto" w:line="288" w:before="180" w:after="283"/>
        <w:jc w:val="both"/>
        <w:rPr>
          <w:rFonts w:ascii="Roboto;sans-serif" w:hAnsi="Roboto;sans-serif"/>
          <w:b/>
          <w:i/>
          <w:color w:val="DF1995"/>
          <w:sz w:val="20"/>
        </w:rPr>
      </w:pPr>
      <w:r>
        <w:rPr>
          <w:rFonts w:ascii="Roboto;sans-serif" w:hAnsi="Roboto;sans-serif"/>
          <w:b/>
          <w:i/>
          <w:color w:val="DF1995"/>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Certain investor advocacy groups, institutional investors, investment funds, proxy advisory services, stockholders, and customers are focused on environmental, social, and governance (“ESG”) practices of companies. We have also seen public interest and governmental regulation related to public companies’ ESG practices.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and potential or current investors may elect to invest in other companies with ESG practices that are perceived to be better than ours. In addition, ESG reporting and disclosure may result in additional costs and require additional resources to monitor, report, and comply with our various ESG practices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20" w:after="283"/>
        <w:ind w:left="0" w:right="0" w:hanging="14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12520"/>
                <wp:effectExtent l="0" t="0" r="0" b="0"/>
                <wp:wrapNone/>
                <wp:docPr id="264" name="Frame87"/>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93" descr=""/>
                                                <pic:cNvPicPr>
                                                  <a:picLocks noChangeAspect="1" noChangeArrowheads="1"/>
                                                </pic:cNvPicPr>
                                              </pic:nvPicPr>
                                              <pic:blipFill>
                                                <a:blip r:embed="rId179"/>
                                                <a:stretch>
                                                  <a:fillRect/>
                                                </a:stretch>
                                              </pic:blipFill>
                                              <pic:spPr bwMode="auto">
                                                <a:xfrm>
                                                  <a:off x="0" y="0"/>
                                                  <a:ext cx="457200" cy="95250"/>
                                                </a:xfrm>
                                                <a:prstGeom prst="rect">
                                                  <a:avLst/>
                                                </a:prstGeom>
                                              </pic:spPr>
                                            </pic:pic>
                                          </a:graphicData>
                                        </a:graphic>
                                      </wp:inline>
                                    </w:drawing>
                                  </w:r>
                                  <w:bookmarkStart w:id="182" w:name="i-93"/>
                                  <w:bookmarkEnd w:id="18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93" descr=""/>
                                          <pic:cNvPicPr>
                                            <a:picLocks noChangeAspect="1" noChangeArrowheads="1"/>
                                          </pic:cNvPicPr>
                                        </pic:nvPicPr>
                                        <pic:blipFill>
                                          <a:blip r:embed="rId180"/>
                                          <a:stretch>
                                            <a:fillRect/>
                                          </a:stretch>
                                        </pic:blipFill>
                                        <pic:spPr bwMode="auto">
                                          <a:xfrm>
                                            <a:off x="0" y="0"/>
                                            <a:ext cx="457200" cy="95250"/>
                                          </a:xfrm>
                                          <a:prstGeom prst="rect">
                                            <a:avLst/>
                                          </a:prstGeom>
                                        </pic:spPr>
                                      </pic:pic>
                                    </a:graphicData>
                                  </a:graphic>
                                </wp:inline>
                              </w:drawing>
                            </w:r>
                            <w:bookmarkStart w:id="183" w:name="i-93"/>
                            <w:bookmarkEnd w:id="18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67"/>
        <w:gridCol w:w="2866"/>
        <w:gridCol w:w="4072"/>
      </w:tblGrid>
      <w:tr>
        <w:trPr/>
        <w:tc>
          <w:tcPr>
            <w:tcW w:w="3267"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F1995"/>
              <w:bottom w:val="single" w:sz="8" w:space="0" w:color="DF1995"/>
            </w:tcBorders>
            <w:tcMar>
              <w:top w:w="52"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2. UNREGISTERED SALES OF EQUITY SECURITIES AND USE OF PROCEEDS</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15" w:type="dxa"/>
        <w:jc w:val="left"/>
        <w:tblInd w:w="0" w:type="dxa"/>
        <w:tblLayout w:type="fixed"/>
        <w:tblCellMar>
          <w:top w:w="28" w:type="dxa"/>
          <w:left w:w="28" w:type="dxa"/>
          <w:bottom w:w="28" w:type="dxa"/>
          <w:right w:w="28" w:type="dxa"/>
        </w:tblCellMar>
      </w:tblPr>
      <w:tblGrid>
        <w:gridCol w:w="2020"/>
        <w:gridCol w:w="1772"/>
        <w:gridCol w:w="2523"/>
      </w:tblGrid>
      <w:tr>
        <w:trPr/>
        <w:tc>
          <w:tcPr>
            <w:tcW w:w="202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op w:val="single" w:sz="8" w:space="0" w:color="DF1995"/>
              <w:bottom w:val="single" w:sz="8" w:space="0" w:color="DF1995"/>
            </w:tcBorders>
            <w:tcMar>
              <w:top w:w="52"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3. DEFAULTS UPON SENIOR SECURITIES</w:t>
            </w:r>
          </w:p>
        </w:tc>
      </w:tr>
    </w:tbl>
    <w:p>
      <w:pPr>
        <w:pStyle w:val="TextBody"/>
        <w:bidi w:val="0"/>
        <w:spacing w:lineRule="auto" w:line="288" w:before="120" w:after="283"/>
        <w:ind w:left="0" w:right="0" w:hanging="1440"/>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70" w:type="dxa"/>
        <w:jc w:val="left"/>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DF1995"/>
              <w:bottom w:val="single" w:sz="8" w:space="0" w:color="DF1995"/>
            </w:tcBorders>
            <w:tcMar>
              <w:top w:w="52"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4"/>
              </w:rPr>
            </w:pPr>
            <w:r>
              <w:rPr>
                <w:rFonts w:ascii="Roboto;sans-serif" w:hAnsi="Roboto;sans-serif"/>
                <w:b/>
                <w:color w:val="DF1995"/>
                <w:sz w:val="24"/>
              </w:rPr>
              <w:t>ITEM 4. MINE SAFETY DISCLOSURES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85" w:type="dxa"/>
        <w:jc w:val="left"/>
        <w:tblInd w:w="0" w:type="dxa"/>
        <w:tblLayout w:type="fixed"/>
        <w:tblCellMar>
          <w:top w:w="28" w:type="dxa"/>
          <w:left w:w="28" w:type="dxa"/>
          <w:bottom w:w="28" w:type="dxa"/>
          <w:right w:w="28" w:type="dxa"/>
        </w:tblCellMar>
      </w:tblPr>
      <w:tblGrid>
        <w:gridCol w:w="1340"/>
        <w:gridCol w:w="1176"/>
        <w:gridCol w:w="1669"/>
      </w:tblGrid>
      <w:tr>
        <w:trPr/>
        <w:tc>
          <w:tcPr>
            <w:tcW w:w="134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DF1995"/>
              <w:bottom w:val="single" w:sz="8" w:space="0" w:color="DF1995"/>
            </w:tcBorders>
            <w:tcMar>
              <w:top w:w="52"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5. OTHER INFORMATION</w:t>
            </w:r>
          </w:p>
        </w:tc>
      </w:tr>
    </w:tbl>
    <w:tbl>
      <w:tblPr>
        <w:tblW w:w="7694" w:type="dxa"/>
        <w:jc w:val="left"/>
        <w:tblInd w:w="0" w:type="dxa"/>
        <w:tblLayout w:type="fixed"/>
        <w:tblCellMar>
          <w:top w:w="28" w:type="dxa"/>
          <w:left w:w="28" w:type="dxa"/>
          <w:bottom w:w="28" w:type="dxa"/>
          <w:right w:w="28" w:type="dxa"/>
        </w:tblCellMar>
      </w:tblPr>
      <w:tblGrid>
        <w:gridCol w:w="2460"/>
        <w:gridCol w:w="2164"/>
        <w:gridCol w:w="3070"/>
      </w:tblGrid>
      <w:tr>
        <w:trPr/>
        <w:tc>
          <w:tcPr>
            <w:tcW w:w="246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bottom w:val="dotted" w:sz="8" w:space="0" w:color="DF1995"/>
            </w:tcBorders>
            <w:tcMar>
              <w:top w:w="0" w:type="dxa"/>
              <w:left w:w="0" w:type="dxa"/>
              <w:bottom w:w="30" w:type="dxa"/>
              <w:right w:w="0" w:type="dxa"/>
            </w:tcMar>
            <w:vAlign w:val="center"/>
          </w:tcPr>
          <w:p>
            <w:pPr>
              <w:pStyle w:val="TableContents"/>
              <w:bidi w:val="0"/>
              <w:spacing w:lineRule="auto" w:line="288" w:before="120" w:after="283"/>
              <w:jc w:val="both"/>
              <w:rPr>
                <w:rFonts w:ascii="Roboto;sans-serif" w:hAnsi="Roboto;sans-serif"/>
                <w:b/>
                <w:color w:val="DF1995"/>
                <w:sz w:val="22"/>
              </w:rPr>
            </w:pPr>
            <w:r>
              <w:rPr>
                <w:rFonts w:ascii="Roboto;sans-serif" w:hAnsi="Roboto;sans-serif"/>
                <w:b/>
                <w:color w:val="DF1995"/>
                <w:sz w:val="22"/>
              </w:rPr>
              <w:t>Securities Trading Plans of Directors and Executive Officers</w:t>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our last fiscal quarter ended June 30, 2026, Jim R. Gibson, our Chief Financial Officer, adopted a Rule 10b5-1 trading arrangement on May 22, 2026. The trading arrangement is intended to satisfy the affirmative defense conditions of Rule 10b5-1(c) under the Securities Exchange Act of 1934, as amended, has a planned duration from August 21, 2026 through March 15, 2027, and provides for the potential sale of up to 661,685 shares of the Company's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than as disclosed above, none of our directors or officers, as defined in Rule 16a-1(f), adopted and/or terminated a “Rule 10b5-1 trading arrangement” or a “non-Rule 10b5-1 trading arrangement,”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12520"/>
                <wp:effectExtent l="0" t="0" r="0" b="0"/>
                <wp:wrapNone/>
                <wp:docPr id="267" name="Frame88"/>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94" descr=""/>
                                                <pic:cNvPicPr>
                                                  <a:picLocks noChangeAspect="1" noChangeArrowheads="1"/>
                                                </pic:cNvPicPr>
                                              </pic:nvPicPr>
                                              <pic:blipFill>
                                                <a:blip r:embed="rId181"/>
                                                <a:stretch>
                                                  <a:fillRect/>
                                                </a:stretch>
                                              </pic:blipFill>
                                              <pic:spPr bwMode="auto">
                                                <a:xfrm>
                                                  <a:off x="0" y="0"/>
                                                  <a:ext cx="457200" cy="95250"/>
                                                </a:xfrm>
                                                <a:prstGeom prst="rect">
                                                  <a:avLst/>
                                                </a:prstGeom>
                                              </pic:spPr>
                                            </pic:pic>
                                          </a:graphicData>
                                        </a:graphic>
                                      </wp:inline>
                                    </w:drawing>
                                  </w:r>
                                  <w:bookmarkStart w:id="184" w:name="i-94"/>
                                  <w:bookmarkEnd w:id="18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6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94" descr=""/>
                                          <pic:cNvPicPr>
                                            <a:picLocks noChangeAspect="1" noChangeArrowheads="1"/>
                                          </pic:cNvPicPr>
                                        </pic:nvPicPr>
                                        <pic:blipFill>
                                          <a:blip r:embed="rId182"/>
                                          <a:stretch>
                                            <a:fillRect/>
                                          </a:stretch>
                                        </pic:blipFill>
                                        <pic:spPr bwMode="auto">
                                          <a:xfrm>
                                            <a:off x="0" y="0"/>
                                            <a:ext cx="457200" cy="95250"/>
                                          </a:xfrm>
                                          <a:prstGeom prst="rect">
                                            <a:avLst/>
                                          </a:prstGeom>
                                        </pic:spPr>
                                      </pic:pic>
                                    </a:graphicData>
                                  </a:graphic>
                                </wp:inline>
                              </w:drawing>
                            </w:r>
                            <w:bookmarkStart w:id="185" w:name="i-94"/>
                            <w:bookmarkEnd w:id="18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before="240" w:after="283"/>
        <w:ind w:left="0" w:right="0" w:hanging="1440"/>
        <w:jc w:val="both"/>
        <w:rPr/>
      </w:pPr>
      <w:r>
        <w:rPr/>
      </w:r>
    </w:p>
    <w:tbl>
      <w:tblPr>
        <w:tblW w:w="2504" w:type="dxa"/>
        <w:jc w:val="left"/>
        <w:tblInd w:w="0" w:type="dxa"/>
        <w:tblLayout w:type="fixed"/>
        <w:tblCellMar>
          <w:top w:w="28" w:type="dxa"/>
          <w:left w:w="28" w:type="dxa"/>
          <w:bottom w:w="28" w:type="dxa"/>
          <w:right w:w="28" w:type="dxa"/>
        </w:tblCellMar>
      </w:tblPr>
      <w:tblGrid>
        <w:gridCol w:w="797"/>
        <w:gridCol w:w="702"/>
        <w:gridCol w:w="100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DF1995"/>
              <w:bottom w:val="single" w:sz="8" w:space="0" w:color="DF1995"/>
            </w:tcBorders>
            <w:tcMar>
              <w:top w:w="52" w:type="dxa"/>
              <w:left w:w="0" w:type="dxa"/>
              <w:bottom w:w="30" w:type="dxa"/>
              <w:right w:w="0" w:type="dxa"/>
            </w:tcMar>
            <w:vAlign w:val="center"/>
          </w:tcPr>
          <w:p>
            <w:pPr>
              <w:pStyle w:val="TableContents"/>
              <w:bidi w:val="0"/>
              <w:spacing w:lineRule="auto" w:line="288" w:before="120" w:after="283"/>
              <w:ind w:left="0" w:right="0" w:hanging="990"/>
              <w:jc w:val="left"/>
              <w:rPr>
                <w:rFonts w:ascii="Roboto;sans-serif" w:hAnsi="Roboto;sans-serif"/>
                <w:b/>
                <w:color w:val="DF1995"/>
                <w:sz w:val="24"/>
              </w:rPr>
            </w:pPr>
            <w:r>
              <w:rPr>
                <w:rFonts w:ascii="Roboto;sans-serif" w:hAnsi="Roboto;sans-serif"/>
                <w:b/>
                <w:color w:val="DF1995"/>
                <w:sz w:val="24"/>
              </w:rPr>
              <w:t>ITEM 6. EXHIBITS</w:t>
            </w:r>
          </w:p>
        </w:tc>
      </w:tr>
    </w:tbl>
    <w:tbl>
      <w:tblPr>
        <w:tblW w:w="10205" w:type="dxa"/>
        <w:jc w:val="left"/>
        <w:tblInd w:w="0" w:type="dxa"/>
        <w:tblLayout w:type="fixed"/>
        <w:tblCellMar>
          <w:top w:w="28" w:type="dxa"/>
          <w:left w:w="28" w:type="dxa"/>
          <w:bottom w:w="28" w:type="dxa"/>
          <w:right w:w="28" w:type="dxa"/>
        </w:tblCellMar>
      </w:tblPr>
      <w:tblGrid>
        <w:gridCol w:w="313"/>
        <w:gridCol w:w="275"/>
        <w:gridCol w:w="276"/>
        <w:gridCol w:w="2156"/>
        <w:gridCol w:w="2037"/>
        <w:gridCol w:w="2056"/>
        <w:gridCol w:w="338"/>
        <w:gridCol w:w="230"/>
        <w:gridCol w:w="230"/>
        <w:gridCol w:w="375"/>
        <w:gridCol w:w="322"/>
        <w:gridCol w:w="230"/>
        <w:gridCol w:w="497"/>
        <w:gridCol w:w="446"/>
        <w:gridCol w:w="424"/>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Incorporated by reference herein</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Exhibit</w:t>
              <w:br/>
              <w:t>No.</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Description</w:t>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Form</w:t>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Exhibit</w:t>
              <w:br/>
              <w:t>No.</w:t>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Filing Date</w:t>
            </w:r>
          </w:p>
        </w:tc>
      </w:tr>
      <w:tr>
        <w:trPr/>
        <w:tc>
          <w:tcPr>
            <w:tcW w:w="864" w:type="dxa"/>
            <w:gridSpan w:val="3"/>
            <w:tcBorders/>
            <w:vAlign w:val="center"/>
          </w:tcPr>
          <w:p>
            <w:pPr>
              <w:pStyle w:val="TableContents"/>
              <w:bidi w:val="0"/>
              <w:spacing w:before="0" w:after="283"/>
              <w:jc w:val="left"/>
              <w:rPr>
                <w:sz w:val="4"/>
                <w:szCs w:val="4"/>
              </w:rPr>
            </w:pPr>
            <w:r>
              <w:rPr>
                <w:sz w:val="4"/>
                <w:szCs w:val="4"/>
              </w:rPr>
            </w:r>
          </w:p>
        </w:tc>
        <w:tc>
          <w:tcPr>
            <w:tcW w:w="6249"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183">
              <w:r>
                <w:rPr>
                  <w:rStyle w:val="InternetLink"/>
                  <w:rFonts w:ascii="Roboto;sans-serif" w:hAnsi="Roboto;sans-serif"/>
                  <w:b w:val="false"/>
                  <w:color w:val="0000FF"/>
                  <w:sz w:val="18"/>
                  <w:u w:val="single"/>
                </w:rPr>
                <w:t>3.1</w:t>
              </w:r>
            </w:hyperlink>
          </w:p>
        </w:tc>
        <w:tc>
          <w:tcPr>
            <w:tcW w:w="6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184">
              <w:r>
                <w:rPr>
                  <w:rStyle w:val="InternetLink"/>
                  <w:rFonts w:ascii="Roboto;sans-serif" w:hAnsi="Roboto;sans-serif"/>
                  <w:b w:val="false"/>
                  <w:color w:val="0000FF"/>
                  <w:sz w:val="18"/>
                  <w:u w:val="single"/>
                </w:rPr>
                <w:t>Amended and Restated Certificate of Incorporation of Pacific Biosciences of California, Inc.</w:t>
              </w:r>
            </w:hyperlink>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March 23, 2011</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5">
              <w:r>
                <w:rPr>
                  <w:rStyle w:val="InternetLink"/>
                  <w:rFonts w:ascii="Roboto;sans-serif" w:hAnsi="Roboto;sans-serif"/>
                  <w:b w:val="false"/>
                  <w:color w:val="0000FF"/>
                  <w:sz w:val="18"/>
                  <w:u w:val="single"/>
                </w:rPr>
                <w:t>3.2</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6">
              <w:r>
                <w:rPr>
                  <w:rStyle w:val="InternetLink"/>
                  <w:rFonts w:ascii="Roboto;sans-serif" w:hAnsi="Roboto;sans-serif"/>
                  <w:b w:val="false"/>
                  <w:color w:val="0000FF"/>
                  <w:sz w:val="18"/>
                  <w:u w:val="single"/>
                </w:rPr>
                <w:t>Certificate of Amendment to the Amended and Restated Certificate of Incorporation of Pacific Biosciences of California, Inc. to declassify the Board</w:t>
              </w:r>
            </w:hyperlink>
          </w:p>
        </w:tc>
        <w:tc>
          <w:tcPr>
            <w:tcW w:w="7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June 20, 2024</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7">
              <w:r>
                <w:rPr>
                  <w:rStyle w:val="InternetLink"/>
                  <w:rFonts w:ascii="Roboto;sans-serif" w:hAnsi="Roboto;sans-serif"/>
                  <w:b w:val="false"/>
                  <w:color w:val="0000FF"/>
                  <w:sz w:val="18"/>
                  <w:u w:val="single"/>
                </w:rPr>
                <w:t>3.3</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8">
              <w:r>
                <w:rPr>
                  <w:rStyle w:val="InternetLink"/>
                  <w:rFonts w:ascii="Roboto;sans-serif" w:hAnsi="Roboto;sans-serif"/>
                  <w:b w:val="false"/>
                  <w:color w:val="0000FF"/>
                  <w:sz w:val="18"/>
                  <w:u w:val="single"/>
                </w:rPr>
                <w:t>Certificate of Amendment to the Amended and Restated Certificate of Incorporation of Pacific Biosciences of California, Inc. to limit the liability of officers</w:t>
              </w:r>
            </w:hyperlink>
          </w:p>
        </w:tc>
        <w:tc>
          <w:tcPr>
            <w:tcW w:w="7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3.2</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June 20, 2024</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9">
              <w:r>
                <w:rPr>
                  <w:rStyle w:val="InternetLink"/>
                  <w:rFonts w:ascii="Roboto;sans-serif" w:hAnsi="Roboto;sans-serif"/>
                  <w:b w:val="false"/>
                  <w:color w:val="0000FF"/>
                  <w:sz w:val="18"/>
                  <w:u w:val="single"/>
                </w:rPr>
                <w:t>3.4</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0">
              <w:r>
                <w:rPr>
                  <w:rStyle w:val="InternetLink"/>
                  <w:rFonts w:ascii="Roboto;sans-serif" w:hAnsi="Roboto;sans-serif"/>
                  <w:b w:val="false"/>
                  <w:color w:val="0000FF"/>
                  <w:sz w:val="18"/>
                  <w:u w:val="single"/>
                </w:rPr>
                <w:t>Third Amended and Restated Bylaws of Pacific Biosciences of California, Inc.</w:t>
              </w:r>
            </w:hyperlink>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November 7, 2022</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1">
              <w:r>
                <w:rPr>
                  <w:rStyle w:val="InternetLink"/>
                  <w:rFonts w:ascii="Roboto;sans-serif" w:hAnsi="Roboto;sans-serif"/>
                  <w:b w:val="false"/>
                  <w:color w:val="000080"/>
                  <w:sz w:val="18"/>
                  <w:u w:val="single"/>
                </w:rPr>
                <w:t>1</w:t>
              </w:r>
            </w:hyperlink>
            <w:hyperlink r:id="rId192">
              <w:r>
                <w:rPr>
                  <w:rStyle w:val="InternetLink"/>
                  <w:rFonts w:ascii="Roboto;sans-serif" w:hAnsi="Roboto;sans-serif"/>
                  <w:b w:val="false"/>
                  <w:color w:val="000080"/>
                  <w:sz w:val="18"/>
                  <w:u w:val="single"/>
                </w:rPr>
                <w:t>0.1+</w:t>
              </w:r>
            </w:hyperlink>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3">
              <w:r>
                <w:rPr>
                  <w:rStyle w:val="InternetLink"/>
                  <w:rFonts w:ascii="Roboto;sans-serif" w:hAnsi="Roboto;sans-serif"/>
                  <w:b w:val="false"/>
                  <w:color w:val="0000FF"/>
                  <w:sz w:val="18"/>
                  <w:u w:val="single"/>
                </w:rPr>
                <w:t>Pacific Biosciences of California, Inc. 2020 Equity Incentive Plan, as amended</w:t>
              </w:r>
            </w:hyperlink>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June 4, 2026</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1xq2x26.htm">
              <w:r>
                <w:rPr>
                  <w:rStyle w:val="InternetLink"/>
                  <w:rFonts w:ascii="Roboto;sans-serif" w:hAnsi="Roboto;sans-serif"/>
                  <w:b w:val="false"/>
                  <w:color w:val="000080"/>
                  <w:sz w:val="18"/>
                  <w:u w:val="single"/>
                </w:rPr>
                <w:t>31</w:t>
              </w:r>
            </w:hyperlink>
            <w:r>
              <w:rPr>
                <w:rFonts w:ascii="Roboto;sans-serif" w:hAnsi="Roboto;sans-serif"/>
                <w:b w:val="false"/>
                <w:color w:val="0000FF"/>
                <w:sz w:val="18"/>
                <w:u w:val="single"/>
              </w:rPr>
              <w:t>.1</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1xq2x26.htm">
              <w:r>
                <w:rPr>
                  <w:rStyle w:val="InternetLink"/>
                  <w:rFonts w:ascii="Roboto;sans-serif" w:hAnsi="Roboto;sans-serif"/>
                  <w:b w:val="false"/>
                  <w:color w:val="0000FF"/>
                  <w:sz w:val="18"/>
                  <w:u w:val="single"/>
                </w:rPr>
                <w:t>Certification of Chief Executive Officer pursuant to Exchange Act Rules 13a-14(a) and 15d-14(a), as adopted pursuant to Section 302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2xq2x26.htm">
              <w:r>
                <w:rPr>
                  <w:rStyle w:val="InternetLink"/>
                  <w:rFonts w:ascii="Roboto;sans-serif" w:hAnsi="Roboto;sans-serif"/>
                  <w:b w:val="false"/>
                  <w:color w:val="000080"/>
                  <w:sz w:val="18"/>
                  <w:u w:val="single"/>
                </w:rPr>
                <w:t>31</w:t>
              </w:r>
            </w:hyperlink>
            <w:r>
              <w:rPr>
                <w:rFonts w:ascii="Roboto;sans-serif" w:hAnsi="Roboto;sans-serif"/>
                <w:b w:val="false"/>
                <w:color w:val="0000FF"/>
                <w:sz w:val="18"/>
                <w:u w:val="single"/>
              </w:rPr>
              <w:t>.2</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12xq2x26.htm">
              <w:r>
                <w:rPr>
                  <w:rStyle w:val="InternetLink"/>
                  <w:rFonts w:ascii="Roboto;sans-serif" w:hAnsi="Roboto;sans-serif"/>
                  <w:b w:val="false"/>
                  <w:color w:val="0000FF"/>
                  <w:sz w:val="18"/>
                  <w:u w:val="single"/>
                </w:rPr>
                <w:t>Certification of Chief Financial Officer pursuant to Exchange Act Rules 13a-14(a) and 15d-14(a), as adopted pursuant to Section 302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1xq2x26.htm">
              <w:r>
                <w:rPr>
                  <w:rStyle w:val="InternetLink"/>
                  <w:rFonts w:ascii="Roboto;sans-serif" w:hAnsi="Roboto;sans-serif"/>
                  <w:b w:val="false"/>
                  <w:color w:val="0000FF"/>
                  <w:sz w:val="18"/>
                  <w:u w:val="single"/>
                </w:rPr>
                <w:t>32.1</w:t>
              </w:r>
            </w:hyperlink>
            <w:r>
              <w:rPr>
                <w:rFonts w:ascii="Roboto;sans-serif" w:hAnsi="Roboto;sans-serif"/>
                <w:b w:val="false"/>
                <w:color w:val="000000"/>
                <w:sz w:val="18"/>
              </w:rPr>
              <w:t>*</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1xq2x26.htm">
              <w:r>
                <w:rPr>
                  <w:rStyle w:val="InternetLink"/>
                  <w:rFonts w:ascii="Roboto;sans-serif" w:hAnsi="Roboto;sans-serif"/>
                  <w:b w:val="false"/>
                  <w:color w:val="0000FF"/>
                  <w:sz w:val="18"/>
                  <w:u w:val="single"/>
                </w:rPr>
                <w:t>Certification of Chief Executive Officer pursuant to 18 U.S.C. Section 1350, as adopted pursuant to Section 906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2xq2x26.htm">
              <w:r>
                <w:rPr>
                  <w:rStyle w:val="InternetLink"/>
                  <w:rFonts w:ascii="Roboto;sans-serif" w:hAnsi="Roboto;sans-serif"/>
                  <w:b w:val="false"/>
                  <w:color w:val="0000FF"/>
                  <w:sz w:val="18"/>
                  <w:u w:val="single"/>
                </w:rPr>
                <w:t>32.2</w:t>
              </w:r>
            </w:hyperlink>
            <w:r>
              <w:rPr>
                <w:rFonts w:ascii="Roboto;sans-serif" w:hAnsi="Roboto;sans-serif"/>
                <w:b w:val="false"/>
                <w:color w:val="000000"/>
                <w:sz w:val="18"/>
              </w:rPr>
              <w:t>*</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cb-10qxexx322xq2x26.htm">
              <w:r>
                <w:rPr>
                  <w:rStyle w:val="InternetLink"/>
                  <w:rFonts w:ascii="Roboto;sans-serif" w:hAnsi="Roboto;sans-serif"/>
                  <w:b w:val="false"/>
                  <w:color w:val="0000FF"/>
                  <w:sz w:val="18"/>
                  <w:u w:val="single"/>
                </w:rPr>
                <w:t>Certification of Chief Financial Officer pursuant to 18 U.S.C. Section 1350, as adopted pursuant to Section 906 of the Sarbanes-Oxley Act of 2002</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101.INS</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XBRL Instance Document (the instance document does not appear in the Interactive Data File because its XBRL tags are embedded within the Inline XBRL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101.SCH</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101.CAL</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101.DEF</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101.LAB</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Labels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101.PRE</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104</w:t>
            </w:r>
          </w:p>
        </w:tc>
        <w:tc>
          <w:tcPr>
            <w:tcW w:w="6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Cover Page Interactive File (formatted as inline XBRL and contained in Exhibit 101)</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bl>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______________________________________________________________________________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Roboto;sans-serif" w:hAnsi="Roboto;sans-serif"/>
                <w:b w:val="false"/>
                <w:color w:val="000000"/>
                <w:sz w:val="16"/>
              </w:rPr>
            </w:pPr>
            <w:r>
              <w:rPr>
                <w:rFonts w:ascii="Roboto;sans-serif" w:hAnsi="Roboto;sans-serif"/>
                <w:b w:val="false"/>
                <w:color w:val="000000"/>
                <w:sz w:val="16"/>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or the Exchange Act, whether made before or after the date of this Quarterly Report on Form 10-Q, irrespective of any general incorporation language contained in such filing.</w:t>
            </w:r>
          </w:p>
        </w:tc>
      </w:tr>
    </w:tbl>
    <w:p>
      <w:pPr>
        <w:pStyle w:val="TextBody"/>
        <w:bidi w:val="0"/>
        <w:spacing w:lineRule="auto" w:line="288" w:before="120" w:after="283"/>
        <w:ind w:left="0" w:right="0" w:hanging="36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12520"/>
                <wp:effectExtent l="0" t="0" r="0" b="0"/>
                <wp:wrapNone/>
                <wp:docPr id="270" name="Frame89"/>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left"/>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7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5" descr=""/>
                                                <pic:cNvPicPr>
                                                  <a:picLocks noChangeAspect="1" noChangeArrowheads="1"/>
                                                </pic:cNvPicPr>
                                              </pic:nvPicPr>
                                              <pic:blipFill>
                                                <a:blip r:embed="rId194"/>
                                                <a:stretch>
                                                  <a:fillRect/>
                                                </a:stretch>
                                              </pic:blipFill>
                                              <pic:spPr bwMode="auto">
                                                <a:xfrm>
                                                  <a:off x="0" y="0"/>
                                                  <a:ext cx="457200" cy="95250"/>
                                                </a:xfrm>
                                                <a:prstGeom prst="rect">
                                                  <a:avLst/>
                                                </a:prstGeom>
                                              </pic:spPr>
                                            </pic:pic>
                                          </a:graphicData>
                                        </a:graphic>
                                      </wp:inline>
                                    </w:drawing>
                                  </w:r>
                                  <w:bookmarkStart w:id="186" w:name="i-95"/>
                                  <w:bookmarkEnd w:id="18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left"/>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7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5" descr=""/>
                                          <pic:cNvPicPr>
                                            <a:picLocks noChangeAspect="1" noChangeArrowheads="1"/>
                                          </pic:cNvPicPr>
                                        </pic:nvPicPr>
                                        <pic:blipFill>
                                          <a:blip r:embed="rId195"/>
                                          <a:stretch>
                                            <a:fillRect/>
                                          </a:stretch>
                                        </pic:blipFill>
                                        <pic:spPr bwMode="auto">
                                          <a:xfrm>
                                            <a:off x="0" y="0"/>
                                            <a:ext cx="457200" cy="95250"/>
                                          </a:xfrm>
                                          <a:prstGeom prst="rect">
                                            <a:avLst/>
                                          </a:prstGeom>
                                        </pic:spPr>
                                      </pic:pic>
                                    </a:graphicData>
                                  </a:graphic>
                                </wp:inline>
                              </w:drawing>
                            </w:r>
                            <w:bookmarkStart w:id="187" w:name="i-95"/>
                            <w:bookmarkEnd w:id="18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89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4297dc2d97e4e34aed4a2bdfd28cba8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Signatures</w:t>
      </w:r>
    </w:p>
    <w:p>
      <w:pPr>
        <w:pStyle w:val="TextBody"/>
        <w:bidi w:val="0"/>
        <w:spacing w:lineRule="auto" w:line="288" w:before="120" w:after="283"/>
        <w:ind w:left="0" w:right="0" w:firstLine="360"/>
        <w:jc w:val="both"/>
        <w:rPr>
          <w:rFonts w:ascii="Roboto;sans-serif" w:hAnsi="Roboto;sans-serif"/>
          <w:b w:val="false"/>
          <w:color w:val="000000"/>
          <w:sz w:val="20"/>
        </w:rPr>
      </w:pPr>
      <w:r>
        <w:rPr>
          <w:rFonts w:ascii="Roboto;sans-serif" w:hAnsi="Roboto;sans-serif"/>
          <w:b w:val="false"/>
          <w:color w:val="000000"/>
          <w:sz w:val="20"/>
        </w:rPr>
        <w:t>Pursuant to the requirements of the Securities Exchange Act of 1934, the registrant has duly caused this report to be signed on its behalf by the undersigned thereunto duly authorized.</w:t>
      </w:r>
    </w:p>
    <w:tbl>
      <w:tblPr>
        <w:tblW w:w="6913"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1270"/>
        <w:gridCol w:w="1270"/>
        <w:gridCol w:w="1795"/>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Pacific Biosciences of California, Inc.</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August 6, 2026</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20"/>
              </w:rPr>
            </w:pPr>
            <w:r>
              <w:rPr>
                <w:rFonts w:ascii="Roboto;sans-serif" w:hAnsi="Roboto;sans-serif"/>
                <w:b w:val="false"/>
                <w:color w:val="000000"/>
                <w:sz w:val="20"/>
              </w:rPr>
              <w:t>/s/ Mark Van Oene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Mark Van Oene</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President and Chief Executive Officer</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Executive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August 6, 2026</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3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 Jim R. Gibson</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Jim R. Gibson</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Chief Financial Officer </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12520"/>
                <wp:effectExtent l="0" t="0" r="0" b="0"/>
                <wp:wrapNone/>
                <wp:docPr id="273" name="Frame90"/>
                <a:graphic xmlns:a="http://schemas.openxmlformats.org/drawingml/2006/main">
                  <a:graphicData uri="http://schemas.microsoft.com/office/word/2010/wordprocessingShape">
                    <wps:wsp>
                      <wps:cNvSpPr txBox="1"/>
                      <wps:spPr>
                        <a:xfrm>
                          <a:off x="0" y="0"/>
                          <a:ext cx="6480175" cy="11125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7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6" descr=""/>
                                                <pic:cNvPicPr>
                                                  <a:picLocks noChangeAspect="1" noChangeArrowheads="1"/>
                                                </pic:cNvPicPr>
                                              </pic:nvPicPr>
                                              <pic:blipFill>
                                                <a:blip r:embed="rId196"/>
                                                <a:stretch>
                                                  <a:fillRect/>
                                                </a:stretch>
                                              </pic:blipFill>
                                              <pic:spPr bwMode="auto">
                                                <a:xfrm>
                                                  <a:off x="0" y="0"/>
                                                  <a:ext cx="457200" cy="95250"/>
                                                </a:xfrm>
                                                <a:prstGeom prst="rect">
                                                  <a:avLst/>
                                                </a:prstGeom>
                                              </pic:spPr>
                                            </pic:pic>
                                          </a:graphicData>
                                        </a:graphic>
                                      </wp:inline>
                                    </w:drawing>
                                  </w:r>
                                  <w:bookmarkStart w:id="188" w:name="i-96"/>
                                  <w:bookmarkEnd w:id="18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DF19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49" w:type="dxa"/>
                        <w:jc w:val="center"/>
                        <w:tblInd w:w="0" w:type="dxa"/>
                        <w:tblLayout w:type="fixed"/>
                        <w:tblCellMar>
                          <w:top w:w="28" w:type="dxa"/>
                          <w:left w:w="28" w:type="dxa"/>
                          <w:bottom w:w="28" w:type="dxa"/>
                          <w:right w:w="28" w:type="dxa"/>
                        </w:tblCellMar>
                      </w:tblPr>
                      <w:tblGrid>
                        <w:gridCol w:w="297"/>
                        <w:gridCol w:w="261"/>
                        <w:gridCol w:w="263"/>
                        <w:gridCol w:w="869"/>
                        <w:gridCol w:w="869"/>
                        <w:gridCol w:w="872"/>
                        <w:gridCol w:w="109"/>
                        <w:gridCol w:w="109"/>
                        <w:gridCol w:w="109"/>
                        <w:gridCol w:w="114"/>
                        <w:gridCol w:w="114"/>
                        <w:gridCol w:w="16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95250"/>
                                  <wp:effectExtent l="0" t="0" r="0" b="0"/>
                                  <wp:docPr id="27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96" descr=""/>
                                          <pic:cNvPicPr>
                                            <a:picLocks noChangeAspect="1" noChangeArrowheads="1"/>
                                          </pic:cNvPicPr>
                                        </pic:nvPicPr>
                                        <pic:blipFill>
                                          <a:blip r:embed="rId197"/>
                                          <a:stretch>
                                            <a:fillRect/>
                                          </a:stretch>
                                        </pic:blipFill>
                                        <pic:spPr bwMode="auto">
                                          <a:xfrm>
                                            <a:off x="0" y="0"/>
                                            <a:ext cx="457200" cy="95250"/>
                                          </a:xfrm>
                                          <a:prstGeom prst="rect">
                                            <a:avLst/>
                                          </a:prstGeom>
                                        </pic:spPr>
                                      </pic:pic>
                                    </a:graphicData>
                                  </a:graphic>
                                </wp:inline>
                              </w:drawing>
                            </w:r>
                            <w:bookmarkStart w:id="189" w:name="i-96"/>
                            <w:bookmarkEnd w:id="18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DF1995"/>
                                <w:sz w:val="20"/>
                              </w:rPr>
                            </w:pPr>
                            <w:r>
                              <w:rPr>
                                <w:rFonts w:ascii="Roboto;sans-serif" w:hAnsi="Roboto;sans-serif"/>
                                <w:b w:val="false"/>
                                <w:color w:val="DF1995"/>
                                <w:sz w:val="20"/>
                              </w:rPr>
                              <w:t>Q2 Fiscal 2026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DF1995"/>
                                <w:sz w:val="20"/>
                              </w:rPr>
                            </w:pPr>
                            <w:r>
                              <w:rPr>
                                <w:rFonts w:ascii="Roboto;sans-serif" w:hAnsi="Roboto;sans-serif"/>
                                <w:b w:val="false"/>
                                <w:color w:val="DF1995"/>
                                <w:sz w:val="20"/>
                              </w:rPr>
                              <w:t>90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PURSUANT TO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SECURITIES EXCHANGE ACT RULES 13a-14(a) AND 15d-14(a), AS ADOPTED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Mark Van Oene, certify that: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Pacific Biosciences of California, Inc.;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r>
    </w:p>
    <w:tbl>
      <w:tblPr>
        <w:tblW w:w="554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65"/>
        <w:gridCol w:w="965"/>
        <w:gridCol w:w="136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Van Oene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 Van Oene</w:t>
              <w:br/>
              <w:t xml:space="preserve"> President and Chief Executive Officer </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276"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xml:space="preserve">Exhibit 31.2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PURSUANT TO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SECURITIES EXCHANGE ACT RULES 13a-14(a) AND 15d-14(a), AS ADOPTED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Jim Gibson, certify that: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Pacific Biosciences of California, Inc.;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r>
    </w:p>
    <w:p>
      <w:pPr>
        <w:pStyle w:val="TextBody"/>
        <w:bidi w:val="0"/>
        <w:spacing w:before="120" w:after="283"/>
        <w:ind w:left="0" w:right="0" w:firstLine="810"/>
        <w:jc w:val="left"/>
        <w:rPr/>
      </w:pPr>
      <w:r>
        <w:rPr/>
      </w:r>
    </w:p>
    <w:tbl>
      <w:tblPr>
        <w:tblW w:w="466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5"/>
        <w:gridCol w:w="705"/>
        <w:gridCol w:w="10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Jim R. Gibson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Jim R. Gibson</w:t>
              <w:br/>
              <w:t xml:space="preserve">Chief Financial Officer </w:t>
              <w:br/>
              <w:t>(Principal Financial Officer)</w:t>
            </w:r>
          </w:p>
        </w:tc>
      </w:tr>
    </w:tbl>
    <w:p>
      <w:pPr>
        <w:pStyle w:val="TextBody"/>
        <w:bidi w:val="0"/>
        <w:spacing w:before="180" w:after="283"/>
        <w:ind w:left="0" w:right="0" w:firstLine="4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xml:space="preserve">Exhibit 32.1 </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277"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CEO Furnished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Pacific Biosciences of California, Inc. (the “Company”) on Form 10-Q for the period ended June 30, 2026, as filed with the Securities and Exchange Commission on the date hereof, I, Mark Van Oene, Chief Executive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(i)the Quarterly Report of the Company on Form 10-Q for the period ended June 30, 2026 (the “Report”), fully complies with the requirements of section 13(a) or 15(d) of the Securities Exchange Act of 1934, and </w:t>
      </w:r>
    </w:p>
    <w:p>
      <w:pPr>
        <w:pStyle w:val="TextBody"/>
        <w:bidi w:val="0"/>
        <w:spacing w:lineRule="auto" w:line="288" w:before="200" w:after="283"/>
        <w:ind w:left="0" w:right="0" w:hanging="360"/>
        <w:jc w:val="left"/>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r>
        <w:rPr>
          <w:color w:val="000000"/>
        </w:rPr>
        <w:t xml:space="preserve"> </w:t>
      </w:r>
    </w:p>
    <w:tbl>
      <w:tblPr>
        <w:tblW w:w="550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52"/>
        <w:gridCol w:w="952"/>
        <w:gridCol w:w="135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Van Oene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 Van Oene</w:t>
              <w:br/>
              <w:t> 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278"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CFO Furnished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Pacific Biosciences of California, Inc. (the “Company”) on Form 10-Q for the period ended June 30, 2026, as filed with the Securities and Exchange Commission on the date hereof, I, Jim Gibson, Chief Financial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(i)the Quarterly Report of the Company on Form 10-Q for the period ended June 30, 2026 (the “Report”), fully complies with the requirements of section 13(a) or 15(d) of the Securities Exchange Act of 1934, and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466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5"/>
        <w:gridCol w:w="705"/>
        <w:gridCol w:w="10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Jim R. Gibson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Jim R. Gibson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279"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3.jpeg"/><Relationship Id="rId64" Type="http://schemas.openxmlformats.org/officeDocument/2006/relationships/image" Target="media/image4.jpeg"/><Relationship Id="rId65" Type="http://schemas.openxmlformats.org/officeDocument/2006/relationships/image" Target="media/image5.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6.jpeg"/><Relationship Id="rId73" Type="http://schemas.openxmlformats.org/officeDocument/2006/relationships/image" Target="media/image7.jpeg"/><Relationship Id="rId74" Type="http://schemas.openxmlformats.org/officeDocument/2006/relationships/image" Target="media/image8.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2.jpeg"/><Relationship Id="rId127" Type="http://schemas.openxmlformats.org/officeDocument/2006/relationships/image" Target="media/image2.jpeg"/><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image" Target="media/image2.jpeg"/><Relationship Id="rId131" Type="http://schemas.openxmlformats.org/officeDocument/2006/relationships/image" Target="media/image2.jpeg"/><Relationship Id="rId132" Type="http://schemas.openxmlformats.org/officeDocument/2006/relationships/image" Target="media/image2.jpeg"/><Relationship Id="rId133" Type="http://schemas.openxmlformats.org/officeDocument/2006/relationships/image" Target="media/image2.jpeg"/><Relationship Id="rId134" Type="http://schemas.openxmlformats.org/officeDocument/2006/relationships/image" Target="media/image2.jpeg"/><Relationship Id="rId135" Type="http://schemas.openxmlformats.org/officeDocument/2006/relationships/image" Target="media/image2.jpeg"/><Relationship Id="rId136" Type="http://schemas.openxmlformats.org/officeDocument/2006/relationships/image" Target="media/image2.jpeg"/><Relationship Id="rId137" Type="http://schemas.openxmlformats.org/officeDocument/2006/relationships/image" Target="media/image2.jpeg"/><Relationship Id="rId138" Type="http://schemas.openxmlformats.org/officeDocument/2006/relationships/image" Target="media/image2.jpeg"/><Relationship Id="rId139" Type="http://schemas.openxmlformats.org/officeDocument/2006/relationships/image" Target="media/image2.jpeg"/><Relationship Id="rId140" Type="http://schemas.openxmlformats.org/officeDocument/2006/relationships/image" Target="media/image2.jpeg"/><Relationship Id="rId141" Type="http://schemas.openxmlformats.org/officeDocument/2006/relationships/image" Target="media/image2.jpeg"/><Relationship Id="rId142" Type="http://schemas.openxmlformats.org/officeDocument/2006/relationships/image" Target="media/image2.jpeg"/><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image" Target="media/image2.jpeg"/><Relationship Id="rId146" Type="http://schemas.openxmlformats.org/officeDocument/2006/relationships/image" Target="media/image2.jpeg"/><Relationship Id="rId147" Type="http://schemas.openxmlformats.org/officeDocument/2006/relationships/image" Target="media/image2.jpeg"/><Relationship Id="rId148" Type="http://schemas.openxmlformats.org/officeDocument/2006/relationships/image" Target="media/image2.jpeg"/><Relationship Id="rId149" Type="http://schemas.openxmlformats.org/officeDocument/2006/relationships/image" Target="media/image2.jpeg"/><Relationship Id="rId150" Type="http://schemas.openxmlformats.org/officeDocument/2006/relationships/image" Target="media/image2.jpeg"/><Relationship Id="rId151" Type="http://schemas.openxmlformats.org/officeDocument/2006/relationships/image" Target="media/image2.jpeg"/><Relationship Id="rId152" Type="http://schemas.openxmlformats.org/officeDocument/2006/relationships/image" Target="media/image2.jpeg"/><Relationship Id="rId153" Type="http://schemas.openxmlformats.org/officeDocument/2006/relationships/image" Target="media/image2.jpeg"/><Relationship Id="rId154" Type="http://schemas.openxmlformats.org/officeDocument/2006/relationships/image" Target="media/image2.jpeg"/><Relationship Id="rId155" Type="http://schemas.openxmlformats.org/officeDocument/2006/relationships/image" Target="media/image2.jpeg"/><Relationship Id="rId156" Type="http://schemas.openxmlformats.org/officeDocument/2006/relationships/image" Target="media/image2.jpeg"/><Relationship Id="rId157" Type="http://schemas.openxmlformats.org/officeDocument/2006/relationships/image" Target="media/image2.jpeg"/><Relationship Id="rId158" Type="http://schemas.openxmlformats.org/officeDocument/2006/relationships/image" Target="media/image2.jpeg"/><Relationship Id="rId159" Type="http://schemas.openxmlformats.org/officeDocument/2006/relationships/image" Target="media/image2.jpeg"/><Relationship Id="rId160" Type="http://schemas.openxmlformats.org/officeDocument/2006/relationships/image" Target="media/image2.jpeg"/><Relationship Id="rId161" Type="http://schemas.openxmlformats.org/officeDocument/2006/relationships/image" Target="media/image2.jpeg"/><Relationship Id="rId162" Type="http://schemas.openxmlformats.org/officeDocument/2006/relationships/image" Target="media/image2.jpeg"/><Relationship Id="rId163" Type="http://schemas.openxmlformats.org/officeDocument/2006/relationships/image" Target="media/image2.jpeg"/><Relationship Id="rId164" Type="http://schemas.openxmlformats.org/officeDocument/2006/relationships/image" Target="media/image2.jpeg"/><Relationship Id="rId165" Type="http://schemas.openxmlformats.org/officeDocument/2006/relationships/image" Target="media/image2.jpeg"/><Relationship Id="rId166" Type="http://schemas.openxmlformats.org/officeDocument/2006/relationships/image" Target="media/image2.jpeg"/><Relationship Id="rId167" Type="http://schemas.openxmlformats.org/officeDocument/2006/relationships/image" Target="media/image2.jpeg"/><Relationship Id="rId168" Type="http://schemas.openxmlformats.org/officeDocument/2006/relationships/image" Target="media/image2.jpeg"/><Relationship Id="rId169" Type="http://schemas.openxmlformats.org/officeDocument/2006/relationships/image" Target="media/image2.jpeg"/><Relationship Id="rId170" Type="http://schemas.openxmlformats.org/officeDocument/2006/relationships/image" Target="media/image2.jpeg"/><Relationship Id="rId171" Type="http://schemas.openxmlformats.org/officeDocument/2006/relationships/image" Target="media/image2.jpeg"/><Relationship Id="rId172" Type="http://schemas.openxmlformats.org/officeDocument/2006/relationships/image" Target="media/image2.jpeg"/><Relationship Id="rId173" Type="http://schemas.openxmlformats.org/officeDocument/2006/relationships/image" Target="media/image2.jpeg"/><Relationship Id="rId174" Type="http://schemas.openxmlformats.org/officeDocument/2006/relationships/image" Target="media/image2.jpeg"/><Relationship Id="rId175" Type="http://schemas.openxmlformats.org/officeDocument/2006/relationships/image" Target="media/image2.jpeg"/><Relationship Id="rId176" Type="http://schemas.openxmlformats.org/officeDocument/2006/relationships/image" Target="media/image2.jpeg"/><Relationship Id="rId177" Type="http://schemas.openxmlformats.org/officeDocument/2006/relationships/image" Target="media/image2.jpeg"/><Relationship Id="rId178" Type="http://schemas.openxmlformats.org/officeDocument/2006/relationships/image" Target="media/image2.jpeg"/><Relationship Id="rId179" Type="http://schemas.openxmlformats.org/officeDocument/2006/relationships/image" Target="media/image2.jpeg"/><Relationship Id="rId180" Type="http://schemas.openxmlformats.org/officeDocument/2006/relationships/image" Target="media/image2.jpeg"/><Relationship Id="rId181" Type="http://schemas.openxmlformats.org/officeDocument/2006/relationships/image" Target="media/image2.jpeg"/><Relationship Id="rId182" Type="http://schemas.openxmlformats.org/officeDocument/2006/relationships/image" Target="media/image2.jpeg"/><Relationship Id="rId183" Type="http://schemas.openxmlformats.org/officeDocument/2006/relationships/hyperlink" Target="https://www.sec.gov/Archives/edgar/data/1299130/000119312511075269/dex31.htm" TargetMode="External"/><Relationship Id="rId184" Type="http://schemas.openxmlformats.org/officeDocument/2006/relationships/hyperlink" Target="https://www.sec.gov/Archives/edgar/data/1299130/000119312511075269/dex31.htm" TargetMode="External"/><Relationship Id="rId185" Type="http://schemas.openxmlformats.org/officeDocument/2006/relationships/hyperlink" Target="https://www.sec.gov/Archives/edgar/data/0001299130/000129913024000146/exhibit31-certificateofame.htm" TargetMode="External"/><Relationship Id="rId186" Type="http://schemas.openxmlformats.org/officeDocument/2006/relationships/hyperlink" Target="https://www.sec.gov/Archives/edgar/data/0001299130/000129913024000146/exhibit31-certificateofame.htm" TargetMode="External"/><Relationship Id="rId187" Type="http://schemas.openxmlformats.org/officeDocument/2006/relationships/hyperlink" Target="https://www.sec.gov/Archives/edgar/data/0001299130/000129913024000146/exhibit32-certificateofame.htm" TargetMode="External"/><Relationship Id="rId188" Type="http://schemas.openxmlformats.org/officeDocument/2006/relationships/hyperlink" Target="https://www.sec.gov/Archives/edgar/data/0001299130/000129913024000146/exhibit32-certificateofame.htm" TargetMode="External"/><Relationship Id="rId189" Type="http://schemas.openxmlformats.org/officeDocument/2006/relationships/hyperlink" Target="https://www.sec.gov/Archives/edgar/data/1299130/000129913022000128/pacb-20221103xex3_1.htm" TargetMode="External"/><Relationship Id="rId190" Type="http://schemas.openxmlformats.org/officeDocument/2006/relationships/hyperlink" Target="https://www.sec.gov/Archives/edgar/data/1299130/000129913022000128/pacb-20221103xex3_1.htm" TargetMode="External"/><Relationship Id="rId191" Type="http://schemas.openxmlformats.org/officeDocument/2006/relationships/hyperlink" Target="https://www.sec.gov/Archives/edgar/data/1299130/000129913026000092/exhibit101-2020equityincen.htm" TargetMode="External"/><Relationship Id="rId192" Type="http://schemas.openxmlformats.org/officeDocument/2006/relationships/hyperlink" Target="https://www.sec.gov/Archives/edgar/data/1299130/000129913026000092/exhibit101-2020equityincen.htm" TargetMode="External"/><Relationship Id="rId193" Type="http://schemas.openxmlformats.org/officeDocument/2006/relationships/hyperlink" Target="https://www.sec.gov/Archives/edgar/data/1299130/000129913026000092/exhibit101-2020equityincen.htm" TargetMode="External"/><Relationship Id="rId194" Type="http://schemas.openxmlformats.org/officeDocument/2006/relationships/image" Target="media/image2.jpeg"/><Relationship Id="rId195" Type="http://schemas.openxmlformats.org/officeDocument/2006/relationships/image" Target="media/image2.jpeg"/><Relationship Id="rId196" Type="http://schemas.openxmlformats.org/officeDocument/2006/relationships/image" Target="media/image2.jpeg"/><Relationship Id="rId197" Type="http://schemas.openxmlformats.org/officeDocument/2006/relationships/image" Target="media/image2.jpeg"/><Relationship Id="rId198" Type="http://schemas.openxmlformats.org/officeDocument/2006/relationships/fontTable" Target="fontTable.xml"/><Relationship Id="rId1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52857</Words>
  <Characters>294987</Characters>
  <CharactersWithSpaces>345856</CharactersWithSpaces>
  <Paragraphs>3160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