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440055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464820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28"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1"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highlight w:val="black"/>
        </w:rPr>
        <w:t xml:space="preserve">x </w:t>
      </w: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80"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highlight w:val="black"/>
        </w:rPr>
        <w:t xml:space="preserve">o </w:t>
      </w: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7" w:lineRule="exact"/>
        <w:rPr>
          <w:sz w:val="24"/>
          <w:szCs w:val="24"/>
          <w:color w:val="auto"/>
        </w:rPr>
      </w:pPr>
    </w:p>
    <w:p>
      <w:pPr>
        <w:ind w:left="4100"/>
        <w:spacing w:after="0"/>
        <w:tabs>
          <w:tab w:leader="none" w:pos="65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001-34899</w:t>
      </w:r>
    </w:p>
    <w:p>
      <w:pPr>
        <w:spacing w:after="0" w:line="2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2497455</wp:posOffset>
            </wp:positionH>
            <wp:positionV relativeFrom="paragraph">
              <wp:posOffset>35560</wp:posOffset>
            </wp:positionV>
            <wp:extent cx="2147570" cy="495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7570" cy="495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Pacific Biosciences of California,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139" w:lineRule="exact"/>
        <w:rPr>
          <w:sz w:val="24"/>
          <w:szCs w:val="24"/>
          <w:color w:val="auto"/>
        </w:rPr>
      </w:pPr>
    </w:p>
    <w:tbl>
      <w:tblPr>
        <w:tblLayout w:type="fixed"/>
        <w:tblInd w:w="1660" w:type="dxa"/>
        <w:tblCellMar>
          <w:top w:w="0" w:type="dxa"/>
          <w:left w:w="0" w:type="dxa"/>
          <w:bottom w:w="0" w:type="dxa"/>
          <w:right w:w="0" w:type="dxa"/>
        </w:tblCellMar>
      </w:tblPr>
      <w:tr>
        <w:trPr>
          <w:trHeight w:val="184"/>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9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16-1590339</w:t>
            </w:r>
          </w:p>
        </w:tc>
      </w:tr>
      <w:tr>
        <w:trPr>
          <w:trHeight w:val="194"/>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4980" w:type="dxa"/>
            <w:vAlign w:val="bottom"/>
          </w:tcPr>
          <w:p>
            <w:pPr>
              <w:jc w:val="center"/>
              <w:ind w:left="3831"/>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4"/>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4980" w:type="dxa"/>
            <w:vAlign w:val="bottom"/>
          </w:tcPr>
          <w:p>
            <w:pPr>
              <w:jc w:val="center"/>
              <w:ind w:left="3831"/>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63"/>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1305 O’Brien Drive</w:t>
            </w:r>
          </w:p>
        </w:tc>
        <w:tc>
          <w:tcPr>
            <w:tcW w:w="4980" w:type="dxa"/>
            <w:vAlign w:val="bottom"/>
          </w:tcPr>
          <w:p>
            <w:pPr>
              <w:spacing w:after="0"/>
              <w:rPr>
                <w:sz w:val="24"/>
                <w:szCs w:val="24"/>
                <w:color w:val="auto"/>
              </w:rPr>
            </w:pPr>
          </w:p>
        </w:tc>
      </w:tr>
      <w:tr>
        <w:trPr>
          <w:trHeight w:val="197"/>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Menlo Park, CA</w:t>
            </w:r>
          </w:p>
        </w:tc>
        <w:tc>
          <w:tcPr>
            <w:tcW w:w="49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94025</w:t>
            </w:r>
          </w:p>
        </w:tc>
      </w:tr>
      <w:tr>
        <w:trPr>
          <w:trHeight w:val="221"/>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4980" w:type="dxa"/>
            <w:vAlign w:val="bottom"/>
          </w:tcPr>
          <w:p>
            <w:pPr>
              <w:jc w:val="center"/>
              <w:ind w:left="3831"/>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428"/>
        </w:trPr>
        <w:tc>
          <w:tcPr>
            <w:tcW w:w="2340" w:type="dxa"/>
            <w:vAlign w:val="bottom"/>
          </w:tcPr>
          <w:p>
            <w:pPr>
              <w:spacing w:after="0"/>
              <w:rPr>
                <w:sz w:val="24"/>
                <w:szCs w:val="24"/>
                <w:color w:val="auto"/>
              </w:rPr>
            </w:pPr>
          </w:p>
        </w:tc>
        <w:tc>
          <w:tcPr>
            <w:tcW w:w="4980" w:type="dxa"/>
            <w:vAlign w:val="bottom"/>
          </w:tcPr>
          <w:p>
            <w:pPr>
              <w:jc w:val="right"/>
              <w:ind w:right="2851"/>
              <w:spacing w:after="0"/>
              <w:rPr>
                <w:sz w:val="20"/>
                <w:szCs w:val="20"/>
                <w:color w:val="auto"/>
              </w:rPr>
            </w:pPr>
            <w:r>
              <w:rPr>
                <w:rFonts w:ascii="Times New Roman" w:cs="Times New Roman" w:eastAsia="Times New Roman" w:hAnsi="Times New Roman"/>
                <w:sz w:val="14"/>
                <w:szCs w:val="14"/>
                <w:b w:val="1"/>
                <w:bCs w:val="1"/>
                <w:color w:val="auto"/>
              </w:rPr>
              <w:t>(650) 521-8000</w:t>
            </w:r>
          </w:p>
        </w:tc>
      </w:tr>
      <w:tr>
        <w:trPr>
          <w:trHeight w:val="184"/>
        </w:trPr>
        <w:tc>
          <w:tcPr>
            <w:tcW w:w="2340" w:type="dxa"/>
            <w:vAlign w:val="bottom"/>
          </w:tcPr>
          <w:p>
            <w:pPr>
              <w:spacing w:after="0"/>
              <w:rPr>
                <w:sz w:val="15"/>
                <w:szCs w:val="15"/>
                <w:color w:val="auto"/>
              </w:rPr>
            </w:pPr>
          </w:p>
        </w:tc>
        <w:tc>
          <w:tcPr>
            <w:tcW w:w="4980" w:type="dxa"/>
            <w:vAlign w:val="bottom"/>
          </w:tcPr>
          <w:p>
            <w:pPr>
              <w:jc w:val="center"/>
              <w:ind w:right="1671"/>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r>
    </w:tbl>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28" w:lineRule="exact"/>
        <w:rPr>
          <w:sz w:val="24"/>
          <w:szCs w:val="24"/>
          <w:color w:val="auto"/>
        </w:rPr>
      </w:pPr>
    </w:p>
    <w:tbl>
      <w:tblPr>
        <w:tblLayout w:type="fixed"/>
        <w:tblInd w:w="10" w:type="dxa"/>
        <w:tblCellMar>
          <w:top w:w="0" w:type="dxa"/>
          <w:left w:w="0" w:type="dxa"/>
          <w:bottom w:w="0" w:type="dxa"/>
          <w:right w:w="0" w:type="dxa"/>
        </w:tblCellMar>
      </w:tblPr>
      <w:tr>
        <w:trPr>
          <w:trHeight w:val="198"/>
        </w:trPr>
        <w:tc>
          <w:tcPr>
            <w:tcW w:w="4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Trading Symbol(s)</w:t>
            </w:r>
          </w:p>
        </w:tc>
        <w:tc>
          <w:tcPr>
            <w:tcW w:w="4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Name of each exchange on which registered</w:t>
            </w:r>
          </w:p>
        </w:tc>
      </w:tr>
      <w:tr>
        <w:trPr>
          <w:trHeight w:val="36"/>
        </w:trPr>
        <w:tc>
          <w:tcPr>
            <w:tcW w:w="434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r>
      <w:tr>
        <w:trPr>
          <w:trHeight w:val="178"/>
        </w:trPr>
        <w:tc>
          <w:tcPr>
            <w:tcW w:w="4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Common Stock, par value $0.001 per share</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PACB</w:t>
            </w:r>
          </w:p>
        </w:tc>
        <w:tc>
          <w:tcPr>
            <w:tcW w:w="4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36"/>
        </w:trPr>
        <w:tc>
          <w:tcPr>
            <w:tcW w:w="434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r>
    </w:tbl>
    <w:p>
      <w:pPr>
        <w:spacing w:after="0" w:line="121" w:lineRule="exact"/>
        <w:rPr>
          <w:sz w:val="24"/>
          <w:szCs w:val="24"/>
          <w:color w:val="auto"/>
        </w:rPr>
      </w:pPr>
    </w:p>
    <w:p>
      <w:pPr>
        <w:ind w:right="160" w:firstLine="468"/>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15" w:lineRule="exact"/>
        <w:rPr>
          <w:sz w:val="24"/>
          <w:szCs w:val="24"/>
          <w:color w:val="auto"/>
        </w:rPr>
      </w:pPr>
    </w:p>
    <w:p>
      <w:pPr>
        <w:ind w:right="40" w:firstLine="468"/>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15" w:lineRule="exact"/>
        <w:rPr>
          <w:sz w:val="24"/>
          <w:szCs w:val="24"/>
          <w:color w:val="auto"/>
        </w:rPr>
      </w:pPr>
    </w:p>
    <w:p>
      <w:pPr>
        <w:ind w:right="400" w:firstLine="468"/>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1440" w:gutter="0" w:footer="0" w:header="0"/>
        </w:sectPr>
      </w:pPr>
    </w:p>
    <w:p>
      <w:pPr>
        <w:spacing w:after="0" w:line="181"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80" w:type="dxa"/>
            <w:vAlign w:val="bottom"/>
          </w:tcPr>
          <w:p>
            <w:pPr>
              <w:ind w:left="1040"/>
              <w:spacing w:after="0"/>
              <w:rPr>
                <w:sz w:val="20"/>
                <w:szCs w:val="20"/>
                <w:color w:val="auto"/>
              </w:rPr>
            </w:pPr>
            <w:r>
              <w:rPr>
                <w:rFonts w:ascii="Wingdings" w:cs="Wingdings" w:eastAsia="Wingdings" w:hAnsi="Wingdings"/>
                <w:sz w:val="14"/>
                <w:szCs w:val="14"/>
                <w:b w:val="1"/>
                <w:bCs w:val="1"/>
                <w:color w:val="auto"/>
              </w:rPr>
              <w:t>x</w:t>
            </w:r>
          </w:p>
        </w:tc>
        <w:tc>
          <w:tcPr>
            <w:tcW w:w="280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21"/>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80" w:type="dxa"/>
            <w:vAlign w:val="bottom"/>
          </w:tcPr>
          <w:p>
            <w:pPr>
              <w:ind w:left="1040"/>
              <w:spacing w:after="0"/>
              <w:rPr>
                <w:sz w:val="20"/>
                <w:szCs w:val="20"/>
                <w:color w:val="auto"/>
              </w:rPr>
            </w:pPr>
            <w:r>
              <w:rPr>
                <w:rFonts w:ascii="Wingdings" w:cs="Wingdings" w:eastAsia="Wingdings" w:hAnsi="Wingdings"/>
                <w:sz w:val="14"/>
                <w:szCs w:val="14"/>
                <w:b w:val="1"/>
                <w:bCs w:val="1"/>
                <w:color w:val="auto"/>
              </w:rPr>
              <w:t>o</w:t>
            </w:r>
          </w:p>
        </w:tc>
        <w:tc>
          <w:tcPr>
            <w:tcW w:w="2800" w:type="dxa"/>
            <w:vAlign w:val="bottom"/>
          </w:tcPr>
          <w:p>
            <w:pPr>
              <w:ind w:left="1280"/>
              <w:spacing w:after="0"/>
              <w:rPr>
                <w:sz w:val="20"/>
                <w:szCs w:val="20"/>
                <w:color w:val="auto"/>
              </w:rPr>
            </w:pPr>
            <w:r>
              <w:rPr>
                <w:rFonts w:ascii="Times New Roman" w:cs="Times New Roman" w:eastAsia="Times New Roman" w:hAnsi="Times New Roman"/>
                <w:sz w:val="14"/>
                <w:szCs w:val="14"/>
                <w:color w:val="auto"/>
                <w:w w:val="97"/>
              </w:rPr>
              <w:t>Smaller reporting company</w:t>
            </w:r>
          </w:p>
        </w:tc>
      </w:tr>
      <w:tr>
        <w:trPr>
          <w:trHeight w:val="221"/>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480" w:type="dxa"/>
            <w:vAlign w:val="bottom"/>
          </w:tcPr>
          <w:p>
            <w:pPr>
              <w:ind w:left="1040"/>
              <w:spacing w:after="0"/>
              <w:rPr>
                <w:sz w:val="20"/>
                <w:szCs w:val="20"/>
                <w:color w:val="auto"/>
              </w:rPr>
            </w:pPr>
            <w:r>
              <w:rPr>
                <w:rFonts w:ascii="Wingdings" w:cs="Wingdings" w:eastAsia="Wingdings" w:hAnsi="Wingdings"/>
                <w:sz w:val="14"/>
                <w:szCs w:val="14"/>
                <w:b w:val="1"/>
                <w:bCs w:val="1"/>
                <w:color w:val="auto"/>
              </w:rPr>
              <w:t>o</w:t>
            </w:r>
          </w:p>
        </w:tc>
        <w:tc>
          <w:tcPr>
            <w:tcW w:w="2800" w:type="dxa"/>
            <w:vAlign w:val="bottom"/>
          </w:tcPr>
          <w:p>
            <w:pPr>
              <w:spacing w:after="0"/>
              <w:rPr>
                <w:sz w:val="19"/>
                <w:szCs w:val="19"/>
                <w:color w:val="auto"/>
              </w:rPr>
            </w:pPr>
          </w:p>
        </w:tc>
      </w:tr>
    </w:tbl>
    <w:p>
      <w:pPr>
        <w:spacing w:after="0" w:line="274" w:lineRule="exact"/>
        <w:rPr>
          <w:sz w:val="24"/>
          <w:szCs w:val="24"/>
          <w:color w:val="auto"/>
        </w:rPr>
      </w:pPr>
    </w:p>
    <w:p>
      <w:pPr>
        <w:ind w:firstLine="468"/>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28"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7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Number of shares outstanding of the issuer’s common stock as of April 30, 2024: 272,355,892.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849630</wp:posOffset>
            </wp:positionV>
            <wp:extent cx="716280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201295</wp:posOffset>
            </wp:positionV>
            <wp:extent cx="6917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226060</wp:posOffset>
            </wp:positionV>
            <wp:extent cx="6917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7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ectPr>
          <w:pgSz w:w="11900" w:h="16838" w:orient="portrait"/>
          <w:cols w:equalWidth="0" w:num="2">
            <w:col w:w="10740" w:space="360"/>
            <w:col w:w="140"/>
          </w:cols>
          <w:pgMar w:left="320" w:top="22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9760" w:type="dxa"/>
            <w:vAlign w:val="bottom"/>
            <w:gridSpan w:val="21"/>
          </w:tcPr>
          <w:p>
            <w:pPr>
              <w:spacing w:after="0"/>
              <w:rPr>
                <w:sz w:val="20"/>
                <w:szCs w:val="20"/>
                <w:color w:val="auto"/>
              </w:rPr>
            </w:pPr>
            <w:r>
              <w:rPr>
                <w:rFonts w:ascii="Arial" w:cs="Arial" w:eastAsia="Arial" w:hAnsi="Arial"/>
                <w:sz w:val="17"/>
                <w:szCs w:val="17"/>
                <w:color w:val="0000FF"/>
              </w:rPr>
              <w:t>Table of Contents</w:t>
            </w: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0"/>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120" w:type="dxa"/>
            <w:vAlign w:val="bottom"/>
            <w:gridSpan w:val="7"/>
          </w:tcPr>
          <w:p>
            <w:pPr>
              <w:jc w:val="center"/>
              <w:ind w:right="3140"/>
              <w:spacing w:after="0"/>
              <w:rPr>
                <w:sz w:val="20"/>
                <w:szCs w:val="20"/>
                <w:color w:val="auto"/>
              </w:rPr>
            </w:pPr>
            <w:r>
              <w:rPr>
                <w:rFonts w:ascii="Arial" w:cs="Arial" w:eastAsia="Arial" w:hAnsi="Arial"/>
                <w:sz w:val="17"/>
                <w:szCs w:val="17"/>
                <w:b w:val="1"/>
                <w:bCs w:val="1"/>
                <w:color w:val="auto"/>
              </w:rPr>
              <w:t>TABLE OF CONTENTS</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60" w:type="dxa"/>
            <w:vAlign w:val="bottom"/>
            <w:gridSpan w:val="8"/>
          </w:tcPr>
          <w:p>
            <w:pPr>
              <w:jc w:val="center"/>
              <w:ind w:right="3080"/>
              <w:spacing w:after="0"/>
              <w:rPr>
                <w:sz w:val="20"/>
                <w:szCs w:val="20"/>
                <w:color w:val="auto"/>
              </w:rPr>
            </w:pPr>
            <w:r>
              <w:rPr>
                <w:rFonts w:ascii="Arial" w:cs="Arial" w:eastAsia="Arial" w:hAnsi="Arial"/>
                <w:sz w:val="17"/>
                <w:szCs w:val="17"/>
                <w:b w:val="1"/>
                <w:bCs w:val="1"/>
                <w:color w:val="auto"/>
              </w:rPr>
              <w:t>PART I. FINANCIAL INFORMATION</w:t>
            </w:r>
          </w:p>
        </w:tc>
        <w:tc>
          <w:tcPr>
            <w:tcW w:w="148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PAGE No.</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318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rPr>
              <w:t>Item 1. Financial Statements (unaudited):</w:t>
            </w:r>
          </w:p>
        </w:tc>
        <w:tc>
          <w:tcPr>
            <w:tcW w:w="656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19"/>
          </w:tcPr>
          <w:p>
            <w:pPr>
              <w:spacing w:after="0"/>
              <w:rPr>
                <w:sz w:val="20"/>
                <w:szCs w:val="20"/>
                <w:color w:val="auto"/>
              </w:rPr>
            </w:pPr>
            <w:r>
              <w:rPr>
                <w:rFonts w:ascii="Arial" w:cs="Arial" w:eastAsia="Arial" w:hAnsi="Arial"/>
                <w:sz w:val="17"/>
                <w:szCs w:val="17"/>
                <w:color w:val="0000FF"/>
              </w:rPr>
              <w:t>Condensed Consolidated Balance Sheets as of March 31, 2024 and December 31, 2023</w:t>
            </w: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tcBorders>
              <w:bottom w:val="single" w:sz="8" w:color="0000FF"/>
            </w:tcBorders>
            <w:gridSpan w:val="19"/>
          </w:tcPr>
          <w:p>
            <w:pPr>
              <w:spacing w:after="0"/>
              <w:rPr>
                <w:sz w:val="20"/>
                <w:szCs w:val="20"/>
                <w:color w:val="auto"/>
              </w:rPr>
            </w:pPr>
            <w:r>
              <w:rPr>
                <w:rFonts w:ascii="Arial" w:cs="Arial" w:eastAsia="Arial" w:hAnsi="Arial"/>
                <w:sz w:val="17"/>
                <w:szCs w:val="17"/>
                <w:color w:val="0000FF"/>
              </w:rPr>
              <w:t>Condensed Consolidated Statements of Operations and Comprehensive Loss for the Three Months Ended March 31, 2024</w:t>
            </w:r>
          </w:p>
        </w:tc>
        <w:tc>
          <w:tcPr>
            <w:tcW w:w="148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bottom w:val="single" w:sz="8" w:color="0000FF"/>
            </w:tcBorders>
            <w:gridSpan w:val="2"/>
          </w:tcPr>
          <w:p>
            <w:pPr>
              <w:spacing w:after="0" w:line="189" w:lineRule="exact"/>
              <w:rPr>
                <w:sz w:val="20"/>
                <w:szCs w:val="20"/>
                <w:color w:val="auto"/>
              </w:rPr>
            </w:pPr>
            <w:r>
              <w:rPr>
                <w:rFonts w:ascii="Arial" w:cs="Arial" w:eastAsia="Arial" w:hAnsi="Arial"/>
                <w:sz w:val="17"/>
                <w:szCs w:val="17"/>
                <w:color w:val="0000FF"/>
                <w:w w:val="98"/>
              </w:rPr>
              <w:t>and 2023</w:t>
            </w:r>
          </w:p>
        </w:tc>
        <w:tc>
          <w:tcPr>
            <w:tcW w:w="8700" w:type="dxa"/>
            <w:vAlign w:val="bottom"/>
            <w:gridSpan w:val="17"/>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gridSpan w:val="19"/>
          </w:tcPr>
          <w:p>
            <w:pPr>
              <w:spacing w:after="0"/>
              <w:rPr>
                <w:sz w:val="20"/>
                <w:szCs w:val="20"/>
                <w:color w:val="auto"/>
              </w:rPr>
            </w:pPr>
            <w:r>
              <w:rPr>
                <w:rFonts w:ascii="Arial" w:cs="Arial" w:eastAsia="Arial" w:hAnsi="Arial"/>
                <w:sz w:val="17"/>
                <w:szCs w:val="17"/>
                <w:color w:val="0000FF"/>
              </w:rPr>
              <w:t>Condensed Consolidated Statements of Stockholders’ Equity for the Three Months Ended March 31, 2024 and 2023</w:t>
            </w: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tcBorders>
              <w:top w:val="single" w:sz="8" w:color="0000FF"/>
            </w:tcBorders>
            <w:gridSpan w:val="18"/>
          </w:tcPr>
          <w:p>
            <w:pPr>
              <w:spacing w:after="0"/>
              <w:rPr>
                <w:sz w:val="20"/>
                <w:szCs w:val="20"/>
                <w:color w:val="auto"/>
              </w:rPr>
            </w:pPr>
            <w:r>
              <w:rPr>
                <w:rFonts w:ascii="Arial" w:cs="Arial" w:eastAsia="Arial" w:hAnsi="Arial"/>
                <w:sz w:val="17"/>
                <w:szCs w:val="17"/>
                <w:color w:val="0000FF"/>
              </w:rPr>
              <w:t>Condensed Consolidated Statements of Cash Flows for the Three Months Ended March 31, 2024 and 2023</w:t>
            </w:r>
          </w:p>
        </w:tc>
        <w:tc>
          <w:tcPr>
            <w:tcW w:w="520" w:type="dxa"/>
            <w:vAlign w:val="bottom"/>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40" w:type="dxa"/>
            <w:vAlign w:val="bottom"/>
            <w:tcBorders>
              <w:top w:val="single" w:sz="8" w:color="0000FF"/>
            </w:tcBorders>
            <w:gridSpan w:val="17"/>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1180" w:type="dxa"/>
            <w:vAlign w:val="bottom"/>
            <w:gridSpan w:val="2"/>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0" w:type="dxa"/>
            <w:vAlign w:val="bottom"/>
          </w:tcPr>
          <w:p>
            <w:pPr>
              <w:spacing w:after="0"/>
              <w:rPr>
                <w:sz w:val="24"/>
                <w:szCs w:val="24"/>
                <w:color w:val="auto"/>
              </w:rPr>
            </w:pPr>
          </w:p>
        </w:tc>
        <w:tc>
          <w:tcPr>
            <w:tcW w:w="740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rPr>
              <w:t>Item 2. Management’s Discussion and Analysis of Financial Condition and Results of Operations</w:t>
            </w:r>
          </w:p>
        </w:tc>
        <w:tc>
          <w:tcPr>
            <w:tcW w:w="2340" w:type="dxa"/>
            <w:vAlign w:val="bottom"/>
            <w:gridSpan w:val="3"/>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512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rPr>
              <w:t>Item 3. Quantitative and Qualitative Disclosures About Market Risk</w:t>
            </w:r>
          </w:p>
        </w:tc>
        <w:tc>
          <w:tcPr>
            <w:tcW w:w="4620" w:type="dxa"/>
            <w:vAlign w:val="bottom"/>
            <w:gridSpan w:val="6"/>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9740" w:type="dxa"/>
            <w:vAlign w:val="bottom"/>
            <w:gridSpan w:val="20"/>
          </w:tcPr>
          <w:p>
            <w:pPr>
              <w:spacing w:after="0"/>
              <w:rPr>
                <w:sz w:val="20"/>
                <w:szCs w:val="20"/>
                <w:color w:val="auto"/>
              </w:rPr>
            </w:pPr>
            <w:r>
              <w:rPr>
                <w:rFonts w:ascii="Arial" w:cs="Arial" w:eastAsia="Arial" w:hAnsi="Arial"/>
                <w:sz w:val="17"/>
                <w:szCs w:val="17"/>
                <w:color w:val="0000FF"/>
              </w:rPr>
              <w:t>Item 4. Controls and Procedures</w:t>
            </w: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60" w:type="dxa"/>
            <w:vAlign w:val="bottom"/>
            <w:gridSpan w:val="8"/>
          </w:tcPr>
          <w:p>
            <w:pPr>
              <w:jc w:val="center"/>
              <w:ind w:right="3080"/>
              <w:spacing w:after="0"/>
              <w:rPr>
                <w:sz w:val="20"/>
                <w:szCs w:val="20"/>
                <w:color w:val="auto"/>
              </w:rPr>
            </w:pPr>
            <w:r>
              <w:rPr>
                <w:rFonts w:ascii="Arial" w:cs="Arial" w:eastAsia="Arial" w:hAnsi="Arial"/>
                <w:sz w:val="17"/>
                <w:szCs w:val="17"/>
                <w:b w:val="1"/>
                <w:bCs w:val="1"/>
                <w:color w:val="auto"/>
              </w:rPr>
              <w:t>PART II. OTHER INFORMATION</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202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Item 1. Legal Proceedings</w:t>
            </w:r>
          </w:p>
        </w:tc>
        <w:tc>
          <w:tcPr>
            <w:tcW w:w="7720" w:type="dxa"/>
            <w:vAlign w:val="bottom"/>
            <w:gridSpan w:val="12"/>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166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Item 1A. Risk Factors</w:t>
            </w:r>
          </w:p>
        </w:tc>
        <w:tc>
          <w:tcPr>
            <w:tcW w:w="8080" w:type="dxa"/>
            <w:vAlign w:val="bottom"/>
            <w:gridSpan w:val="14"/>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526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rPr>
              <w:t>Item 2. Unregistered Sales of Equity Securities and Use of Proceeds</w:t>
            </w:r>
          </w:p>
        </w:tc>
        <w:tc>
          <w:tcPr>
            <w:tcW w:w="4480" w:type="dxa"/>
            <w:vAlign w:val="bottom"/>
            <w:gridSpan w:val="5"/>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04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rPr>
              <w:t>Item 3. Defaults Upon Senior Securities</w:t>
            </w:r>
          </w:p>
        </w:tc>
        <w:tc>
          <w:tcPr>
            <w:tcW w:w="6700" w:type="dxa"/>
            <w:vAlign w:val="bottom"/>
            <w:gridSpan w:val="9"/>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244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rPr>
              <w:t>Item 4. Mine Safety Disclosures</w:t>
            </w:r>
          </w:p>
        </w:tc>
        <w:tc>
          <w:tcPr>
            <w:tcW w:w="7300" w:type="dxa"/>
            <w:vAlign w:val="bottom"/>
            <w:gridSpan w:val="11"/>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9740" w:type="dxa"/>
            <w:vAlign w:val="bottom"/>
            <w:gridSpan w:val="20"/>
          </w:tcPr>
          <w:p>
            <w:pPr>
              <w:spacing w:after="0"/>
              <w:rPr>
                <w:sz w:val="20"/>
                <w:szCs w:val="20"/>
                <w:color w:val="auto"/>
              </w:rPr>
            </w:pPr>
            <w:r>
              <w:rPr>
                <w:rFonts w:ascii="Arial" w:cs="Arial" w:eastAsia="Arial" w:hAnsi="Arial"/>
                <w:sz w:val="17"/>
                <w:szCs w:val="17"/>
                <w:color w:val="0000FF"/>
              </w:rPr>
              <w:t>Item 5. Other Information</w:t>
            </w: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1920" w:type="dxa"/>
            <w:vAlign w:val="bottom"/>
            <w:tcBorders>
              <w:top w:val="single" w:sz="8" w:color="0000FF"/>
            </w:tcBorders>
            <w:gridSpan w:val="7"/>
          </w:tcPr>
          <w:p>
            <w:pPr>
              <w:spacing w:after="0"/>
              <w:rPr>
                <w:sz w:val="20"/>
                <w:szCs w:val="20"/>
                <w:color w:val="auto"/>
              </w:rPr>
            </w:pPr>
            <w:r>
              <w:rPr>
                <w:rFonts w:ascii="Arial" w:cs="Arial" w:eastAsia="Arial" w:hAnsi="Arial"/>
                <w:sz w:val="17"/>
                <w:szCs w:val="17"/>
                <w:color w:val="0000FF"/>
              </w:rPr>
              <w:t>Item 6. Exhibits</w:t>
            </w:r>
          </w:p>
        </w:tc>
        <w:tc>
          <w:tcPr>
            <w:tcW w:w="7820" w:type="dxa"/>
            <w:vAlign w:val="bottom"/>
            <w:gridSpan w:val="13"/>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8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rPr>
              <w:t>Signatures</w:t>
            </w:r>
          </w:p>
        </w:tc>
        <w:tc>
          <w:tcPr>
            <w:tcW w:w="340" w:type="dxa"/>
            <w:vAlign w:val="bottom"/>
            <w:tcBorders>
              <w:top w:val="single" w:sz="8" w:color="0000FF"/>
            </w:tcBorders>
            <w:gridSpan w:val="2"/>
          </w:tcPr>
          <w:p>
            <w:pPr>
              <w:spacing w:after="0"/>
              <w:rPr>
                <w:sz w:val="24"/>
                <w:szCs w:val="24"/>
                <w:color w:val="auto"/>
              </w:rPr>
            </w:pPr>
          </w:p>
        </w:tc>
        <w:tc>
          <w:tcPr>
            <w:tcW w:w="8560" w:type="dxa"/>
            <w:vAlign w:val="bottom"/>
            <w:gridSpan w:val="16"/>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930"/>
        </w:trPr>
        <w:tc>
          <w:tcPr>
            <w:tcW w:w="7120" w:type="dxa"/>
            <w:vAlign w:val="bottom"/>
            <w:gridSpan w:val="17"/>
          </w:tcPr>
          <w:p>
            <w:pPr>
              <w:jc w:val="right"/>
              <w:ind w:right="1460"/>
              <w:spacing w:after="0"/>
              <w:rPr>
                <w:sz w:val="20"/>
                <w:szCs w:val="20"/>
                <w:color w:val="auto"/>
              </w:rPr>
            </w:pPr>
            <w:r>
              <w:rPr>
                <w:rFonts w:ascii="Times New Roman" w:cs="Times New Roman" w:eastAsia="Times New Roman" w:hAnsi="Times New Roman"/>
                <w:sz w:val="17"/>
                <w:szCs w:val="17"/>
                <w:color w:val="auto"/>
              </w:rPr>
              <w:t>2</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69"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tab/>
        <w:t>Financial Statements</w:t>
      </w:r>
    </w:p>
    <w:p>
      <w:pPr>
        <w:spacing w:after="0" w:line="22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00" w:type="dxa"/>
            <w:vAlign w:val="bottom"/>
          </w:tcPr>
          <w:p>
            <w:pPr>
              <w:jc w:val="right"/>
              <w:ind w:right="302"/>
              <w:spacing w:after="0"/>
              <w:rPr>
                <w:sz w:val="20"/>
                <w:szCs w:val="20"/>
                <w:color w:val="auto"/>
              </w:rPr>
            </w:pPr>
            <w:r>
              <w:rPr>
                <w:rFonts w:ascii="Arial" w:cs="Arial" w:eastAsia="Arial" w:hAnsi="Arial"/>
                <w:sz w:val="14"/>
                <w:szCs w:val="14"/>
                <w:b w:val="1"/>
                <w:bCs w:val="1"/>
                <w:color w:val="auto"/>
              </w:rPr>
              <w:t>December 31,</w:t>
            </w:r>
          </w:p>
        </w:tc>
      </w:tr>
      <w:tr>
        <w:trPr>
          <w:trHeight w:val="198"/>
        </w:trPr>
        <w:tc>
          <w:tcPr>
            <w:tcW w:w="78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2023</w:t>
            </w:r>
          </w:p>
        </w:tc>
      </w:tr>
      <w:tr>
        <w:trPr>
          <w:trHeight w:val="214"/>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7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179,911</w:t>
            </w:r>
          </w:p>
        </w:tc>
      </w:tr>
      <w:tr>
        <w:trPr>
          <w:trHeight w:val="227"/>
        </w:trPr>
        <w:tc>
          <w:tcPr>
            <w:tcW w:w="7840" w:type="dxa"/>
            <w:vAlign w:val="bottom"/>
          </w:tcPr>
          <w:p>
            <w:pPr>
              <w:ind w:left="100"/>
              <w:spacing w:after="0"/>
              <w:rPr>
                <w:sz w:val="20"/>
                <w:szCs w:val="20"/>
                <w:color w:val="auto"/>
              </w:rPr>
            </w:pPr>
            <w:r>
              <w:rPr>
                <w:rFonts w:ascii="Arial" w:cs="Arial" w:eastAsia="Arial" w:hAnsi="Arial"/>
                <w:sz w:val="16"/>
                <w:szCs w:val="16"/>
                <w:color w:val="auto"/>
              </w:rPr>
              <w:t>Investments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485,268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451,505</w:t>
            </w: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36,615</w:t>
            </w:r>
          </w:p>
        </w:tc>
      </w:tr>
      <w:tr>
        <w:trPr>
          <w:trHeight w:val="227"/>
        </w:trPr>
        <w:tc>
          <w:tcPr>
            <w:tcW w:w="7840" w:type="dxa"/>
            <w:vAlign w:val="bottom"/>
          </w:tcPr>
          <w:p>
            <w:pPr>
              <w:ind w:left="100"/>
              <w:spacing w:after="0"/>
              <w:rPr>
                <w:sz w:val="20"/>
                <w:szCs w:val="20"/>
                <w:color w:val="auto"/>
              </w:rPr>
            </w:pPr>
            <w:r>
              <w:rPr>
                <w:rFonts w:ascii="Arial" w:cs="Arial" w:eastAsia="Arial" w:hAnsi="Arial"/>
                <w:sz w:val="16"/>
                <w:szCs w:val="16"/>
                <w:color w:val="auto"/>
              </w:rPr>
              <w:t>Inventory, net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67,343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56,676</w:t>
            </w: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17,040</w:t>
            </w:r>
          </w:p>
        </w:tc>
      </w:tr>
      <w:tr>
        <w:trPr>
          <w:trHeight w:val="227"/>
        </w:trPr>
        <w:tc>
          <w:tcPr>
            <w:tcW w:w="78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Short-term restricted cash</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r>
      <w:tr>
        <w:trPr>
          <w:trHeight w:val="234"/>
        </w:trPr>
        <w:tc>
          <w:tcPr>
            <w:tcW w:w="7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677,024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742,047</w:t>
            </w: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37,291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36,432</w:t>
            </w:r>
          </w:p>
        </w:tc>
      </w:tr>
      <w:tr>
        <w:trPr>
          <w:trHeight w:val="24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net</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32,593</w:t>
            </w: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Long-term restricted cash</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2,422</w:t>
            </w:r>
          </w:p>
        </w:tc>
      </w:tr>
      <w:tr>
        <w:trPr>
          <w:trHeight w:val="24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456,984</w:t>
            </w: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462,261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462,261</w:t>
            </w:r>
          </w:p>
        </w:tc>
      </w:tr>
      <w:tr>
        <w:trPr>
          <w:trHeight w:val="24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13,274</w:t>
            </w:r>
          </w:p>
        </w:tc>
      </w:tr>
      <w:tr>
        <w:trPr>
          <w:trHeight w:val="220"/>
        </w:trPr>
        <w:tc>
          <w:tcPr>
            <w:tcW w:w="7840" w:type="dxa"/>
            <w:vAlign w:val="bottom"/>
          </w:tcPr>
          <w:p>
            <w:pPr>
              <w:ind w:left="4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1,669,920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1,746,013</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7"/>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15,062</w:t>
            </w:r>
          </w:p>
        </w:tc>
      </w:tr>
      <w:tr>
        <w:trPr>
          <w:trHeight w:val="227"/>
        </w:trPr>
        <w:tc>
          <w:tcPr>
            <w:tcW w:w="784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21,991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45,708</w:t>
            </w: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revenue, current</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16,342</w:t>
            </w:r>
          </w:p>
        </w:tc>
      </w:tr>
      <w:tr>
        <w:trPr>
          <w:trHeight w:val="227"/>
        </w:trPr>
        <w:tc>
          <w:tcPr>
            <w:tcW w:w="7840" w:type="dxa"/>
            <w:vAlign w:val="bottom"/>
          </w:tcPr>
          <w:p>
            <w:pPr>
              <w:ind w:left="100"/>
              <w:spacing w:after="0"/>
              <w:rPr>
                <w:sz w:val="20"/>
                <w:szCs w:val="20"/>
                <w:color w:val="auto"/>
              </w:rPr>
            </w:pPr>
            <w:r>
              <w:rPr>
                <w:rFonts w:ascii="Arial" w:cs="Arial" w:eastAsia="Arial" w:hAnsi="Arial"/>
                <w:sz w:val="16"/>
                <w:szCs w:val="16"/>
                <w:color w:val="auto"/>
              </w:rPr>
              <w:t>Operating lease liabilities, current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9,591</w:t>
            </w: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liabilities, current</w:t>
            </w: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8,326</w:t>
            </w:r>
          </w:p>
        </w:tc>
      </w:tr>
      <w:tr>
        <w:trPr>
          <w:trHeight w:val="220"/>
        </w:trPr>
        <w:tc>
          <w:tcPr>
            <w:tcW w:w="7840" w:type="dxa"/>
            <w:vAlign w:val="bottom"/>
          </w:tcPr>
          <w:p>
            <w:pPr>
              <w:ind w:left="80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72,951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95,029</w:t>
            </w:r>
          </w:p>
        </w:tc>
      </w:tr>
      <w:tr>
        <w:trPr>
          <w:trHeight w:val="24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w:t>
            </w: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Contingent consideration liability, non-current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19,550</w:t>
            </w:r>
          </w:p>
        </w:tc>
      </w:tr>
      <w:tr>
        <w:trPr>
          <w:trHeight w:val="24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31,606</w:t>
            </w: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Convertible senior notes, net, non-current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892,545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892,243</w:t>
            </w:r>
          </w:p>
        </w:tc>
      </w:tr>
      <w:tr>
        <w:trPr>
          <w:trHeight w:val="24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20"/>
        </w:trPr>
        <w:tc>
          <w:tcPr>
            <w:tcW w:w="7840" w:type="dxa"/>
            <w:vAlign w:val="bottom"/>
          </w:tcPr>
          <w:p>
            <w:pPr>
              <w:ind w:left="42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1,020,903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1,044,709</w:t>
            </w:r>
          </w:p>
        </w:tc>
      </w:tr>
      <w:tr>
        <w:trPr>
          <w:trHeight w:val="39"/>
        </w:trPr>
        <w:tc>
          <w:tcPr>
            <w:tcW w:w="7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79"/>
        </w:trPr>
        <w:tc>
          <w:tcPr>
            <w:tcW w:w="78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Preferred stock, $0.001 par value:</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7"/>
        </w:trPr>
        <w:tc>
          <w:tcPr>
            <w:tcW w:w="7840" w:type="dxa"/>
            <w:vAlign w:val="bottom"/>
          </w:tcPr>
          <w:p>
            <w:pPr>
              <w:ind w:left="100"/>
              <w:spacing w:after="0"/>
              <w:rPr>
                <w:sz w:val="20"/>
                <w:szCs w:val="20"/>
                <w:color w:val="auto"/>
              </w:rPr>
            </w:pPr>
            <w:r>
              <w:rPr>
                <w:rFonts w:ascii="Arial" w:cs="Arial" w:eastAsia="Arial" w:hAnsi="Arial"/>
                <w:sz w:val="16"/>
                <w:szCs w:val="16"/>
                <w:color w:val="auto"/>
              </w:rPr>
              <w:t>Authorized 50,000 shares; No shares issued or outstanding</w:t>
            </w:r>
          </w:p>
        </w:tc>
        <w:tc>
          <w:tcPr>
            <w:tcW w:w="3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Common stock, $0.001 par value:</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196"/>
        </w:trPr>
        <w:tc>
          <w:tcPr>
            <w:tcW w:w="7840" w:type="dxa"/>
            <w:vAlign w:val="bottom"/>
          </w:tcPr>
          <w:p>
            <w:pPr>
              <w:ind w:left="100"/>
              <w:spacing w:after="0"/>
              <w:rPr>
                <w:sz w:val="20"/>
                <w:szCs w:val="20"/>
                <w:color w:val="auto"/>
              </w:rPr>
            </w:pPr>
            <w:r>
              <w:rPr>
                <w:rFonts w:ascii="Arial" w:cs="Arial" w:eastAsia="Arial" w:hAnsi="Arial"/>
                <w:sz w:val="16"/>
                <w:szCs w:val="16"/>
                <w:color w:val="auto"/>
              </w:rPr>
              <w:t>Authorized 1,000,000 shares; issued and outstanding 272,280 and 267,744 shares at March 31, 2024 and</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6"/>
        </w:trPr>
        <w:tc>
          <w:tcPr>
            <w:tcW w:w="7840" w:type="dxa"/>
            <w:vAlign w:val="bottom"/>
          </w:tcPr>
          <w:p>
            <w:pPr>
              <w:ind w:left="100"/>
              <w:spacing w:after="0"/>
              <w:rPr>
                <w:sz w:val="20"/>
                <w:szCs w:val="20"/>
                <w:color w:val="auto"/>
              </w:rPr>
            </w:pPr>
            <w:r>
              <w:rPr>
                <w:rFonts w:ascii="Arial" w:cs="Arial" w:eastAsia="Arial" w:hAnsi="Arial"/>
                <w:sz w:val="16"/>
                <w:szCs w:val="16"/>
                <w:color w:val="auto"/>
              </w:rPr>
              <w:t>December 31, 2023, respectively</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2,566,304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2,539,892</w:t>
            </w:r>
          </w:p>
        </w:tc>
      </w:tr>
      <w:tr>
        <w:trPr>
          <w:trHeight w:val="227"/>
        </w:trPr>
        <w:tc>
          <w:tcPr>
            <w:tcW w:w="7840" w:type="dxa"/>
            <w:vAlign w:val="bottom"/>
          </w:tcPr>
          <w:p>
            <w:pPr>
              <w:ind w:left="100"/>
              <w:spacing w:after="0"/>
              <w:rPr>
                <w:sz w:val="20"/>
                <w:szCs w:val="20"/>
                <w:color w:val="auto"/>
              </w:rPr>
            </w:pPr>
            <w:r>
              <w:rPr>
                <w:rFonts w:ascii="Arial" w:cs="Arial" w:eastAsia="Arial" w:hAnsi="Arial"/>
                <w:sz w:val="16"/>
                <w:szCs w:val="16"/>
                <w:color w:val="auto"/>
              </w:rPr>
              <w:t>Accumulated other comprehensive (loss) income</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42"/>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(1,917,253)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(1,839,075)</w:t>
            </w:r>
          </w:p>
        </w:tc>
      </w:tr>
      <w:tr>
        <w:trPr>
          <w:trHeight w:val="220"/>
        </w:trPr>
        <w:tc>
          <w:tcPr>
            <w:tcW w:w="78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701,304</w:t>
            </w:r>
          </w:p>
        </w:tc>
      </w:tr>
      <w:tr>
        <w:trPr>
          <w:trHeight w:val="252"/>
        </w:trPr>
        <w:tc>
          <w:tcPr>
            <w:tcW w:w="7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1,669,920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1,746,013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8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14"/>
        </w:trPr>
        <w:tc>
          <w:tcPr>
            <w:tcW w:w="78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4"/>
        </w:trPr>
        <w:tc>
          <w:tcPr>
            <w:tcW w:w="7840" w:type="dxa"/>
            <w:vAlign w:val="bottom"/>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Product revenue</w:t>
            </w: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34,654</w:t>
            </w:r>
          </w:p>
        </w:tc>
        <w:tc>
          <w:tcPr>
            <w:tcW w:w="0" w:type="dxa"/>
            <w:vAlign w:val="bottom"/>
          </w:tcPr>
          <w:p>
            <w:pPr>
              <w:spacing w:after="0"/>
              <w:rPr>
                <w:sz w:val="1"/>
                <w:szCs w:val="1"/>
                <w:color w:val="auto"/>
              </w:rPr>
            </w:pPr>
          </w:p>
        </w:tc>
      </w:tr>
      <w:tr>
        <w:trPr>
          <w:trHeight w:val="227"/>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Service and other revenue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4,246</w:t>
            </w:r>
          </w:p>
        </w:tc>
        <w:tc>
          <w:tcPr>
            <w:tcW w:w="0" w:type="dxa"/>
            <w:vAlign w:val="bottom"/>
          </w:tcPr>
          <w:p>
            <w:pPr>
              <w:spacing w:after="0"/>
              <w:rPr>
                <w:sz w:val="1"/>
                <w:szCs w:val="1"/>
                <w:color w:val="auto"/>
              </w:rPr>
            </w:pPr>
          </w:p>
        </w:tc>
      </w:tr>
      <w:tr>
        <w:trPr>
          <w:trHeight w:val="234"/>
        </w:trPr>
        <w:tc>
          <w:tcPr>
            <w:tcW w:w="78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revenue</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38,810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38,900</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Cost of product revenue</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25,164</w:t>
            </w:r>
          </w:p>
        </w:tc>
        <w:tc>
          <w:tcPr>
            <w:tcW w:w="0" w:type="dxa"/>
            <w:vAlign w:val="bottom"/>
          </w:tcPr>
          <w:p>
            <w:pPr>
              <w:spacing w:after="0"/>
              <w:rPr>
                <w:sz w:val="1"/>
                <w:szCs w:val="1"/>
                <w:color w:val="auto"/>
              </w:rPr>
            </w:pPr>
          </w:p>
        </w:tc>
      </w:tr>
      <w:tr>
        <w:trPr>
          <w:trHeight w:val="227"/>
        </w:trPr>
        <w:tc>
          <w:tcPr>
            <w:tcW w:w="7840" w:type="dxa"/>
            <w:vAlign w:val="bottom"/>
          </w:tcPr>
          <w:p>
            <w:pPr>
              <w:ind w:left="480"/>
              <w:spacing w:after="0"/>
              <w:rPr>
                <w:sz w:val="20"/>
                <w:szCs w:val="20"/>
                <w:color w:val="auto"/>
              </w:rPr>
            </w:pPr>
            <w:r>
              <w:rPr>
                <w:rFonts w:ascii="Arial" w:cs="Arial" w:eastAsia="Arial" w:hAnsi="Arial"/>
                <w:sz w:val="16"/>
                <w:szCs w:val="16"/>
                <w:color w:val="auto"/>
              </w:rPr>
              <w:t>Cost of service and other revenue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3,792</w:t>
            </w:r>
          </w:p>
        </w:tc>
        <w:tc>
          <w:tcPr>
            <w:tcW w:w="0" w:type="dxa"/>
            <w:vAlign w:val="bottom"/>
          </w:tcPr>
          <w:p>
            <w:pPr>
              <w:spacing w:after="0"/>
              <w:rPr>
                <w:sz w:val="1"/>
                <w:szCs w:val="1"/>
                <w:color w:val="auto"/>
              </w:rPr>
            </w:pPr>
          </w:p>
        </w:tc>
      </w:tr>
      <w:tr>
        <w:trPr>
          <w:trHeight w:val="242"/>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acquired intangible assets</w:t>
            </w: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0"/>
        </w:trPr>
        <w:tc>
          <w:tcPr>
            <w:tcW w:w="784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cost of revenue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29,139</w:t>
            </w:r>
          </w:p>
        </w:tc>
        <w:tc>
          <w:tcPr>
            <w:tcW w:w="0" w:type="dxa"/>
            <w:vAlign w:val="bottom"/>
          </w:tcPr>
          <w:p>
            <w:pPr>
              <w:spacing w:after="0"/>
              <w:rPr>
                <w:sz w:val="1"/>
                <w:szCs w:val="1"/>
                <w:color w:val="auto"/>
              </w:rPr>
            </w:pPr>
          </w:p>
        </w:tc>
      </w:tr>
      <w:tr>
        <w:trPr>
          <w:trHeight w:val="234"/>
        </w:trPr>
        <w:tc>
          <w:tcPr>
            <w:tcW w:w="784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9,761</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Operating Expense:</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Research and development</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48,939</w:t>
            </w:r>
          </w:p>
        </w:tc>
        <w:tc>
          <w:tcPr>
            <w:tcW w:w="0" w:type="dxa"/>
            <w:vAlign w:val="bottom"/>
          </w:tcPr>
          <w:p>
            <w:pPr>
              <w:spacing w:after="0"/>
              <w:rPr>
                <w:sz w:val="1"/>
                <w:szCs w:val="1"/>
                <w:color w:val="auto"/>
              </w:rPr>
            </w:pPr>
          </w:p>
        </w:tc>
      </w:tr>
      <w:tr>
        <w:trPr>
          <w:trHeight w:val="227"/>
        </w:trPr>
        <w:tc>
          <w:tcPr>
            <w:tcW w:w="7840" w:type="dxa"/>
            <w:vAlign w:val="bottom"/>
          </w:tcPr>
          <w:p>
            <w:pPr>
              <w:ind w:left="480"/>
              <w:spacing w:after="0"/>
              <w:rPr>
                <w:sz w:val="20"/>
                <w:szCs w:val="20"/>
                <w:color w:val="auto"/>
              </w:rPr>
            </w:pPr>
            <w:r>
              <w:rPr>
                <w:rFonts w:ascii="Arial" w:cs="Arial" w:eastAsia="Arial" w:hAnsi="Arial"/>
                <w:sz w:val="16"/>
                <w:szCs w:val="16"/>
                <w:color w:val="auto"/>
              </w:rPr>
              <w:t>Sales, general and administrative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43,753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39,818</w:t>
            </w:r>
          </w:p>
        </w:tc>
        <w:tc>
          <w:tcPr>
            <w:tcW w:w="0" w:type="dxa"/>
            <w:vAlign w:val="bottom"/>
          </w:tcPr>
          <w:p>
            <w:pPr>
              <w:spacing w:after="0"/>
              <w:rPr>
                <w:sz w:val="1"/>
                <w:szCs w:val="1"/>
                <w:color w:val="auto"/>
              </w:rPr>
            </w:pPr>
          </w:p>
        </w:tc>
      </w:tr>
      <w:tr>
        <w:trPr>
          <w:trHeight w:val="242"/>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acquired intangible assets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Change in fair value of contingent consideration</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12,256</w:t>
            </w:r>
          </w:p>
        </w:tc>
        <w:tc>
          <w:tcPr>
            <w:tcW w:w="0" w:type="dxa"/>
            <w:vAlign w:val="bottom"/>
          </w:tcPr>
          <w:p>
            <w:pPr>
              <w:spacing w:after="0"/>
              <w:rPr>
                <w:sz w:val="1"/>
                <w:szCs w:val="1"/>
                <w:color w:val="auto"/>
              </w:rPr>
            </w:pPr>
          </w:p>
        </w:tc>
      </w:tr>
      <w:tr>
        <w:trPr>
          <w:trHeight w:val="234"/>
        </w:trPr>
        <w:tc>
          <w:tcPr>
            <w:tcW w:w="78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operating expense</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92,644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101,013</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(81,362)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(91,252)</w:t>
            </w:r>
          </w:p>
        </w:tc>
        <w:tc>
          <w:tcPr>
            <w:tcW w:w="0" w:type="dxa"/>
            <w:vAlign w:val="bottom"/>
          </w:tcPr>
          <w:p>
            <w:pPr>
              <w:spacing w:after="0"/>
              <w:rPr>
                <w:sz w:val="1"/>
                <w:szCs w:val="1"/>
                <w:color w:val="auto"/>
              </w:rPr>
            </w:pPr>
          </w:p>
        </w:tc>
      </w:tr>
      <w:tr>
        <w:trPr>
          <w:trHeight w:val="242"/>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expense</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0" w:type="dxa"/>
            <w:vAlign w:val="bottom"/>
          </w:tcPr>
          <w:p>
            <w:pPr>
              <w:spacing w:after="0"/>
              <w:rPr>
                <w:sz w:val="1"/>
                <w:szCs w:val="1"/>
                <w:color w:val="auto"/>
              </w:rPr>
            </w:pPr>
          </w:p>
        </w:tc>
      </w:tr>
      <w:tr>
        <w:trPr>
          <w:trHeight w:val="227"/>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income, net</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6,867</w:t>
            </w:r>
          </w:p>
        </w:tc>
        <w:tc>
          <w:tcPr>
            <w:tcW w:w="0" w:type="dxa"/>
            <w:vAlign w:val="bottom"/>
          </w:tcPr>
          <w:p>
            <w:pPr>
              <w:spacing w:after="0"/>
              <w:rPr>
                <w:sz w:val="1"/>
                <w:szCs w:val="1"/>
                <w:color w:val="auto"/>
              </w:rPr>
            </w:pPr>
          </w:p>
        </w:tc>
      </w:tr>
      <w:tr>
        <w:trPr>
          <w:trHeight w:val="23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benefit from income taxes</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(78,178)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(88,015)</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Benefit from income taxes</w:t>
            </w:r>
          </w:p>
        </w:tc>
        <w:tc>
          <w:tcPr>
            <w:tcW w:w="4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40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(78,178)</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(88,015)</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Unrealized (loss) gain on investments</w:t>
            </w: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2,841</w:t>
            </w:r>
          </w:p>
        </w:tc>
        <w:tc>
          <w:tcPr>
            <w:tcW w:w="0" w:type="dxa"/>
            <w:vAlign w:val="bottom"/>
          </w:tcPr>
          <w:p>
            <w:pPr>
              <w:spacing w:after="0"/>
              <w:rPr>
                <w:sz w:val="1"/>
                <w:szCs w:val="1"/>
                <w:color w:val="auto"/>
              </w:rPr>
            </w:pPr>
          </w:p>
        </w:tc>
      </w:tr>
      <w:tr>
        <w:trPr>
          <w:trHeight w:val="220"/>
        </w:trPr>
        <w:tc>
          <w:tcPr>
            <w:tcW w:w="784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(78,703)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(85,174)</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 per share:</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40" w:type="dxa"/>
            <w:vAlign w:val="bottom"/>
          </w:tcPr>
          <w:p>
            <w:pPr>
              <w:ind w:left="48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27"/>
        </w:trPr>
        <w:tc>
          <w:tcPr>
            <w:tcW w:w="7840" w:type="dxa"/>
            <w:vAlign w:val="bottom"/>
          </w:tcPr>
          <w:p>
            <w:pPr>
              <w:ind w:left="100"/>
              <w:spacing w:after="0"/>
              <w:rPr>
                <w:sz w:val="20"/>
                <w:szCs w:val="20"/>
                <w:color w:val="auto"/>
              </w:rPr>
            </w:pPr>
            <w:r>
              <w:rPr>
                <w:rFonts w:ascii="Arial" w:cs="Arial" w:eastAsia="Arial" w:hAnsi="Arial"/>
                <w:sz w:val="16"/>
                <w:szCs w:val="16"/>
                <w:color w:val="auto"/>
              </w:rPr>
              <w:t>Weighted average shares outstanding used in calculating net loss per share:</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269,578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242,032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6"/>
                <w:szCs w:val="16"/>
                <w:color w:val="auto"/>
              </w:rPr>
              <w:t>Diluted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840" w:type="dxa"/>
            <w:vAlign w:val="bottom"/>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269,578</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242,032</w:t>
            </w:r>
          </w:p>
        </w:tc>
        <w:tc>
          <w:tcPr>
            <w:tcW w:w="0" w:type="dxa"/>
            <w:vAlign w:val="bottom"/>
          </w:tcPr>
          <w:p>
            <w:pPr>
              <w:spacing w:after="0"/>
              <w:rPr>
                <w:sz w:val="1"/>
                <w:szCs w:val="1"/>
                <w:color w:val="auto"/>
              </w:rPr>
            </w:pPr>
          </w:p>
        </w:tc>
      </w:tr>
      <w:tr>
        <w:trPr>
          <w:trHeight w:val="26"/>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17"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1"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(Unaudited)</w:t>
      </w:r>
    </w:p>
    <w:p>
      <w:pPr>
        <w:spacing w:after="0" w:line="316" w:lineRule="exact"/>
        <w:rPr>
          <w:sz w:val="20"/>
          <w:szCs w:val="20"/>
          <w:color w:val="auto"/>
        </w:rPr>
      </w:pPr>
    </w:p>
    <w:tbl>
      <w:tblPr>
        <w:tblLayout w:type="fixed"/>
        <w:tblInd w:w="260" w:type="dxa"/>
        <w:tblCellMar>
          <w:top w:w="0" w:type="dxa"/>
          <w:left w:w="0" w:type="dxa"/>
          <w:bottom w:w="0" w:type="dxa"/>
          <w:right w:w="0" w:type="dxa"/>
        </w:tblCellMar>
      </w:tblPr>
      <w:tr>
        <w:trPr>
          <w:trHeight w:val="198"/>
        </w:trPr>
        <w:tc>
          <w:tcPr>
            <w:tcW w:w="28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 2024</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2220" w:type="dxa"/>
            <w:vAlign w:val="bottom"/>
            <w:gridSpan w:val="3"/>
            <w:vMerge w:val="restart"/>
          </w:tcPr>
          <w:p>
            <w:pPr>
              <w:jc w:val="right"/>
              <w:ind w:right="371"/>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4"/>
                <w:szCs w:val="14"/>
                <w:color w:val="auto"/>
              </w:rPr>
            </w:pPr>
          </w:p>
        </w:tc>
        <w:tc>
          <w:tcPr>
            <w:tcW w:w="1120" w:type="dxa"/>
            <w:vAlign w:val="bottom"/>
          </w:tcPr>
          <w:p>
            <w:pPr>
              <w:jc w:val="center"/>
              <w:ind w:right="5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6"/>
        </w:trPr>
        <w:tc>
          <w:tcPr>
            <w:tcW w:w="2860" w:type="dxa"/>
            <w:vAlign w:val="bottom"/>
          </w:tcPr>
          <w:p>
            <w:pPr>
              <w:spacing w:after="0"/>
              <w:rPr>
                <w:sz w:val="9"/>
                <w:szCs w:val="9"/>
                <w:color w:val="auto"/>
              </w:rPr>
            </w:pPr>
          </w:p>
        </w:tc>
        <w:tc>
          <w:tcPr>
            <w:tcW w:w="2220" w:type="dxa"/>
            <w:vAlign w:val="bottom"/>
            <w:tcBorders>
              <w:bottom w:val="single" w:sz="8" w:color="auto"/>
            </w:tcBorders>
            <w:gridSpan w:val="3"/>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180"/>
              <w:spacing w:after="0" w:line="156"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9"/>
                <w:szCs w:val="9"/>
                <w:color w:val="auto"/>
              </w:rPr>
            </w:pPr>
          </w:p>
        </w:tc>
        <w:tc>
          <w:tcPr>
            <w:tcW w:w="1240" w:type="dxa"/>
            <w:vAlign w:val="bottom"/>
            <w:gridSpan w:val="2"/>
            <w:vMerge w:val="restart"/>
          </w:tcPr>
          <w:p>
            <w:pPr>
              <w:jc w:val="center"/>
              <w:ind w:right="160"/>
              <w:spacing w:after="0" w:line="156" w:lineRule="exact"/>
              <w:rPr>
                <w:sz w:val="20"/>
                <w:szCs w:val="20"/>
                <w:color w:val="auto"/>
              </w:rPr>
            </w:pPr>
            <w:r>
              <w:rPr>
                <w:rFonts w:ascii="Arial" w:cs="Arial" w:eastAsia="Arial" w:hAnsi="Arial"/>
                <w:sz w:val="14"/>
                <w:szCs w:val="14"/>
                <w:b w:val="1"/>
                <w:bCs w:val="1"/>
                <w:color w:val="auto"/>
                <w:w w:val="98"/>
              </w:rPr>
              <w:t>Comprehensive</w:t>
            </w: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restart"/>
          </w:tcPr>
          <w:p>
            <w:pPr>
              <w:jc w:val="center"/>
              <w:ind w:right="71"/>
              <w:spacing w:after="0" w:line="156"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30"/>
        </w:trPr>
        <w:tc>
          <w:tcPr>
            <w:tcW w:w="28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860" w:type="dxa"/>
            <w:vAlign w:val="bottom"/>
            <w:vMerge w:val="continue"/>
          </w:tcPr>
          <w:p>
            <w:pPr>
              <w:spacing w:after="0"/>
              <w:rPr>
                <w:sz w:val="17"/>
                <w:szCs w:val="17"/>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Income (Loss)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7"/>
                <w:szCs w:val="17"/>
                <w:color w:val="auto"/>
              </w:rPr>
            </w:pPr>
          </w:p>
        </w:tc>
        <w:tc>
          <w:tcPr>
            <w:tcW w:w="1120" w:type="dxa"/>
            <w:vAlign w:val="bottom"/>
          </w:tcPr>
          <w:p>
            <w:pPr>
              <w:jc w:val="center"/>
              <w:ind w:right="7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4"/>
        </w:trPr>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2023</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267,744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2,539,892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(1,839,075)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701,304</w:t>
            </w:r>
          </w:p>
        </w:tc>
        <w:tc>
          <w:tcPr>
            <w:tcW w:w="0" w:type="dxa"/>
            <w:vAlign w:val="bottom"/>
          </w:tcPr>
          <w:p>
            <w:pPr>
              <w:spacing w:after="0"/>
              <w:rPr>
                <w:sz w:val="1"/>
                <w:szCs w:val="1"/>
                <w:color w:val="auto"/>
              </w:rPr>
            </w:pPr>
          </w:p>
        </w:tc>
      </w:tr>
      <w:tr>
        <w:trPr>
          <w:trHeight w:val="200"/>
        </w:trPr>
        <w:tc>
          <w:tcPr>
            <w:tcW w:w="2860" w:type="dxa"/>
            <w:vAlign w:val="bottom"/>
          </w:tcPr>
          <w:p>
            <w:pPr>
              <w:spacing w:after="0"/>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(78,178)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(78,178)</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20"/>
                <w:szCs w:val="20"/>
                <w:color w:val="auto"/>
              </w:rPr>
            </w:pPr>
            <w:r>
              <w:rPr>
                <w:rFonts w:ascii="Arial" w:cs="Arial" w:eastAsia="Arial" w:hAnsi="Arial"/>
                <w:sz w:val="14"/>
                <w:szCs w:val="14"/>
                <w:color w:val="auto"/>
                <w:w w:val="99"/>
              </w:rPr>
              <w:t>Issuance of common stock in conjunction with</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tcPr>
          <w:p>
            <w:pPr>
              <w:spacing w:after="0"/>
              <w:rPr>
                <w:sz w:val="20"/>
                <w:szCs w:val="20"/>
                <w:color w:val="auto"/>
              </w:rPr>
            </w:pPr>
            <w:r>
              <w:rPr>
                <w:rFonts w:ascii="Arial" w:cs="Arial" w:eastAsia="Arial" w:hAnsi="Arial"/>
                <w:sz w:val="14"/>
                <w:szCs w:val="14"/>
                <w:color w:val="auto"/>
              </w:rPr>
              <w:t>equity plans</w:t>
            </w:r>
          </w:p>
        </w:tc>
        <w:tc>
          <w:tcPr>
            <w:tcW w:w="1220" w:type="dxa"/>
            <w:vAlign w:val="bottom"/>
          </w:tcPr>
          <w:p>
            <w:pPr>
              <w:jc w:val="right"/>
              <w:spacing w:after="0"/>
              <w:rPr>
                <w:sz w:val="20"/>
                <w:szCs w:val="20"/>
                <w:color w:val="auto"/>
              </w:rPr>
            </w:pPr>
            <w:r>
              <w:rPr>
                <w:rFonts w:ascii="Arial" w:cs="Arial" w:eastAsia="Arial" w:hAnsi="Arial"/>
                <w:sz w:val="14"/>
                <w:szCs w:val="14"/>
                <w:color w:val="auto"/>
              </w:rPr>
              <w:t>4,536</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6,891</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Share-based compensation expense</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19,525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19,525</w:t>
            </w:r>
          </w:p>
        </w:tc>
        <w:tc>
          <w:tcPr>
            <w:tcW w:w="0" w:type="dxa"/>
            <w:vAlign w:val="bottom"/>
          </w:tcPr>
          <w:p>
            <w:pPr>
              <w:spacing w:after="0"/>
              <w:rPr>
                <w:sz w:val="1"/>
                <w:szCs w:val="1"/>
                <w:color w:val="auto"/>
              </w:rPr>
            </w:pPr>
          </w:p>
        </w:tc>
      </w:tr>
      <w:tr>
        <w:trPr>
          <w:trHeight w:val="193"/>
        </w:trPr>
        <w:tc>
          <w:tcPr>
            <w:tcW w:w="2860" w:type="dxa"/>
            <w:vAlign w:val="bottom"/>
          </w:tcPr>
          <w:p>
            <w:pPr>
              <w:spacing w:after="0"/>
              <w:rPr>
                <w:sz w:val="20"/>
                <w:szCs w:val="20"/>
                <w:color w:val="auto"/>
              </w:rPr>
            </w:pPr>
            <w:r>
              <w:rPr>
                <w:rFonts w:ascii="Arial" w:cs="Arial" w:eastAsia="Arial" w:hAnsi="Arial"/>
                <w:sz w:val="14"/>
                <w:szCs w:val="14"/>
                <w:b w:val="1"/>
                <w:bCs w:val="1"/>
                <w:color w:val="auto"/>
              </w:rPr>
              <w:t>Balance at March 31, 2024</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272,280</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2,566,304</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(1,917,253)</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649,017</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28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 2023</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2220" w:type="dxa"/>
            <w:vAlign w:val="bottom"/>
            <w:gridSpan w:val="3"/>
            <w:vMerge w:val="restart"/>
          </w:tcPr>
          <w:p>
            <w:pPr>
              <w:jc w:val="right"/>
              <w:ind w:right="371"/>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4"/>
                <w:szCs w:val="14"/>
                <w:color w:val="auto"/>
              </w:rPr>
            </w:pPr>
          </w:p>
        </w:tc>
        <w:tc>
          <w:tcPr>
            <w:tcW w:w="1120" w:type="dxa"/>
            <w:vAlign w:val="bottom"/>
          </w:tcPr>
          <w:p>
            <w:pPr>
              <w:jc w:val="center"/>
              <w:ind w:right="5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6"/>
        </w:trPr>
        <w:tc>
          <w:tcPr>
            <w:tcW w:w="2860" w:type="dxa"/>
            <w:vAlign w:val="bottom"/>
          </w:tcPr>
          <w:p>
            <w:pPr>
              <w:spacing w:after="0"/>
              <w:rPr>
                <w:sz w:val="9"/>
                <w:szCs w:val="9"/>
                <w:color w:val="auto"/>
              </w:rPr>
            </w:pPr>
          </w:p>
        </w:tc>
        <w:tc>
          <w:tcPr>
            <w:tcW w:w="2220" w:type="dxa"/>
            <w:vAlign w:val="bottom"/>
            <w:tcBorders>
              <w:bottom w:val="single" w:sz="8" w:color="auto"/>
            </w:tcBorders>
            <w:gridSpan w:val="3"/>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180"/>
              <w:spacing w:after="0" w:line="156"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9"/>
                <w:szCs w:val="9"/>
                <w:color w:val="auto"/>
              </w:rPr>
            </w:pPr>
          </w:p>
        </w:tc>
        <w:tc>
          <w:tcPr>
            <w:tcW w:w="1240" w:type="dxa"/>
            <w:vAlign w:val="bottom"/>
            <w:gridSpan w:val="2"/>
            <w:vMerge w:val="restart"/>
          </w:tcPr>
          <w:p>
            <w:pPr>
              <w:jc w:val="center"/>
              <w:ind w:right="160"/>
              <w:spacing w:after="0" w:line="156" w:lineRule="exact"/>
              <w:rPr>
                <w:sz w:val="20"/>
                <w:szCs w:val="20"/>
                <w:color w:val="auto"/>
              </w:rPr>
            </w:pPr>
            <w:r>
              <w:rPr>
                <w:rFonts w:ascii="Arial" w:cs="Arial" w:eastAsia="Arial" w:hAnsi="Arial"/>
                <w:sz w:val="14"/>
                <w:szCs w:val="14"/>
                <w:b w:val="1"/>
                <w:bCs w:val="1"/>
                <w:color w:val="auto"/>
                <w:w w:val="98"/>
              </w:rPr>
              <w:t>Comprehensive</w:t>
            </w: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restart"/>
          </w:tcPr>
          <w:p>
            <w:pPr>
              <w:jc w:val="center"/>
              <w:ind w:right="71"/>
              <w:spacing w:after="0" w:line="156"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30"/>
        </w:trPr>
        <w:tc>
          <w:tcPr>
            <w:tcW w:w="28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860" w:type="dxa"/>
            <w:vAlign w:val="bottom"/>
            <w:vMerge w:val="continue"/>
          </w:tcPr>
          <w:p>
            <w:pPr>
              <w:spacing w:after="0"/>
              <w:rPr>
                <w:sz w:val="17"/>
                <w:szCs w:val="17"/>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7"/>
                <w:szCs w:val="17"/>
                <w:color w:val="auto"/>
              </w:rPr>
            </w:pPr>
          </w:p>
        </w:tc>
        <w:tc>
          <w:tcPr>
            <w:tcW w:w="1120" w:type="dxa"/>
            <w:vAlign w:val="bottom"/>
          </w:tcPr>
          <w:p>
            <w:pPr>
              <w:jc w:val="center"/>
              <w:ind w:right="7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4"/>
        </w:trPr>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2022</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226,505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2,099,782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(1,532,340)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562,904</w:t>
            </w:r>
          </w:p>
        </w:tc>
        <w:tc>
          <w:tcPr>
            <w:tcW w:w="0" w:type="dxa"/>
            <w:vAlign w:val="bottom"/>
          </w:tcPr>
          <w:p>
            <w:pPr>
              <w:spacing w:after="0"/>
              <w:rPr>
                <w:sz w:val="1"/>
                <w:szCs w:val="1"/>
                <w:color w:val="auto"/>
              </w:rPr>
            </w:pPr>
          </w:p>
        </w:tc>
      </w:tr>
      <w:tr>
        <w:trPr>
          <w:trHeight w:val="200"/>
        </w:trPr>
        <w:tc>
          <w:tcPr>
            <w:tcW w:w="2860" w:type="dxa"/>
            <w:vAlign w:val="bottom"/>
          </w:tcPr>
          <w:p>
            <w:pPr>
              <w:spacing w:after="0"/>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(88,015)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(88,015)</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2,841</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20"/>
                <w:szCs w:val="20"/>
                <w:color w:val="auto"/>
              </w:rPr>
            </w:pPr>
            <w:r>
              <w:rPr>
                <w:rFonts w:ascii="Arial" w:cs="Arial" w:eastAsia="Arial" w:hAnsi="Arial"/>
                <w:sz w:val="14"/>
                <w:szCs w:val="14"/>
                <w:color w:val="auto"/>
              </w:rPr>
              <w:t>Issuance of common stock from Underwritten</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tcPr>
          <w:p>
            <w:pPr>
              <w:spacing w:after="0"/>
              <w:rPr>
                <w:sz w:val="20"/>
                <w:szCs w:val="20"/>
                <w:color w:val="auto"/>
              </w:rPr>
            </w:pPr>
            <w:r>
              <w:rPr>
                <w:rFonts w:ascii="Arial" w:cs="Arial" w:eastAsia="Arial" w:hAnsi="Arial"/>
                <w:sz w:val="14"/>
                <w:szCs w:val="14"/>
                <w:color w:val="auto"/>
              </w:rPr>
              <w:t>Public Equity, net of issuance costs</w:t>
            </w:r>
          </w:p>
        </w:tc>
        <w:tc>
          <w:tcPr>
            <w:tcW w:w="1220" w:type="dxa"/>
            <w:vAlign w:val="bottom"/>
          </w:tcPr>
          <w:p>
            <w:pPr>
              <w:jc w:val="right"/>
              <w:spacing w:after="0"/>
              <w:rPr>
                <w:sz w:val="20"/>
                <w:szCs w:val="20"/>
                <w:color w:val="auto"/>
              </w:rPr>
            </w:pPr>
            <w:r>
              <w:rPr>
                <w:rFonts w:ascii="Arial" w:cs="Arial" w:eastAsia="Arial" w:hAnsi="Arial"/>
                <w:sz w:val="14"/>
                <w:szCs w:val="14"/>
                <w:color w:val="auto"/>
              </w:rPr>
              <w:t>20,125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189,180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189,200</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w w:val="99"/>
              </w:rPr>
              <w:t>Issuance of common stock in conjunction with</w:t>
            </w: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equity plans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3,173</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7,235</w:t>
            </w:r>
          </w:p>
        </w:tc>
        <w:tc>
          <w:tcPr>
            <w:tcW w:w="0" w:type="dxa"/>
            <w:vAlign w:val="bottom"/>
          </w:tcPr>
          <w:p>
            <w:pPr>
              <w:spacing w:after="0"/>
              <w:rPr>
                <w:sz w:val="1"/>
                <w:szCs w:val="1"/>
                <w:color w:val="auto"/>
              </w:rPr>
            </w:pPr>
          </w:p>
        </w:tc>
      </w:tr>
      <w:tr>
        <w:trPr>
          <w:trHeight w:val="200"/>
        </w:trPr>
        <w:tc>
          <w:tcPr>
            <w:tcW w:w="286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17,952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17,952</w:t>
            </w:r>
          </w:p>
        </w:tc>
        <w:tc>
          <w:tcPr>
            <w:tcW w:w="0" w:type="dxa"/>
            <w:vAlign w:val="bottom"/>
          </w:tcPr>
          <w:p>
            <w:pPr>
              <w:spacing w:after="0"/>
              <w:rPr>
                <w:sz w:val="1"/>
                <w:szCs w:val="1"/>
                <w:color w:val="auto"/>
              </w:rPr>
            </w:pPr>
          </w:p>
        </w:tc>
      </w:tr>
      <w:tr>
        <w:trPr>
          <w:trHeight w:val="21"/>
        </w:trPr>
        <w:tc>
          <w:tcPr>
            <w:tcW w:w="28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March 31, 2023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249,803</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2,314,146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(1,620,355)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692,117</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00"/>
          </w:cols>
          <w:pgMar w:left="320" w:top="122" w:right="57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w:t>
      </w:r>
    </w:p>
    <w:p>
      <w:pPr>
        <w:spacing w:after="0" w:line="160" w:lineRule="exact"/>
        <w:rPr>
          <w:sz w:val="20"/>
          <w:szCs w:val="20"/>
          <w:color w:val="auto"/>
        </w:rPr>
      </w:pPr>
    </w:p>
    <w:tbl>
      <w:tblPr>
        <w:tblLayout w:type="fixed"/>
        <w:tblInd w:w="440" w:type="dxa"/>
        <w:tblCellMar>
          <w:top w:w="0" w:type="dxa"/>
          <w:left w:w="0" w:type="dxa"/>
          <w:bottom w:w="0" w:type="dxa"/>
          <w:right w:w="0" w:type="dxa"/>
        </w:tblCellMar>
      </w:tblPr>
      <w:tr>
        <w:trPr>
          <w:trHeight w:val="198"/>
        </w:trPr>
        <w:tc>
          <w:tcPr>
            <w:tcW w:w="7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Three Months Ended March 31,</w:t>
            </w:r>
          </w:p>
        </w:tc>
      </w:tr>
      <w:tr>
        <w:trPr>
          <w:trHeight w:val="214"/>
        </w:trPr>
        <w:tc>
          <w:tcPr>
            <w:tcW w:w="76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r>
      <w:tr>
        <w:trPr>
          <w:trHeight w:val="202"/>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(78,178)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(88,015)</w:t>
            </w:r>
          </w:p>
        </w:tc>
      </w:tr>
      <w:tr>
        <w:trPr>
          <w:trHeight w:val="200"/>
        </w:trPr>
        <w:tc>
          <w:tcPr>
            <w:tcW w:w="762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1"/>
        </w:trPr>
        <w:tc>
          <w:tcPr>
            <w:tcW w:w="7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Depreciation</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3,240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2,755</w:t>
            </w:r>
          </w:p>
        </w:tc>
      </w:tr>
      <w:tr>
        <w:trPr>
          <w:trHeight w:val="200"/>
        </w:trPr>
        <w:tc>
          <w:tcPr>
            <w:tcW w:w="7620" w:type="dxa"/>
            <w:vAlign w:val="bottom"/>
          </w:tcPr>
          <w:p>
            <w:pPr>
              <w:ind w:left="40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7"/>
                <w:szCs w:val="17"/>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6,853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234</w:t>
            </w:r>
          </w:p>
        </w:tc>
      </w:tr>
      <w:tr>
        <w:trPr>
          <w:trHeight w:val="21"/>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1"/>
        </w:trPr>
        <w:tc>
          <w:tcPr>
            <w:tcW w:w="7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Amortization of right-of-use assets</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1,921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1,527</w:t>
            </w:r>
          </w:p>
        </w:tc>
      </w:tr>
      <w:tr>
        <w:trPr>
          <w:trHeight w:val="200"/>
        </w:trPr>
        <w:tc>
          <w:tcPr>
            <w:tcW w:w="7620" w:type="dxa"/>
            <w:vAlign w:val="bottom"/>
          </w:tcPr>
          <w:p>
            <w:pPr>
              <w:ind w:left="400"/>
              <w:spacing w:after="0"/>
              <w:rPr>
                <w:sz w:val="20"/>
                <w:szCs w:val="20"/>
                <w:color w:val="auto"/>
              </w:rPr>
            </w:pPr>
            <w:r>
              <w:rPr>
                <w:rFonts w:ascii="Arial" w:cs="Arial" w:eastAsia="Arial" w:hAnsi="Arial"/>
                <w:sz w:val="14"/>
                <w:szCs w:val="14"/>
                <w:color w:val="auto"/>
              </w:rPr>
              <w:t>Share-based compensation expense</w:t>
            </w:r>
          </w:p>
        </w:tc>
        <w:tc>
          <w:tcPr>
            <w:tcW w:w="220" w:type="dxa"/>
            <w:vAlign w:val="bottom"/>
          </w:tcPr>
          <w:p>
            <w:pPr>
              <w:spacing w:after="0"/>
              <w:rPr>
                <w:sz w:val="17"/>
                <w:szCs w:val="17"/>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19,525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17,952</w:t>
            </w:r>
          </w:p>
        </w:tc>
      </w:tr>
      <w:tr>
        <w:trPr>
          <w:trHeight w:val="21"/>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1"/>
        </w:trPr>
        <w:tc>
          <w:tcPr>
            <w:tcW w:w="7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Accretion of discount and amortization of premium on marketable securities, net</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(2,155)</w:t>
            </w:r>
          </w:p>
        </w:tc>
      </w:tr>
      <w:tr>
        <w:trPr>
          <w:trHeight w:val="200"/>
        </w:trPr>
        <w:tc>
          <w:tcPr>
            <w:tcW w:w="7620" w:type="dxa"/>
            <w:vAlign w:val="bottom"/>
          </w:tcPr>
          <w:p>
            <w:pPr>
              <w:ind w:left="400"/>
              <w:spacing w:after="0"/>
              <w:rPr>
                <w:sz w:val="20"/>
                <w:szCs w:val="20"/>
                <w:color w:val="auto"/>
              </w:rPr>
            </w:pPr>
            <w:r>
              <w:rPr>
                <w:rFonts w:ascii="Arial" w:cs="Arial" w:eastAsia="Arial" w:hAnsi="Arial"/>
                <w:sz w:val="14"/>
                <w:szCs w:val="14"/>
                <w:color w:val="auto"/>
              </w:rPr>
              <w:t>Change in the estimated fair value of contingent consideration</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12,256</w:t>
            </w:r>
          </w:p>
        </w:tc>
      </w:tr>
      <w:tr>
        <w:trPr>
          <w:trHeight w:val="21"/>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1"/>
        </w:trPr>
        <w:tc>
          <w:tcPr>
            <w:tcW w:w="7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Inventory provision</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3,521</w:t>
            </w:r>
          </w:p>
        </w:tc>
      </w:tr>
      <w:tr>
        <w:trPr>
          <w:trHeight w:val="200"/>
        </w:trPr>
        <w:tc>
          <w:tcPr>
            <w:tcW w:w="7620" w:type="dxa"/>
            <w:vAlign w:val="bottom"/>
          </w:tcPr>
          <w:p>
            <w:pPr>
              <w:ind w:left="40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7"/>
                <w:szCs w:val="17"/>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403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363</w:t>
            </w:r>
          </w:p>
        </w:tc>
      </w:tr>
      <w:tr>
        <w:trPr>
          <w:trHeight w:val="21"/>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1"/>
        </w:trPr>
        <w:tc>
          <w:tcPr>
            <w:tcW w:w="7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0"/>
        </w:trPr>
        <w:tc>
          <w:tcPr>
            <w:tcW w:w="7620" w:type="dxa"/>
            <w:vAlign w:val="bottom"/>
          </w:tcPr>
          <w:p>
            <w:pPr>
              <w:ind w:left="64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7"/>
                <w:szCs w:val="17"/>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6,292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(10,803)</w:t>
            </w:r>
          </w:p>
        </w:tc>
      </w:tr>
      <w:tr>
        <w:trPr>
          <w:trHeight w:val="21"/>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1"/>
        </w:trPr>
        <w:tc>
          <w:tcPr>
            <w:tcW w:w="76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Inventory, net</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(11,655)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(13,319)</w:t>
            </w:r>
          </w:p>
        </w:tc>
      </w:tr>
      <w:tr>
        <w:trPr>
          <w:trHeight w:val="200"/>
        </w:trPr>
        <w:tc>
          <w:tcPr>
            <w:tcW w:w="7620" w:type="dxa"/>
            <w:vAlign w:val="bottom"/>
          </w:tcPr>
          <w:p>
            <w:pPr>
              <w:ind w:left="64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tcPr>
          <w:p>
            <w:pPr>
              <w:spacing w:after="0"/>
              <w:rPr>
                <w:sz w:val="17"/>
                <w:szCs w:val="17"/>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3,051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(6,888)</w:t>
            </w:r>
          </w:p>
        </w:tc>
      </w:tr>
      <w:tr>
        <w:trPr>
          <w:trHeight w:val="21"/>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1"/>
        </w:trPr>
        <w:tc>
          <w:tcPr>
            <w:tcW w:w="76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Accounts payable</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6,644</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5,068</w:t>
            </w:r>
          </w:p>
        </w:tc>
      </w:tr>
      <w:tr>
        <w:trPr>
          <w:trHeight w:val="200"/>
        </w:trPr>
        <w:tc>
          <w:tcPr>
            <w:tcW w:w="7620" w:type="dxa"/>
            <w:vAlign w:val="bottom"/>
          </w:tcPr>
          <w:p>
            <w:pPr>
              <w:ind w:left="64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(23,753)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(13,186)</w:t>
            </w:r>
          </w:p>
        </w:tc>
      </w:tr>
      <w:tr>
        <w:trPr>
          <w:trHeight w:val="21"/>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1"/>
        </w:trPr>
        <w:tc>
          <w:tcPr>
            <w:tcW w:w="76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Deferred revenue</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1,601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423</w:t>
            </w:r>
          </w:p>
        </w:tc>
      </w:tr>
      <w:tr>
        <w:trPr>
          <w:trHeight w:val="200"/>
        </w:trPr>
        <w:tc>
          <w:tcPr>
            <w:tcW w:w="7620" w:type="dxa"/>
            <w:vAlign w:val="bottom"/>
          </w:tcPr>
          <w:p>
            <w:pPr>
              <w:ind w:left="640"/>
              <w:spacing w:after="0"/>
              <w:rPr>
                <w:sz w:val="20"/>
                <w:szCs w:val="20"/>
                <w:color w:val="auto"/>
              </w:rPr>
            </w:pPr>
            <w:r>
              <w:rPr>
                <w:rFonts w:ascii="Arial" w:cs="Arial" w:eastAsia="Arial" w:hAnsi="Arial"/>
                <w:sz w:val="14"/>
                <w:szCs w:val="14"/>
                <w:color w:val="auto"/>
              </w:rPr>
              <w:t>Operating lease liabilities</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(2,376)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(1,969)</w:t>
            </w:r>
          </w:p>
        </w:tc>
      </w:tr>
      <w:tr>
        <w:trPr>
          <w:trHeight w:val="21"/>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1"/>
        </w:trPr>
        <w:tc>
          <w:tcPr>
            <w:tcW w:w="76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(2,455)</w:t>
            </w:r>
          </w:p>
        </w:tc>
      </w:tr>
      <w:tr>
        <w:trPr>
          <w:trHeight w:val="193"/>
        </w:trPr>
        <w:tc>
          <w:tcPr>
            <w:tcW w:w="7620" w:type="dxa"/>
            <w:vAlign w:val="bottom"/>
          </w:tcPr>
          <w:p>
            <w:pPr>
              <w:ind w:left="880"/>
              <w:spacing w:after="0"/>
              <w:rPr>
                <w:sz w:val="20"/>
                <w:szCs w:val="20"/>
                <w:color w:val="auto"/>
              </w:rPr>
            </w:pPr>
            <w:r>
              <w:rPr>
                <w:rFonts w:ascii="Arial" w:cs="Arial" w:eastAsia="Arial" w:hAnsi="Arial"/>
                <w:sz w:val="14"/>
                <w:szCs w:val="14"/>
                <w:color w:val="auto"/>
              </w:rPr>
              <w:t>Net cash used in operating activities</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(75,682)</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(94,691)</w:t>
            </w:r>
          </w:p>
        </w:tc>
      </w:tr>
      <w:tr>
        <w:trPr>
          <w:trHeight w:val="21"/>
        </w:trPr>
        <w:tc>
          <w:tcPr>
            <w:tcW w:w="7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1"/>
        </w:trPr>
        <w:tc>
          <w:tcPr>
            <w:tcW w:w="76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0"/>
        </w:trPr>
        <w:tc>
          <w:tcPr>
            <w:tcW w:w="7620" w:type="dxa"/>
            <w:vAlign w:val="bottom"/>
          </w:tcPr>
          <w:p>
            <w:pPr>
              <w:ind w:left="100"/>
              <w:spacing w:after="0"/>
              <w:rPr>
                <w:sz w:val="20"/>
                <w:szCs w:val="20"/>
                <w:color w:val="auto"/>
              </w:rPr>
            </w:pPr>
            <w:r>
              <w:rPr>
                <w:rFonts w:ascii="Arial" w:cs="Arial" w:eastAsia="Arial" w:hAnsi="Arial"/>
                <w:sz w:val="14"/>
                <w:szCs w:val="14"/>
                <w:color w:val="auto"/>
              </w:rPr>
              <w:t>Purchase of property and equipment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(3,879)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(3,721)</w:t>
            </w:r>
          </w:p>
        </w:tc>
      </w:tr>
      <w:tr>
        <w:trPr>
          <w:trHeight w:val="21"/>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1"/>
        </w:trPr>
        <w:tc>
          <w:tcPr>
            <w:tcW w:w="7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Purchases of investments</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(191,907)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(233,291)</w:t>
            </w:r>
          </w:p>
        </w:tc>
      </w:tr>
      <w:tr>
        <w:trPr>
          <w:trHeight w:val="200"/>
        </w:trPr>
        <w:tc>
          <w:tcPr>
            <w:tcW w:w="7620" w:type="dxa"/>
            <w:vAlign w:val="bottom"/>
          </w:tcPr>
          <w:p>
            <w:pPr>
              <w:ind w:left="100"/>
              <w:spacing w:after="0"/>
              <w:rPr>
                <w:sz w:val="20"/>
                <w:szCs w:val="20"/>
                <w:color w:val="auto"/>
              </w:rPr>
            </w:pPr>
            <w:r>
              <w:rPr>
                <w:rFonts w:ascii="Arial" w:cs="Arial" w:eastAsia="Arial" w:hAnsi="Arial"/>
                <w:sz w:val="14"/>
                <w:szCs w:val="14"/>
                <w:color w:val="auto"/>
              </w:rPr>
              <w:t>Sales of investments</w:t>
            </w:r>
          </w:p>
        </w:tc>
        <w:tc>
          <w:tcPr>
            <w:tcW w:w="2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595</w:t>
            </w:r>
          </w:p>
        </w:tc>
      </w:tr>
      <w:tr>
        <w:trPr>
          <w:trHeight w:val="21"/>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1"/>
        </w:trPr>
        <w:tc>
          <w:tcPr>
            <w:tcW w:w="7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Maturities of investments</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161,650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163,864</w:t>
            </w:r>
          </w:p>
        </w:tc>
      </w:tr>
      <w:tr>
        <w:trPr>
          <w:trHeight w:val="193"/>
        </w:trPr>
        <w:tc>
          <w:tcPr>
            <w:tcW w:w="7620" w:type="dxa"/>
            <w:vAlign w:val="bottom"/>
          </w:tcPr>
          <w:p>
            <w:pPr>
              <w:ind w:left="88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(34,136)</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(72,553)</w:t>
            </w:r>
          </w:p>
        </w:tc>
      </w:tr>
      <w:tr>
        <w:trPr>
          <w:trHeight w:val="21"/>
        </w:trPr>
        <w:tc>
          <w:tcPr>
            <w:tcW w:w="7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1"/>
        </w:trPr>
        <w:tc>
          <w:tcPr>
            <w:tcW w:w="76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0"/>
        </w:trPr>
        <w:tc>
          <w:tcPr>
            <w:tcW w:w="7620" w:type="dxa"/>
            <w:vAlign w:val="bottom"/>
          </w:tcPr>
          <w:p>
            <w:pPr>
              <w:ind w:left="100"/>
              <w:spacing w:after="0"/>
              <w:rPr>
                <w:sz w:val="20"/>
                <w:szCs w:val="20"/>
                <w:color w:val="auto"/>
              </w:rPr>
            </w:pPr>
            <w:r>
              <w:rPr>
                <w:rFonts w:ascii="Arial" w:cs="Arial" w:eastAsia="Arial" w:hAnsi="Arial"/>
                <w:sz w:val="14"/>
                <w:szCs w:val="14"/>
                <w:color w:val="auto"/>
              </w:rPr>
              <w:t>Proceeds from issuance of common stock under equity offerings, net of issuance costs</w:t>
            </w:r>
          </w:p>
        </w:tc>
        <w:tc>
          <w:tcPr>
            <w:tcW w:w="2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189,200</w:t>
            </w:r>
          </w:p>
        </w:tc>
      </w:tr>
      <w:tr>
        <w:trPr>
          <w:trHeight w:val="21"/>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1"/>
        </w:trPr>
        <w:tc>
          <w:tcPr>
            <w:tcW w:w="7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Proceeds from issuance of common stock from equity plans</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6,891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7,235</w:t>
            </w:r>
          </w:p>
        </w:tc>
      </w:tr>
      <w:tr>
        <w:trPr>
          <w:trHeight w:val="200"/>
        </w:trPr>
        <w:tc>
          <w:tcPr>
            <w:tcW w:w="7620" w:type="dxa"/>
            <w:vAlign w:val="bottom"/>
          </w:tcPr>
          <w:p>
            <w:pPr>
              <w:ind w:left="100"/>
              <w:spacing w:after="0"/>
              <w:rPr>
                <w:sz w:val="20"/>
                <w:szCs w:val="20"/>
                <w:color w:val="auto"/>
              </w:rPr>
            </w:pPr>
            <w:r>
              <w:rPr>
                <w:rFonts w:ascii="Arial" w:cs="Arial" w:eastAsia="Arial" w:hAnsi="Arial"/>
                <w:sz w:val="14"/>
                <w:szCs w:val="14"/>
                <w:color w:val="auto"/>
              </w:rPr>
              <w:t>Notes payable principal payoff</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(446)</w:t>
            </w:r>
          </w:p>
        </w:tc>
      </w:tr>
      <w:tr>
        <w:trPr>
          <w:trHeight w:val="21"/>
        </w:trPr>
        <w:tc>
          <w:tcPr>
            <w:tcW w:w="7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4"/>
        </w:trPr>
        <w:tc>
          <w:tcPr>
            <w:tcW w:w="76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6,553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195,989</w:t>
            </w:r>
          </w:p>
        </w:tc>
      </w:tr>
      <w:tr>
        <w:trPr>
          <w:trHeight w:val="193"/>
        </w:trPr>
        <w:tc>
          <w:tcPr>
            <w:tcW w:w="7620" w:type="dxa"/>
            <w:vAlign w:val="bottom"/>
          </w:tcPr>
          <w:p>
            <w:pPr>
              <w:ind w:left="10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(103,265)</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28,745</w:t>
            </w:r>
          </w:p>
        </w:tc>
      </w:tr>
      <w:tr>
        <w:trPr>
          <w:trHeight w:val="21"/>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1"/>
        </w:trPr>
        <w:tc>
          <w:tcPr>
            <w:tcW w:w="7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182,633</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328,311</w:t>
            </w:r>
          </w:p>
        </w:tc>
      </w:tr>
      <w:tr>
        <w:trPr>
          <w:trHeight w:val="193"/>
        </w:trPr>
        <w:tc>
          <w:tcPr>
            <w:tcW w:w="7620" w:type="dxa"/>
            <w:vAlign w:val="bottom"/>
          </w:tcPr>
          <w:p>
            <w:pPr>
              <w:ind w:left="100"/>
              <w:spacing w:after="0"/>
              <w:rPr>
                <w:sz w:val="20"/>
                <w:szCs w:val="20"/>
                <w:color w:val="auto"/>
              </w:rPr>
            </w:pPr>
            <w:r>
              <w:rPr>
                <w:rFonts w:ascii="Arial" w:cs="Arial" w:eastAsia="Arial" w:hAnsi="Arial"/>
                <w:sz w:val="14"/>
                <w:szCs w:val="14"/>
                <w:color w:val="auto"/>
              </w:rPr>
              <w:t>Cash, cash equivalents, and restricted cash at end of period</w:t>
            </w:r>
          </w:p>
        </w:tc>
        <w:tc>
          <w:tcPr>
            <w:tcW w:w="2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79,368</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357,056</w:t>
            </w:r>
          </w:p>
        </w:tc>
      </w:tr>
      <w:tr>
        <w:trPr>
          <w:trHeight w:val="21"/>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3"/>
        </w:trPr>
        <w:tc>
          <w:tcPr>
            <w:tcW w:w="7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76,646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353,834</w:t>
            </w:r>
          </w:p>
        </w:tc>
      </w:tr>
      <w:tr>
        <w:trPr>
          <w:trHeight w:val="200"/>
        </w:trPr>
        <w:tc>
          <w:tcPr>
            <w:tcW w:w="7620" w:type="dxa"/>
            <w:vAlign w:val="bottom"/>
          </w:tcPr>
          <w:p>
            <w:pPr>
              <w:ind w:left="100"/>
              <w:spacing w:after="0"/>
              <w:rPr>
                <w:sz w:val="20"/>
                <w:szCs w:val="20"/>
                <w:color w:val="auto"/>
              </w:rPr>
            </w:pPr>
            <w:r>
              <w:rPr>
                <w:rFonts w:ascii="Arial" w:cs="Arial" w:eastAsia="Arial" w:hAnsi="Arial"/>
                <w:sz w:val="14"/>
                <w:szCs w:val="14"/>
                <w:color w:val="auto"/>
              </w:rPr>
              <w:t>Restricted cash at end of period</w:t>
            </w:r>
          </w:p>
        </w:tc>
        <w:tc>
          <w:tcPr>
            <w:tcW w:w="220" w:type="dxa"/>
            <w:vAlign w:val="bottom"/>
          </w:tcPr>
          <w:p>
            <w:pPr>
              <w:spacing w:after="0"/>
              <w:rPr>
                <w:sz w:val="17"/>
                <w:szCs w:val="17"/>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3,222</w:t>
            </w:r>
          </w:p>
        </w:tc>
      </w:tr>
      <w:tr>
        <w:trPr>
          <w:trHeight w:val="21"/>
        </w:trPr>
        <w:tc>
          <w:tcPr>
            <w:tcW w:w="7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9"/>
        </w:trPr>
        <w:tc>
          <w:tcPr>
            <w:tcW w:w="7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Cash, cash equivalents, and restricted cash at end of period</w:t>
            </w: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79,368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357,056</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17"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1"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(Unaudited)</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 AND SIGNIFICANT ACCOUNTING POLICIES</w:t>
      </w:r>
    </w:p>
    <w:p>
      <w:pPr>
        <w:spacing w:after="0" w:line="11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are a life science technology company that is designing, developing, and manufacturing advanced sequencing solutions that enable scientists and clinical researchers to improve their understanding of the genome and ultimately, resolve genetically complex problems. Our products and technology under development stem from two highly differentiated core technologies focused on accuracy, quality, and completeness, which include our HiFi long-read sequencing technology and our Sequencing by Binding (SBB</w:t>
      </w:r>
      <w:r>
        <w:rPr>
          <w:rFonts w:ascii="Arial" w:cs="Arial" w:eastAsia="Arial" w:hAnsi="Arial"/>
          <w:sz w:val="22"/>
          <w:szCs w:val="22"/>
          <w:color w:val="auto"/>
          <w:vertAlign w:val="superscript"/>
        </w:rPr>
        <w:t>TM</w:t>
      </w:r>
      <w:r>
        <w:rPr>
          <w:rFonts w:ascii="Arial" w:cs="Arial" w:eastAsia="Arial" w:hAnsi="Arial"/>
          <w:sz w:val="17"/>
          <w:szCs w:val="17"/>
          <w:color w:val="auto"/>
        </w:rPr>
        <w:t>) short-read sequencing technology. Our products address solutions across a broad set of applications including human genetics, plant and animal sciences, infectious disease and microbiology, oncology, and other emerging applications. Our focus is on creating some of the world's most advanced sequencing systems to provide our customers with the most complete and accurate view of genomes, transcriptomes, and epigenomes. 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7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References in this report to “PacBio,” “we,” “us,” the “Company,” and “our” refer to Pacific Biosciences of California, Inc. and its consolidated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unaudited condensed consolidated financial statements have been prepared in conformity with accounting principles generally accepted in the United States, or U.S. GAAP, as set forth in the Financial Accounting Standards Board, or FASB, Accounting Standards Codification, or ASC. The unaudited condensed consolidated financial statements include the accounts of Pacific Biosciences and our wholly owned subsidiaries. Certain information and footnote disclosures typically included in our audited financial statements have been condensed or omitted. The accompanying unaudited condensed consolidated financial statements have been prepared on a consistent basis with the December 31, 2023 audited consolidated financial statements and include all adjustments, consisting of only normal recurring adjustments, necessary to fairly state our financial position, results of operations, comprehensive loss, and cash flows for the period, but are not necessarily indicative of the results to be expected for the entire year or any future periods. All intercompany transactions and balances have been eliminated. Certain prior period amounts have been reclassified to conform to current period presentation.</w:t>
      </w:r>
    </w:p>
    <w:p>
      <w:pPr>
        <w:spacing w:after="0" w:line="7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financial statements should be read in conjunction with the audited consolidated financial statements and notes included in our Annual Report on Form 10-K for the year ended December 31, 2023.</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amounts reported in the financial statements and accompanying notes to the financial statements. On an ongoing basis, we evaluate our significant estimates, including those relating to the valuation of inventory, fair value of contingent consideration, valuation of acquired intangible assets, useful lives assigned to long-lived assets, asset impairment assessments, computation of provisions for income taxes, and valuations related to our convertible senior notes. While the extent of the potential impact of current macroeconomic conditions on our business is highly uncertain, we considered information available related to assumptions and estimates used to determine the results reported and asset valuations as of March 31, 2024. Actual results could differ materially from these estimates.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Restricted Cash and Investments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classify our investments in debt securities as available-for 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loss in stockholders’ equity. Realized gains and losses, expected credit losses, as well as interest income, on available-for-sale securities are also reported in other income (expense),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(expense), net. We have the ability to hold, and do not intend to sell investments in unrealized loss positions before the recovery of their amortized cost bases.</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Restricted cash includes cash that is not readily available for use in the Company’s operating activities. Restricted cash is primarily comprised of cash pledged under letters of credit.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and Other Risks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For the three months ended March 31, 2024, no customer exceeded 10% of total revenue during the period. For the three months ended March 31, 2023, no customer exceeded 10% of total revenue during the period.</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March 31, 2024, 42% of our accounts receivable were from domestic customers, compared to 49% as of December 31, 2023. As of March 31, 2024, no customer represented 10% or greater of our net accounts receivable, while one customer represented approximately 10% of our net accounts receivable as of December 31, 2023.</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Pronouncements Pending Adoption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2023, the FASB issued ASU 2023-09, Income Taxes (Topic 740): Improvements to Income Tax Disclosures. This ASU requires entities to expand its existing income tax disclosures, specifically related to the rate reconciliation and income taxes paid. This authoritative guidance will be effective for us in fiscal year 2025, with early adoption permitted. The Company is currently evaluating the impact of the ASU but does not expect any material impact upon adoption.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There have been no changes to our significant accounting policies as disclosed in the Annual Report on Form 10-K for the fiscal year ended December 31, 2023.</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BUSINESS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Apton Biosystems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On August 2, 2023, we acquired Apton Biosystems, Inc. (“Apton”), a California-based genomics company focused on developing a high throughput short-read sequencer using highly differentiated optics and image processing, paired with novel clustering and chemistry (the “Apton acquisition”).</w:t>
      </w:r>
    </w:p>
    <w:p>
      <w:pPr>
        <w:spacing w:after="0" w:line="2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Apton acquisition, all outstanding equity securities of Apton were cancelled in exchange for shares of our common stock with a fair value of $76.6 million, cash of $0.2 million, and contingent consideration with a preliminary estimated fair value of $18.5 million. Excluded from consideration transferred was $1.3 million attributable to accelerated share-based compensation expense. The fair value of the 6,121,571 common shares issued was determined based on the closing market price of our common stock on the acquisition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connection with the Apton acquisition, contingent consideration of $25.0 million, which we may elect to pay in cash, shares of our common stock or a combination of cash and shares of our common stock, is due upon the achievement of a milestone, defined as the achievement of $50.0 million in revenue associated with Apton's technology, provided that the milestone event occurs prior to the 5-year anniversary of the closing date of the acquisition. At this time, the number of shares, if any, to be issued in connection with the achievement of the specified milestone is not known and will be calculated based on the daily volume-weighted average price of our common stock for the twenty trading days ending on and including the fifth trading day immediately prior to the occurrence of the specified milestone. Upon achievement of the milestone, we may pay cash in lieu of our common stock to ensure that the issuance of our common stock does not exceed 19.9% of our outstanding shares of common stock then outstanding.</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contingent consideration is accounted for as a liability at fair value, with changes during each reporting period recognized in our Consolidated Statements of Operations and Comprehensive Loss. The fair value of the contingent consideration liability is calculated, with the assistance from a third-party valuation firm, using a Monte Carlo Simulation to estimate the volatility and systematic relative risk of revenues subject to sales milestone payments and discounting the associated cash payment amounts to their present values using a credit-risk-adjusted interest rate.</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allocated the consideration transferred to the identifiable assets acquired and liabilities assumed based on preliminary estimates of their respective fair values at the date of the completion of the Apton acquisition, and such allocation is subject to adjustment for up to one year after the close of the acquisition as additional information is obtained. The major classes of assets and liabilities to which we have allocated the total fair value of the consideration transferred, based on the preliminary estimated fair values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65405</wp:posOffset>
            </wp:positionV>
            <wp:extent cx="7137400" cy="148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7137400" cy="148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7137400" cy="148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 liability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7137400" cy="173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7400" cy="173355"/>
                    </a:xfrm>
                    <a:prstGeom prst="rect">
                      <a:avLst/>
                    </a:prstGeom>
                    <a:noFill/>
                  </pic:spPr>
                </pic:pic>
              </a:graphicData>
            </a:graphic>
          </wp:anchor>
        </w:drawing>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Total consideration transferred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240" w:hanging="1235"/>
        <w:spacing w:after="0"/>
        <w:tabs>
          <w:tab w:leader="none" w:pos="1240" w:val="left"/>
        </w:tabs>
        <w:numPr>
          <w:ilvl w:val="0"/>
          <w:numId w:val="1"/>
        </w:numPr>
        <w:rPr>
          <w:rFonts w:ascii="Arial" w:cs="Arial" w:eastAsia="Arial" w:hAnsi="Arial"/>
          <w:sz w:val="16"/>
          <w:szCs w:val="16"/>
          <w:color w:val="auto"/>
        </w:rPr>
      </w:pPr>
      <w:r>
        <w:rPr>
          <w:rFonts w:ascii="Arial" w:cs="Arial" w:eastAsia="Arial" w:hAnsi="Arial"/>
          <w:sz w:val="16"/>
          <w:szCs w:val="16"/>
          <w:color w:val="auto"/>
        </w:rPr>
        <w:t>97</w:t>
      </w:r>
    </w:p>
    <w:p>
      <w:pPr>
        <w:spacing w:after="0" w:line="50"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55,000</w:t>
      </w:r>
    </w:p>
    <w:p>
      <w:pPr>
        <w:spacing w:after="0" w:line="50"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52,287</w:t>
      </w:r>
    </w:p>
    <w:p>
      <w:pPr>
        <w:spacing w:after="0" w:line="50"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153</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(11,338)</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(2,191)</w:t>
      </w:r>
    </w:p>
    <w:p>
      <w:pPr>
        <w:spacing w:after="0" w:line="63" w:lineRule="exact"/>
        <w:rPr>
          <w:sz w:val="20"/>
          <w:szCs w:val="20"/>
          <w:color w:val="auto"/>
        </w:rPr>
      </w:pPr>
    </w:p>
    <w:p>
      <w:pPr>
        <w:ind w:left="940" w:hanging="935"/>
        <w:spacing w:after="0"/>
        <w:tabs>
          <w:tab w:leader="none" w:pos="940" w:val="left"/>
        </w:tabs>
        <w:numPr>
          <w:ilvl w:val="0"/>
          <w:numId w:val="2"/>
        </w:numPr>
        <w:rPr>
          <w:rFonts w:ascii="Arial" w:cs="Arial" w:eastAsia="Arial" w:hAnsi="Arial"/>
          <w:sz w:val="16"/>
          <w:szCs w:val="16"/>
          <w:color w:val="auto"/>
        </w:rPr>
      </w:pPr>
      <w:r>
        <w:rPr>
          <w:rFonts w:ascii="Arial" w:cs="Arial" w:eastAsia="Arial" w:hAnsi="Arial"/>
          <w:sz w:val="16"/>
          <w:szCs w:val="16"/>
          <w:color w:val="auto"/>
        </w:rPr>
        <w:t>94,008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949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40" w:space="720"/>
            <w:col w:w="1480"/>
          </w:cols>
          <w:pgMar w:left="320" w:top="122" w:right="339" w:bottom="1440" w:gutter="0" w:footer="0" w:header="0"/>
          <w:type w:val="continuous"/>
        </w:sectPr>
      </w:pPr>
    </w:p>
    <w:p>
      <w:pPr>
        <w:spacing w:after="0" w:line="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purchase price allocation is preliminary, primarily due to the pending finalization of the review of various tax attributes. We expect to finalize the purchase price allocation within 12 months of the acquisition date. We will recognize adjustments to the preliminary amounts with a corresponding adjustment to goodwill in the reporting period in which the adjustments to the preliminary amounts are determined.</w:t>
      </w:r>
    </w:p>
    <w:p>
      <w:pPr>
        <w:spacing w:after="0" w:line="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incurred costs related to the Apton acquisition of approximately $9.0 million during the year ended December 31, 2023. Merger-related expenses include $2.8 million relating to a liquidity event bonus plan that was treated as a separate transaction and included the issuance of 168,621 shares of common stock that were issued with a fair value of $2.1 million based on the closing market price of our common stock on the acquisition date. As a result, the total shares issued in connection with the Apton acquisition were 6.3 million shares of common stock.</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excess of the value of consideration paid over the aggregate fair value of those net assets has been recorded as goodwill. We recognized goodwill of $ 52.3 million, based on preliminary estimates, which is primarily attributable to the synergies expected to occur from the integration of Apton and is not deductible for income tax purposes. We preliminarily allocated $55.0 million of the purchase price to acquired in-process research and development ("IPR&amp;D"). The fair value of the IPR&amp;D was determined, with the assistance of a third-party valuation firm, using an income approach based on a forecast of expected future cash flows. Expected future cash flows utilize significant assumptions such as assumed revenue growth, discount rate and obsolescence factors.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Fair value is the exchange price that would be received to sell an asset or paid to transfer a liability in an orderly transaction between market participants at the measurement date.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fair value hierarchy established under GAAP requires an entity to maximize the use of observable inputs and minimize the use of unobservable inputs when measuring fair value. The three levels of inputs that may be used to measure fair value are as follows:</w:t>
      </w:r>
    </w:p>
    <w:p>
      <w:pPr>
        <w:spacing w:after="0" w:line="38" w:lineRule="exact"/>
        <w:rPr>
          <w:sz w:val="20"/>
          <w:szCs w:val="20"/>
          <w:color w:val="auto"/>
        </w:rPr>
      </w:pPr>
    </w:p>
    <w:p>
      <w:pPr>
        <w:ind w:left="620" w:hanging="304"/>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w:t>
      </w:r>
    </w:p>
    <w:p>
      <w:pPr>
        <w:spacing w:after="0" w:line="116" w:lineRule="exact"/>
        <w:rPr>
          <w:rFonts w:ascii="Arial" w:cs="Arial" w:eastAsia="Arial" w:hAnsi="Arial"/>
          <w:sz w:val="17"/>
          <w:szCs w:val="17"/>
          <w:color w:val="auto"/>
        </w:rPr>
      </w:pPr>
    </w:p>
    <w:p>
      <w:pPr>
        <w:jc w:val="both"/>
        <w:ind w:left="620" w:hanging="304"/>
        <w:spacing w:after="0" w:line="276"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54"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carrying amount of our accounts receivable, prepaid expenses, other current assets, accounts payable, accrued expenses and other liabilities, current, approximate fair value due to their short maturities.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fair value of our financial assets and liabilities that were measured on a recurring basis: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March 31, 2024</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Level 1</w:t>
            </w:r>
          </w:p>
        </w:tc>
        <w:tc>
          <w:tcPr>
            <w:tcW w:w="16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Level 3</w:t>
            </w:r>
          </w:p>
        </w:tc>
        <w:tc>
          <w:tcPr>
            <w:tcW w:w="20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Level 1</w:t>
            </w: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Level 3</w:t>
            </w:r>
          </w:p>
        </w:tc>
        <w:tc>
          <w:tcPr>
            <w:tcW w:w="260" w:type="dxa"/>
            <w:vAlign w:val="bottom"/>
          </w:tcPr>
          <w:p>
            <w:pPr>
              <w:spacing w:after="0"/>
              <w:rPr>
                <w:sz w:val="17"/>
                <w:szCs w:val="17"/>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
        </w:trPr>
        <w:tc>
          <w:tcPr>
            <w:tcW w:w="3200" w:type="dxa"/>
            <w:vAlign w:val="bottom"/>
            <w:vMerge w:val="restart"/>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71,652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76,646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70,172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109,739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179,911</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Commercial paper</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10,078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10,078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9,947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9,947</w:t>
            </w:r>
          </w:p>
        </w:tc>
        <w:tc>
          <w:tcPr>
            <w:tcW w:w="0" w:type="dxa"/>
            <w:vAlign w:val="bottom"/>
          </w:tcPr>
          <w:p>
            <w:pPr>
              <w:spacing w:after="0"/>
              <w:rPr>
                <w:sz w:val="1"/>
                <w:szCs w:val="1"/>
                <w:color w:val="auto"/>
              </w:rPr>
            </w:pPr>
          </w:p>
        </w:tc>
      </w:tr>
      <w:tr>
        <w:trPr>
          <w:trHeight w:val="200"/>
        </w:trPr>
        <w:tc>
          <w:tcPr>
            <w:tcW w:w="3200" w:type="dxa"/>
            <w:vAlign w:val="bottom"/>
          </w:tcPr>
          <w:p>
            <w:pPr>
              <w:ind w:left="100"/>
              <w:spacing w:after="0"/>
              <w:rPr>
                <w:sz w:val="20"/>
                <w:szCs w:val="20"/>
                <w:color w:val="auto"/>
              </w:rPr>
            </w:pPr>
            <w:r>
              <w:rPr>
                <w:rFonts w:ascii="Arial" w:cs="Arial" w:eastAsia="Arial" w:hAnsi="Arial"/>
                <w:sz w:val="14"/>
                <w:szCs w:val="14"/>
                <w:color w:val="auto"/>
              </w:rPr>
              <w:t>Corporate debt securities</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88,802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88,802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88,579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88,579</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U.S. government &amp; agency securities</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386,388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386,388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352,979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352,979</w:t>
            </w:r>
          </w:p>
        </w:tc>
        <w:tc>
          <w:tcPr>
            <w:tcW w:w="0" w:type="dxa"/>
            <w:vAlign w:val="bottom"/>
          </w:tcPr>
          <w:p>
            <w:pPr>
              <w:spacing w:after="0"/>
              <w:rPr>
                <w:sz w:val="1"/>
                <w:szCs w:val="1"/>
                <w:color w:val="auto"/>
              </w:rPr>
            </w:pPr>
          </w:p>
        </w:tc>
      </w:tr>
      <w:tr>
        <w:trPr>
          <w:trHeight w:val="193"/>
        </w:trPr>
        <w:tc>
          <w:tcPr>
            <w:tcW w:w="3200" w:type="dxa"/>
            <w:vAlign w:val="bottom"/>
          </w:tcPr>
          <w:p>
            <w:pPr>
              <w:ind w:left="260"/>
              <w:spacing w:after="0"/>
              <w:rPr>
                <w:sz w:val="20"/>
                <w:szCs w:val="20"/>
                <w:color w:val="auto"/>
              </w:rPr>
            </w:pPr>
            <w:r>
              <w:rPr>
                <w:rFonts w:ascii="Arial" w:cs="Arial" w:eastAsia="Arial" w:hAnsi="Arial"/>
                <w:sz w:val="14"/>
                <w:szCs w:val="14"/>
                <w:color w:val="auto"/>
              </w:rPr>
              <w:t>Total investments</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485,268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485,268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451,505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451,505</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4"/>
                <w:szCs w:val="14"/>
                <w:color w:val="auto"/>
              </w:rPr>
              <w:t>Short-term restricted cash</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2,422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2,422</w:t>
            </w:r>
          </w:p>
        </w:tc>
        <w:tc>
          <w:tcPr>
            <w:tcW w:w="0" w:type="dxa"/>
            <w:vAlign w:val="bottom"/>
          </w:tcPr>
          <w:p>
            <w:pPr>
              <w:spacing w:after="0"/>
              <w:rPr>
                <w:sz w:val="1"/>
                <w:szCs w:val="1"/>
                <w:color w:val="auto"/>
              </w:rPr>
            </w:pPr>
          </w:p>
        </w:tc>
      </w:tr>
      <w:tr>
        <w:trPr>
          <w:trHeight w:val="193"/>
        </w:trPr>
        <w:tc>
          <w:tcPr>
            <w:tcW w:w="3200" w:type="dxa"/>
            <w:vAlign w:val="bottom"/>
          </w:tcPr>
          <w:p>
            <w:pPr>
              <w:ind w:left="260"/>
              <w:spacing w:after="0"/>
              <w:rPr>
                <w:sz w:val="20"/>
                <w:szCs w:val="20"/>
                <w:color w:val="auto"/>
              </w:rPr>
            </w:pPr>
            <w:r>
              <w:rPr>
                <w:rFonts w:ascii="Arial" w:cs="Arial" w:eastAsia="Arial" w:hAnsi="Arial"/>
                <w:sz w:val="14"/>
                <w:szCs w:val="14"/>
                <w:color w:val="auto"/>
              </w:rPr>
              <w:t>Total assets measured at fair value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74,374</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490,262</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564,636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72,894</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561,244</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634,138</w:t>
            </w:r>
          </w:p>
        </w:tc>
        <w:tc>
          <w:tcPr>
            <w:tcW w:w="0" w:type="dxa"/>
            <w:vAlign w:val="bottom"/>
          </w:tcPr>
          <w:p>
            <w:pPr>
              <w:spacing w:after="0"/>
              <w:rPr>
                <w:sz w:val="1"/>
                <w:szCs w:val="1"/>
                <w:color w:val="auto"/>
              </w:rPr>
            </w:pPr>
          </w:p>
        </w:tc>
      </w:tr>
      <w:tr>
        <w:trPr>
          <w:trHeight w:val="21"/>
        </w:trPr>
        <w:tc>
          <w:tcPr>
            <w:tcW w:w="3200" w:type="dxa"/>
            <w:vAlign w:val="bottom"/>
            <w:vMerge w:val="restart"/>
          </w:tcPr>
          <w:p>
            <w:pPr>
              <w:ind w:left="20"/>
              <w:spacing w:after="0"/>
              <w:rPr>
                <w:sz w:val="20"/>
                <w:szCs w:val="20"/>
                <w:color w:val="auto"/>
              </w:rPr>
            </w:pPr>
            <w:r>
              <w:rPr>
                <w:rFonts w:ascii="Arial" w:cs="Arial" w:eastAsia="Arial" w:hAnsi="Arial"/>
                <w:sz w:val="14"/>
                <w:szCs w:val="14"/>
                <w:color w:val="auto"/>
              </w:rPr>
              <w:t>Liabilities</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Contingent consideration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19,480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19,550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19,550</w:t>
            </w:r>
          </w:p>
        </w:tc>
        <w:tc>
          <w:tcPr>
            <w:tcW w:w="0" w:type="dxa"/>
            <w:vAlign w:val="bottom"/>
          </w:tcPr>
          <w:p>
            <w:pPr>
              <w:spacing w:after="0"/>
              <w:rPr>
                <w:sz w:val="1"/>
                <w:szCs w:val="1"/>
                <w:color w:val="auto"/>
              </w:rPr>
            </w:pPr>
          </w:p>
        </w:tc>
      </w:tr>
      <w:tr>
        <w:trPr>
          <w:trHeight w:val="193"/>
        </w:trPr>
        <w:tc>
          <w:tcPr>
            <w:tcW w:w="3200" w:type="dxa"/>
            <w:vAlign w:val="bottom"/>
          </w:tcPr>
          <w:p>
            <w:pPr>
              <w:ind w:left="260"/>
              <w:spacing w:after="0"/>
              <w:rPr>
                <w:sz w:val="20"/>
                <w:szCs w:val="20"/>
                <w:color w:val="auto"/>
              </w:rPr>
            </w:pPr>
            <w:r>
              <w:rPr>
                <w:rFonts w:ascii="Arial" w:cs="Arial" w:eastAsia="Arial" w:hAnsi="Arial"/>
                <w:sz w:val="14"/>
                <w:szCs w:val="14"/>
                <w:color w:val="auto"/>
              </w:rPr>
              <w:t>Total liabilities measured at fair value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19,480</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19,480</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19,550</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19,550</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classify contingent consideration, which was incurred in connection with the acquisition of Apton, within Level 3, as factors used to develop the estimate of fair value include unobservable inputs that are not supported by market activity and are significant to the fair value. Estimates and assumptions used in the Monte Carlo simulation include risk-adjusted forecasted revenues for products and services leveraging Apton's technology and an estimated credit spread.</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estimate the fair value of the contingent consideration liability based on the simulated revenue of the Company through the 5-year anniversary of the closing date of the acquisition. As of March 31, 2024, the key input used in the determination of the fair value included projected revenues of the high-throughput short-read products and services leveraging Apton's technology. A decrease in the projected revenues would result in a decrease in the fair value of the liability. The discount rates used are the sum of the U.S. risk-free rate and the estimated subordinated credit spread for B- credit rating, which ranges from 7.4% to 7.7%. Changes in our estimated subordinated credit spread can result in changes in the fair value of the contingent consideration liability, where a lower credit spread may result in an increased liability valuation.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estimated fair value of the contingent consideration liability for the three months ended March 31, 2024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Level 3</w:t>
            </w:r>
          </w:p>
        </w:tc>
      </w:tr>
      <w:tr>
        <w:trPr>
          <w:trHeight w:val="23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as of December 31, 2023</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19,550</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estimated fair value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52"/>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as of March 31, 2024</w:t>
            </w: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19,480</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Changes to the fair value are recorded as change in fair value of contingent consideration in the Condensed Consolidated Statement of Operations and Comprehensive Loss.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For the three months ended March 31, 2024, there were no transfers between Level 1, Level 2, or Level 3 assets or liabilities reported at fair value on a recurring basis, and our valuation techniques did not change compared to the prior year.</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our cash, cash equivalents and investments: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ind w:left="740"/>
              <w:spacing w:after="0"/>
              <w:rPr>
                <w:sz w:val="20"/>
                <w:szCs w:val="20"/>
                <w:color w:val="auto"/>
              </w:rPr>
            </w:pPr>
            <w:r>
              <w:rPr>
                <w:rFonts w:ascii="Arial" w:cs="Arial" w:eastAsia="Arial" w:hAnsi="Arial"/>
                <w:sz w:val="16"/>
                <w:szCs w:val="16"/>
                <w:b w:val="1"/>
                <w:bCs w:val="1"/>
                <w:color w:val="auto"/>
              </w:rPr>
              <w:t>As of March 31, 2024</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2"/>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left="262"/>
              <w:spacing w:after="0"/>
              <w:rPr>
                <w:sz w:val="20"/>
                <w:szCs w:val="20"/>
                <w:color w:val="auto"/>
              </w:rPr>
            </w:pPr>
            <w:r>
              <w:rPr>
                <w:rFonts w:ascii="Arial" w:cs="Arial" w:eastAsia="Arial" w:hAnsi="Arial"/>
                <w:sz w:val="16"/>
                <w:szCs w:val="16"/>
                <w:color w:val="auto"/>
                <w:w w:val="98"/>
              </w:rPr>
              <w:t>Gross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color w:val="auto"/>
                <w:w w:val="98"/>
              </w:rPr>
              <w:t>Gross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2"/>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line="182" w:lineRule="exact"/>
              <w:rPr>
                <w:sz w:val="20"/>
                <w:szCs w:val="20"/>
                <w:color w:val="auto"/>
              </w:rPr>
            </w:pPr>
            <w:r>
              <w:rPr>
                <w:rFonts w:ascii="Arial" w:cs="Arial" w:eastAsia="Arial" w:hAnsi="Arial"/>
                <w:sz w:val="16"/>
                <w:szCs w:val="16"/>
                <w:color w:val="auto"/>
                <w:w w:val="99"/>
              </w:rPr>
              <w:t>Amortized</w:t>
            </w:r>
          </w:p>
        </w:tc>
        <w:tc>
          <w:tcPr>
            <w:tcW w:w="1120" w:type="dxa"/>
            <w:vAlign w:val="bottom"/>
          </w:tcPr>
          <w:p>
            <w:pPr>
              <w:jc w:val="center"/>
              <w:ind w:left="282"/>
              <w:spacing w:after="0" w:line="182" w:lineRule="exact"/>
              <w:rPr>
                <w:sz w:val="20"/>
                <w:szCs w:val="20"/>
                <w:color w:val="auto"/>
              </w:rPr>
            </w:pPr>
            <w:r>
              <w:rPr>
                <w:rFonts w:ascii="Arial" w:cs="Arial" w:eastAsia="Arial" w:hAnsi="Arial"/>
                <w:sz w:val="16"/>
                <w:szCs w:val="16"/>
                <w:color w:val="auto"/>
                <w:w w:val="97"/>
              </w:rPr>
              <w:t>unrealized</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line="182" w:lineRule="exact"/>
              <w:rPr>
                <w:sz w:val="20"/>
                <w:szCs w:val="20"/>
                <w:color w:val="auto"/>
              </w:rPr>
            </w:pPr>
            <w:r>
              <w:rPr>
                <w:rFonts w:ascii="Arial" w:cs="Arial" w:eastAsia="Arial" w:hAnsi="Arial"/>
                <w:sz w:val="16"/>
                <w:szCs w:val="16"/>
                <w:color w:val="auto"/>
                <w:w w:val="97"/>
              </w:rPr>
              <w:t>unrealized</w:t>
            </w:r>
          </w:p>
        </w:tc>
        <w:tc>
          <w:tcPr>
            <w:tcW w:w="320" w:type="dxa"/>
            <w:vAlign w:val="bottom"/>
          </w:tcPr>
          <w:p>
            <w:pPr>
              <w:spacing w:after="0"/>
              <w:rPr>
                <w:sz w:val="15"/>
                <w:szCs w:val="15"/>
                <w:color w:val="auto"/>
              </w:rPr>
            </w:pPr>
          </w:p>
        </w:tc>
        <w:tc>
          <w:tcPr>
            <w:tcW w:w="1160" w:type="dxa"/>
            <w:vAlign w:val="bottom"/>
          </w:tcPr>
          <w:p>
            <w:pPr>
              <w:jc w:val="right"/>
              <w:ind w:right="522"/>
              <w:spacing w:after="0" w:line="182" w:lineRule="exact"/>
              <w:rPr>
                <w:sz w:val="20"/>
                <w:szCs w:val="20"/>
                <w:color w:val="auto"/>
              </w:rPr>
            </w:pPr>
            <w:r>
              <w:rPr>
                <w:rFonts w:ascii="Arial" w:cs="Arial" w:eastAsia="Arial" w:hAnsi="Arial"/>
                <w:sz w:val="16"/>
                <w:szCs w:val="16"/>
                <w:color w:val="auto"/>
              </w:rPr>
              <w:t>Fair</w:t>
            </w:r>
          </w:p>
        </w:tc>
      </w:tr>
      <w:tr>
        <w:trPr>
          <w:trHeight w:val="226"/>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color w:val="auto"/>
                <w:w w:val="97"/>
              </w:rPr>
              <w:t>Cost</w:t>
            </w:r>
          </w:p>
        </w:tc>
        <w:tc>
          <w:tcPr>
            <w:tcW w:w="1120" w:type="dxa"/>
            <w:vAlign w:val="bottom"/>
          </w:tcPr>
          <w:p>
            <w:pPr>
              <w:jc w:val="center"/>
              <w:ind w:left="262"/>
              <w:spacing w:after="0"/>
              <w:rPr>
                <w:sz w:val="20"/>
                <w:szCs w:val="20"/>
                <w:color w:val="auto"/>
              </w:rPr>
            </w:pPr>
            <w:r>
              <w:rPr>
                <w:rFonts w:ascii="Arial" w:cs="Arial" w:eastAsia="Arial" w:hAnsi="Arial"/>
                <w:sz w:val="16"/>
                <w:szCs w:val="16"/>
                <w:color w:val="auto"/>
                <w:w w:val="99"/>
              </w:rPr>
              <w:t>gains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color w:val="auto"/>
                <w:w w:val="96"/>
              </w:rPr>
              <w:t>losses</w:t>
            </w:r>
          </w:p>
        </w:tc>
        <w:tc>
          <w:tcPr>
            <w:tcW w:w="320" w:type="dxa"/>
            <w:vAlign w:val="bottom"/>
          </w:tcPr>
          <w:p>
            <w:pPr>
              <w:spacing w:after="0"/>
              <w:rPr>
                <w:sz w:val="19"/>
                <w:szCs w:val="19"/>
                <w:color w:val="auto"/>
              </w:rPr>
            </w:pPr>
          </w:p>
        </w:tc>
        <w:tc>
          <w:tcPr>
            <w:tcW w:w="1160" w:type="dxa"/>
            <w:vAlign w:val="bottom"/>
          </w:tcPr>
          <w:p>
            <w:pPr>
              <w:jc w:val="right"/>
              <w:ind w:right="462"/>
              <w:spacing w:after="0"/>
              <w:rPr>
                <w:sz w:val="20"/>
                <w:szCs w:val="20"/>
                <w:color w:val="auto"/>
              </w:rPr>
            </w:pPr>
            <w:r>
              <w:rPr>
                <w:rFonts w:ascii="Arial" w:cs="Arial" w:eastAsia="Arial" w:hAnsi="Arial"/>
                <w:sz w:val="16"/>
                <w:szCs w:val="16"/>
                <w:color w:val="auto"/>
              </w:rPr>
              <w:t>Value</w:t>
            </w:r>
          </w:p>
        </w:tc>
      </w:tr>
      <w:tr>
        <w:trPr>
          <w:trHeight w:val="24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76,646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76,646</w:t>
            </w:r>
          </w:p>
        </w:tc>
      </w:tr>
      <w:tr>
        <w:trPr>
          <w:trHeight w:val="227"/>
        </w:trPr>
        <w:tc>
          <w:tcPr>
            <w:tcW w:w="50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10,078</w:t>
            </w:r>
          </w:p>
        </w:tc>
      </w:tr>
      <w:tr>
        <w:trPr>
          <w:trHeight w:val="227"/>
        </w:trPr>
        <w:tc>
          <w:tcPr>
            <w:tcW w:w="504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88,755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jc w:val="right"/>
              <w:ind w:right="2"/>
              <w:spacing w:after="0"/>
              <w:rPr>
                <w:sz w:val="20"/>
                <w:szCs w:val="20"/>
                <w:color w:val="auto"/>
              </w:rPr>
            </w:pPr>
            <w:r>
              <w:rPr>
                <w:rFonts w:ascii="Arial" w:cs="Arial" w:eastAsia="Arial" w:hAnsi="Arial"/>
                <w:sz w:val="16"/>
                <w:szCs w:val="16"/>
                <w:color w:val="auto"/>
                <w:w w:val="97"/>
              </w:rPr>
              <w:t>133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88,802</w:t>
            </w:r>
          </w:p>
        </w:tc>
      </w:tr>
      <w:tr>
        <w:trPr>
          <w:trHeight w:val="235"/>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&amp; agency securities</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386,741</w:t>
            </w:r>
          </w:p>
        </w:tc>
        <w:tc>
          <w:tcPr>
            <w:tcW w:w="10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386,388</w:t>
            </w:r>
          </w:p>
        </w:tc>
      </w:tr>
      <w:tr>
        <w:trPr>
          <w:trHeight w:val="227"/>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investments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485,574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7"/>
              </w:rPr>
              <w:t>208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485,268</w:t>
            </w:r>
          </w:p>
        </w:tc>
      </w:tr>
      <w:tr>
        <w:trPr>
          <w:trHeight w:val="259"/>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cash, cash equivalents and investments</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562,220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7"/>
              </w:rPr>
              <w:t>208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561,914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restricted cash</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Long-term restricted cash</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2,422</w:t>
            </w:r>
          </w:p>
        </w:tc>
        <w:tc>
          <w:tcPr>
            <w:tcW w:w="100" w:type="dxa"/>
            <w:vAlign w:val="bottom"/>
          </w:tcPr>
          <w:p>
            <w:pPr>
              <w:spacing w:after="0"/>
              <w:rPr>
                <w:sz w:val="17"/>
                <w:szCs w:val="17"/>
                <w:color w:val="auto"/>
              </w:rPr>
            </w:pPr>
          </w:p>
        </w:tc>
        <w:tc>
          <w:tcPr>
            <w:tcW w:w="1120" w:type="dxa"/>
            <w:vAlign w:val="bottom"/>
          </w:tcPr>
          <w:p>
            <w:pPr>
              <w:jc w:val="right"/>
              <w:ind w:right="942"/>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2,422</w:t>
            </w: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ind w:left="600"/>
              <w:spacing w:after="0"/>
              <w:rPr>
                <w:sz w:val="20"/>
                <w:szCs w:val="20"/>
                <w:color w:val="auto"/>
              </w:rPr>
            </w:pPr>
            <w:r>
              <w:rPr>
                <w:rFonts w:ascii="Arial" w:cs="Arial" w:eastAsia="Arial" w:hAnsi="Arial"/>
                <w:sz w:val="16"/>
                <w:szCs w:val="16"/>
                <w:b w:val="1"/>
                <w:bCs w:val="1"/>
                <w:color w:val="auto"/>
              </w:rPr>
              <w:t>As of December 31, 2023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2"/>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left="262"/>
              <w:spacing w:after="0"/>
              <w:rPr>
                <w:sz w:val="20"/>
                <w:szCs w:val="20"/>
                <w:color w:val="auto"/>
              </w:rPr>
            </w:pPr>
            <w:r>
              <w:rPr>
                <w:rFonts w:ascii="Arial" w:cs="Arial" w:eastAsia="Arial" w:hAnsi="Arial"/>
                <w:sz w:val="16"/>
                <w:szCs w:val="16"/>
                <w:color w:val="auto"/>
                <w:w w:val="98"/>
              </w:rPr>
              <w:t>Gross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color w:val="auto"/>
                <w:w w:val="98"/>
              </w:rPr>
              <w:t>Gross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2"/>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line="182" w:lineRule="exact"/>
              <w:rPr>
                <w:sz w:val="20"/>
                <w:szCs w:val="20"/>
                <w:color w:val="auto"/>
              </w:rPr>
            </w:pPr>
            <w:r>
              <w:rPr>
                <w:rFonts w:ascii="Arial" w:cs="Arial" w:eastAsia="Arial" w:hAnsi="Arial"/>
                <w:sz w:val="16"/>
                <w:szCs w:val="16"/>
                <w:color w:val="auto"/>
                <w:w w:val="99"/>
              </w:rPr>
              <w:t>Amortized</w:t>
            </w:r>
          </w:p>
        </w:tc>
        <w:tc>
          <w:tcPr>
            <w:tcW w:w="1120" w:type="dxa"/>
            <w:vAlign w:val="bottom"/>
          </w:tcPr>
          <w:p>
            <w:pPr>
              <w:jc w:val="center"/>
              <w:ind w:left="282"/>
              <w:spacing w:after="0" w:line="182" w:lineRule="exact"/>
              <w:rPr>
                <w:sz w:val="20"/>
                <w:szCs w:val="20"/>
                <w:color w:val="auto"/>
              </w:rPr>
            </w:pPr>
            <w:r>
              <w:rPr>
                <w:rFonts w:ascii="Arial" w:cs="Arial" w:eastAsia="Arial" w:hAnsi="Arial"/>
                <w:sz w:val="16"/>
                <w:szCs w:val="16"/>
                <w:color w:val="auto"/>
                <w:w w:val="97"/>
              </w:rPr>
              <w:t>unrealized</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line="182" w:lineRule="exact"/>
              <w:rPr>
                <w:sz w:val="20"/>
                <w:szCs w:val="20"/>
                <w:color w:val="auto"/>
              </w:rPr>
            </w:pPr>
            <w:r>
              <w:rPr>
                <w:rFonts w:ascii="Arial" w:cs="Arial" w:eastAsia="Arial" w:hAnsi="Arial"/>
                <w:sz w:val="16"/>
                <w:szCs w:val="16"/>
                <w:color w:val="auto"/>
                <w:w w:val="97"/>
              </w:rPr>
              <w:t>unrealized</w:t>
            </w:r>
          </w:p>
        </w:tc>
        <w:tc>
          <w:tcPr>
            <w:tcW w:w="320" w:type="dxa"/>
            <w:vAlign w:val="bottom"/>
          </w:tcPr>
          <w:p>
            <w:pPr>
              <w:spacing w:after="0"/>
              <w:rPr>
                <w:sz w:val="15"/>
                <w:szCs w:val="15"/>
                <w:color w:val="auto"/>
              </w:rPr>
            </w:pPr>
          </w:p>
        </w:tc>
        <w:tc>
          <w:tcPr>
            <w:tcW w:w="1160" w:type="dxa"/>
            <w:vAlign w:val="bottom"/>
          </w:tcPr>
          <w:p>
            <w:pPr>
              <w:jc w:val="right"/>
              <w:ind w:right="522"/>
              <w:spacing w:after="0" w:line="182" w:lineRule="exact"/>
              <w:rPr>
                <w:sz w:val="20"/>
                <w:szCs w:val="20"/>
                <w:color w:val="auto"/>
              </w:rPr>
            </w:pPr>
            <w:r>
              <w:rPr>
                <w:rFonts w:ascii="Arial" w:cs="Arial" w:eastAsia="Arial" w:hAnsi="Arial"/>
                <w:sz w:val="16"/>
                <w:szCs w:val="16"/>
                <w:color w:val="auto"/>
              </w:rPr>
              <w:t>Fair</w:t>
            </w:r>
          </w:p>
        </w:tc>
      </w:tr>
      <w:tr>
        <w:trPr>
          <w:trHeight w:val="226"/>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color w:val="auto"/>
                <w:w w:val="97"/>
              </w:rPr>
              <w:t>Cost</w:t>
            </w:r>
          </w:p>
        </w:tc>
        <w:tc>
          <w:tcPr>
            <w:tcW w:w="1120" w:type="dxa"/>
            <w:vAlign w:val="bottom"/>
          </w:tcPr>
          <w:p>
            <w:pPr>
              <w:jc w:val="center"/>
              <w:ind w:left="262"/>
              <w:spacing w:after="0"/>
              <w:rPr>
                <w:sz w:val="20"/>
                <w:szCs w:val="20"/>
                <w:color w:val="auto"/>
              </w:rPr>
            </w:pPr>
            <w:r>
              <w:rPr>
                <w:rFonts w:ascii="Arial" w:cs="Arial" w:eastAsia="Arial" w:hAnsi="Arial"/>
                <w:sz w:val="16"/>
                <w:szCs w:val="16"/>
                <w:color w:val="auto"/>
                <w:w w:val="99"/>
              </w:rPr>
              <w:t>gains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color w:val="auto"/>
                <w:w w:val="96"/>
              </w:rPr>
              <w:t>losses</w:t>
            </w:r>
          </w:p>
        </w:tc>
        <w:tc>
          <w:tcPr>
            <w:tcW w:w="320" w:type="dxa"/>
            <w:vAlign w:val="bottom"/>
          </w:tcPr>
          <w:p>
            <w:pPr>
              <w:spacing w:after="0"/>
              <w:rPr>
                <w:sz w:val="19"/>
                <w:szCs w:val="19"/>
                <w:color w:val="auto"/>
              </w:rPr>
            </w:pPr>
          </w:p>
        </w:tc>
        <w:tc>
          <w:tcPr>
            <w:tcW w:w="1160" w:type="dxa"/>
            <w:vAlign w:val="bottom"/>
          </w:tcPr>
          <w:p>
            <w:pPr>
              <w:jc w:val="right"/>
              <w:ind w:right="462"/>
              <w:spacing w:after="0"/>
              <w:rPr>
                <w:sz w:val="20"/>
                <w:szCs w:val="20"/>
                <w:color w:val="auto"/>
              </w:rPr>
            </w:pPr>
            <w:r>
              <w:rPr>
                <w:rFonts w:ascii="Arial" w:cs="Arial" w:eastAsia="Arial" w:hAnsi="Arial"/>
                <w:sz w:val="16"/>
                <w:szCs w:val="16"/>
                <w:color w:val="auto"/>
              </w:rPr>
              <w:t>Value</w:t>
            </w:r>
          </w:p>
        </w:tc>
      </w:tr>
      <w:tr>
        <w:trPr>
          <w:trHeight w:val="24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179,958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179,911</w:t>
            </w:r>
          </w:p>
        </w:tc>
      </w:tr>
      <w:tr>
        <w:trPr>
          <w:trHeight w:val="227"/>
        </w:trPr>
        <w:tc>
          <w:tcPr>
            <w:tcW w:w="50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9,947</w:t>
            </w:r>
          </w:p>
        </w:tc>
      </w:tr>
      <w:tr>
        <w:trPr>
          <w:trHeight w:val="227"/>
        </w:trPr>
        <w:tc>
          <w:tcPr>
            <w:tcW w:w="504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88,263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jc w:val="right"/>
              <w:ind w:right="2"/>
              <w:spacing w:after="0"/>
              <w:rPr>
                <w:sz w:val="20"/>
                <w:szCs w:val="20"/>
                <w:color w:val="auto"/>
              </w:rPr>
            </w:pPr>
            <w:r>
              <w:rPr>
                <w:rFonts w:ascii="Arial" w:cs="Arial" w:eastAsia="Arial" w:hAnsi="Arial"/>
                <w:sz w:val="16"/>
                <w:szCs w:val="16"/>
                <w:color w:val="auto"/>
                <w:w w:val="97"/>
              </w:rPr>
              <w:t>373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88,579</w:t>
            </w:r>
          </w:p>
        </w:tc>
      </w:tr>
      <w:tr>
        <w:trPr>
          <w:trHeight w:val="235"/>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&amp; agency securities</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353,029</w:t>
            </w:r>
          </w:p>
        </w:tc>
        <w:tc>
          <w:tcPr>
            <w:tcW w:w="10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7"/>
              </w:rPr>
              <w:t>478</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352,979</w:t>
            </w:r>
          </w:p>
        </w:tc>
      </w:tr>
      <w:tr>
        <w:trPr>
          <w:trHeight w:val="227"/>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investments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451,239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7"/>
              </w:rPr>
              <w:t>851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451,505</w:t>
            </w:r>
          </w:p>
        </w:tc>
      </w:tr>
      <w:tr>
        <w:trPr>
          <w:trHeight w:val="259"/>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cash, cash equivalents and investments</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631,197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7"/>
              </w:rPr>
              <w:t>864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631,416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restricted cash</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Long-term restricted cash</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2,422</w:t>
            </w:r>
          </w:p>
        </w:tc>
        <w:tc>
          <w:tcPr>
            <w:tcW w:w="100" w:type="dxa"/>
            <w:vAlign w:val="bottom"/>
          </w:tcPr>
          <w:p>
            <w:pPr>
              <w:spacing w:after="0"/>
              <w:rPr>
                <w:sz w:val="17"/>
                <w:szCs w:val="17"/>
                <w:color w:val="auto"/>
              </w:rPr>
            </w:pPr>
          </w:p>
        </w:tc>
        <w:tc>
          <w:tcPr>
            <w:tcW w:w="1120" w:type="dxa"/>
            <w:vAlign w:val="bottom"/>
          </w:tcPr>
          <w:p>
            <w:pPr>
              <w:jc w:val="right"/>
              <w:ind w:right="942"/>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2,422</w:t>
            </w: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following table summarizes the contractual maturities of our cash equivalents and available-for-sale investments, excluding money market funds, as of March 31, 2024:</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Fair Value</w:t>
            </w:r>
          </w:p>
        </w:tc>
      </w:tr>
      <w:tr>
        <w:trPr>
          <w:trHeight w:val="23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380,422</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one year through five years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109,840</w:t>
            </w:r>
          </w:p>
        </w:tc>
      </w:tr>
      <w:tr>
        <w:trPr>
          <w:trHeight w:val="252"/>
        </w:trPr>
        <w:tc>
          <w:tcPr>
            <w:tcW w:w="9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490,262</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Actual maturities may differ from contractual maturities because issuers may have the right to call or prepay obligations without call or prepayment penalties.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Investment income included in other income, net on the Condensed Consolidated Statement of Operations and Comprehensive Loss was $7.2 million for the three months ended March 31, 2024 and $6.8 million for the three months ended March 31, 2023.</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BALANCE SHEET COMPONENTS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inventory, net, consisted of the following components:</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7137400" cy="156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Purchased materials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7137400" cy="148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Finished goods</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Inventory,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240" w:type="dxa"/>
            <w:vAlign w:val="bottom"/>
          </w:tcPr>
          <w:p>
            <w:pPr>
              <w:spacing w:after="0"/>
              <w:rPr>
                <w:sz w:val="18"/>
                <w:szCs w:val="18"/>
                <w:color w:val="auto"/>
              </w:rPr>
            </w:pPr>
          </w:p>
        </w:tc>
        <w:tc>
          <w:tcPr>
            <w:tcW w:w="126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2"/>
        </w:trPr>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24,632</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20,168</w:t>
            </w:r>
          </w:p>
        </w:tc>
      </w:tr>
      <w:tr>
        <w:trPr>
          <w:trHeight w:val="234"/>
        </w:trPr>
        <w:tc>
          <w:tcPr>
            <w:tcW w:w="240" w:type="dxa"/>
            <w:vAlign w:val="bottom"/>
          </w:tcPr>
          <w:p>
            <w:pPr>
              <w:spacing w:after="0"/>
              <w:rPr>
                <w:sz w:val="20"/>
                <w:szCs w:val="20"/>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26,298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23,436</w:t>
            </w:r>
          </w:p>
        </w:tc>
      </w:tr>
      <w:tr>
        <w:trPr>
          <w:trHeight w:val="242"/>
        </w:trPr>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16,413</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13,072</w:t>
            </w:r>
          </w:p>
        </w:tc>
      </w:tr>
      <w:tr>
        <w:trPr>
          <w:trHeight w:val="227"/>
        </w:trPr>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67,343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56,676</w:t>
            </w:r>
          </w:p>
        </w:tc>
      </w:tr>
      <w:tr>
        <w:trPr>
          <w:trHeight w:val="26"/>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440" w:space="720"/>
            <w:col w:w="3080"/>
          </w:cols>
          <w:pgMar w:left="320" w:top="122" w:right="33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had goodwill of $462.3 million as of March 31, 2024 and December 31, 2023. Goodwill is reviewed for impairment at least annually during the second quarter, or more frequently if an event occurs indicating the potential for impairment. We performed our annual assessment for goodwill impairment in the second quarter of 2023, noting no impairment.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Intangible assets include acquired in-process research and development ("IPR&amp;D") of $55.0 million as a result of the Apton acquisition in August 2023. The IPR&amp;D will remain on our Consolidated Balance Sheet as an indefinite-lived intangible asset until the completion or abandonment of the associated research and development activities. During the development period following the acquisition, IPR&amp;D is not amortized, but instead is tested for impairment annually and more frequently if events or changes in circumstances indicate that it is more likely than not that the asset is impaired. Upon completion of the development, we will amortize the asset over the life of the product or record an impairment charge if the asset is determined to be impaired. We performed our annual assessment of IPR&amp;D in the third quarter of 2023 in connection with the completion of the IPR&amp;D acquired through the acquisition of Omniome, noting no impairment.</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IPR&amp;D, definite-lived intangible assets included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6"/>
                <w:szCs w:val="16"/>
                <w:b w:val="1"/>
                <w:bCs w:val="1"/>
                <w:color w:val="auto"/>
                <w:w w:val="97"/>
              </w:rPr>
              <w:t>As of March 31, 2024</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center"/>
              <w:ind w:left="682"/>
              <w:spacing w:after="0"/>
              <w:rPr>
                <w:sz w:val="20"/>
                <w:szCs w:val="20"/>
                <w:color w:val="auto"/>
              </w:rPr>
            </w:pPr>
            <w:r>
              <w:rPr>
                <w:rFonts w:ascii="Arial" w:cs="Arial" w:eastAsia="Arial" w:hAnsi="Arial"/>
                <w:sz w:val="16"/>
                <w:szCs w:val="16"/>
                <w:b w:val="1"/>
                <w:bCs w:val="1"/>
                <w:color w:val="auto"/>
                <w:w w:val="97"/>
              </w:rPr>
              <w:t>As of December 31, 2023</w:t>
            </w:r>
          </w:p>
        </w:tc>
        <w:tc>
          <w:tcPr>
            <w:tcW w:w="920" w:type="dxa"/>
            <w:vAlign w:val="bottom"/>
            <w:tcBorders>
              <w:bottom w:val="single" w:sz="8" w:color="auto"/>
            </w:tcBorders>
          </w:tcPr>
          <w:p>
            <w:pPr>
              <w:spacing w:after="0"/>
              <w:rPr>
                <w:sz w:val="19"/>
                <w:szCs w:val="19"/>
                <w:color w:val="auto"/>
              </w:rPr>
            </w:pPr>
          </w:p>
        </w:tc>
      </w:tr>
      <w:tr>
        <w:trPr>
          <w:trHeight w:val="192"/>
        </w:trPr>
        <w:tc>
          <w:tcPr>
            <w:tcW w:w="230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Estimated</w:t>
            </w:r>
          </w:p>
        </w:tc>
        <w:tc>
          <w:tcPr>
            <w:tcW w:w="200" w:type="dxa"/>
            <w:vAlign w:val="bottom"/>
          </w:tcPr>
          <w:p>
            <w:pPr>
              <w:spacing w:after="0"/>
              <w:rPr>
                <w:sz w:val="16"/>
                <w:szCs w:val="16"/>
                <w:color w:val="auto"/>
              </w:rPr>
            </w:pPr>
          </w:p>
        </w:tc>
        <w:tc>
          <w:tcPr>
            <w:tcW w:w="940" w:type="dxa"/>
            <w:vAlign w:val="bottom"/>
          </w:tcPr>
          <w:p>
            <w:pPr>
              <w:jc w:val="center"/>
              <w:ind w:right="122"/>
              <w:spacing w:after="0"/>
              <w:rPr>
                <w:sz w:val="20"/>
                <w:szCs w:val="20"/>
                <w:color w:val="auto"/>
              </w:rPr>
            </w:pPr>
            <w:r>
              <w:rPr>
                <w:rFonts w:ascii="Arial" w:cs="Arial" w:eastAsia="Arial" w:hAnsi="Arial"/>
                <w:sz w:val="16"/>
                <w:szCs w:val="16"/>
                <w:color w:val="auto"/>
                <w:w w:val="98"/>
              </w:rPr>
              <w:t>Gross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Net</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Gross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22"/>
              <w:spacing w:after="0"/>
              <w:rPr>
                <w:sz w:val="20"/>
                <w:szCs w:val="20"/>
                <w:color w:val="auto"/>
              </w:rPr>
            </w:pPr>
            <w:r>
              <w:rPr>
                <w:rFonts w:ascii="Arial" w:cs="Arial" w:eastAsia="Arial" w:hAnsi="Arial"/>
                <w:sz w:val="16"/>
                <w:szCs w:val="16"/>
                <w:color w:val="auto"/>
                <w:w w:val="96"/>
              </w:rPr>
              <w:t>Net</w:t>
            </w:r>
          </w:p>
        </w:tc>
      </w:tr>
      <w:tr>
        <w:trPr>
          <w:trHeight w:val="182"/>
        </w:trPr>
        <w:tc>
          <w:tcPr>
            <w:tcW w:w="2300" w:type="dxa"/>
            <w:vAlign w:val="bottom"/>
          </w:tcPr>
          <w:p>
            <w:pPr>
              <w:spacing w:after="0"/>
              <w:rPr>
                <w:sz w:val="15"/>
                <w:szCs w:val="15"/>
                <w:color w:val="auto"/>
              </w:rPr>
            </w:pPr>
          </w:p>
        </w:tc>
        <w:tc>
          <w:tcPr>
            <w:tcW w:w="1200" w:type="dxa"/>
            <w:vAlign w:val="bottom"/>
            <w:gridSpan w:val="2"/>
          </w:tcPr>
          <w:p>
            <w:pPr>
              <w:ind w:left="180"/>
              <w:spacing w:after="0" w:line="182" w:lineRule="exact"/>
              <w:rPr>
                <w:sz w:val="20"/>
                <w:szCs w:val="20"/>
                <w:color w:val="auto"/>
              </w:rPr>
            </w:pPr>
            <w:r>
              <w:rPr>
                <w:rFonts w:ascii="Arial" w:cs="Arial" w:eastAsia="Arial" w:hAnsi="Arial"/>
                <w:sz w:val="16"/>
                <w:szCs w:val="16"/>
                <w:color w:val="auto"/>
              </w:rPr>
              <w:t>Useful Life</w:t>
            </w:r>
          </w:p>
        </w:tc>
        <w:tc>
          <w:tcPr>
            <w:tcW w:w="200" w:type="dxa"/>
            <w:vAlign w:val="bottom"/>
          </w:tcPr>
          <w:p>
            <w:pPr>
              <w:spacing w:after="0"/>
              <w:rPr>
                <w:sz w:val="15"/>
                <w:szCs w:val="15"/>
                <w:color w:val="auto"/>
              </w:rPr>
            </w:pPr>
          </w:p>
        </w:tc>
        <w:tc>
          <w:tcPr>
            <w:tcW w:w="940" w:type="dxa"/>
            <w:vAlign w:val="bottom"/>
          </w:tcPr>
          <w:p>
            <w:pPr>
              <w:jc w:val="center"/>
              <w:ind w:right="122"/>
              <w:spacing w:after="0" w:line="182" w:lineRule="exact"/>
              <w:rPr>
                <w:sz w:val="20"/>
                <w:szCs w:val="20"/>
                <w:color w:val="auto"/>
              </w:rPr>
            </w:pPr>
            <w:r>
              <w:rPr>
                <w:rFonts w:ascii="Arial" w:cs="Arial" w:eastAsia="Arial" w:hAnsi="Arial"/>
                <w:sz w:val="16"/>
                <w:szCs w:val="16"/>
                <w:color w:val="auto"/>
                <w:w w:val="95"/>
              </w:rPr>
              <w:t>Carrying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center"/>
              <w:ind w:right="280"/>
              <w:spacing w:after="0" w:line="182" w:lineRule="exact"/>
              <w:rPr>
                <w:sz w:val="20"/>
                <w:szCs w:val="20"/>
                <w:color w:val="auto"/>
              </w:rPr>
            </w:pPr>
            <w:r>
              <w:rPr>
                <w:rFonts w:ascii="Arial" w:cs="Arial" w:eastAsia="Arial" w:hAnsi="Arial"/>
                <w:sz w:val="16"/>
                <w:szCs w:val="16"/>
                <w:color w:val="auto"/>
                <w:w w:val="97"/>
              </w:rPr>
              <w:t>Accumulated</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line="182" w:lineRule="exact"/>
              <w:rPr>
                <w:sz w:val="20"/>
                <w:szCs w:val="20"/>
                <w:color w:val="auto"/>
              </w:rPr>
            </w:pPr>
            <w:r>
              <w:rPr>
                <w:rFonts w:ascii="Arial" w:cs="Arial" w:eastAsia="Arial" w:hAnsi="Arial"/>
                <w:sz w:val="16"/>
                <w:szCs w:val="16"/>
                <w:color w:val="auto"/>
                <w:w w:val="99"/>
              </w:rPr>
              <w:t>Carrying</w:t>
            </w:r>
          </w:p>
        </w:tc>
        <w:tc>
          <w:tcPr>
            <w:tcW w:w="180" w:type="dxa"/>
            <w:vAlign w:val="bottom"/>
          </w:tcPr>
          <w:p>
            <w:pPr>
              <w:spacing w:after="0"/>
              <w:rPr>
                <w:sz w:val="15"/>
                <w:szCs w:val="15"/>
                <w:color w:val="auto"/>
              </w:rPr>
            </w:pPr>
          </w:p>
        </w:tc>
        <w:tc>
          <w:tcPr>
            <w:tcW w:w="1040" w:type="dxa"/>
            <w:vAlign w:val="bottom"/>
            <w:gridSpan w:val="2"/>
          </w:tcPr>
          <w:p>
            <w:pPr>
              <w:jc w:val="center"/>
              <w:ind w:right="260"/>
              <w:spacing w:after="0" w:line="182" w:lineRule="exact"/>
              <w:rPr>
                <w:sz w:val="20"/>
                <w:szCs w:val="20"/>
                <w:color w:val="auto"/>
              </w:rPr>
            </w:pPr>
            <w:r>
              <w:rPr>
                <w:rFonts w:ascii="Arial" w:cs="Arial" w:eastAsia="Arial" w:hAnsi="Arial"/>
                <w:sz w:val="16"/>
                <w:szCs w:val="16"/>
                <w:color w:val="auto"/>
                <w:w w:val="95"/>
              </w:rPr>
              <w:t>Carrying</w:t>
            </w:r>
          </w:p>
        </w:tc>
        <w:tc>
          <w:tcPr>
            <w:tcW w:w="180" w:type="dxa"/>
            <w:vAlign w:val="bottom"/>
          </w:tcPr>
          <w:p>
            <w:pPr>
              <w:spacing w:after="0"/>
              <w:rPr>
                <w:sz w:val="15"/>
                <w:szCs w:val="15"/>
                <w:color w:val="auto"/>
              </w:rPr>
            </w:pPr>
          </w:p>
        </w:tc>
        <w:tc>
          <w:tcPr>
            <w:tcW w:w="1280" w:type="dxa"/>
            <w:vAlign w:val="bottom"/>
            <w:gridSpan w:val="2"/>
          </w:tcPr>
          <w:p>
            <w:pPr>
              <w:jc w:val="center"/>
              <w:ind w:right="260"/>
              <w:spacing w:after="0" w:line="182" w:lineRule="exact"/>
              <w:rPr>
                <w:sz w:val="20"/>
                <w:szCs w:val="20"/>
                <w:color w:val="auto"/>
              </w:rPr>
            </w:pPr>
            <w:r>
              <w:rPr>
                <w:rFonts w:ascii="Arial" w:cs="Arial" w:eastAsia="Arial" w:hAnsi="Arial"/>
                <w:sz w:val="16"/>
                <w:szCs w:val="16"/>
                <w:color w:val="auto"/>
                <w:w w:val="97"/>
              </w:rPr>
              <w:t>Accumulated</w:t>
            </w:r>
          </w:p>
        </w:tc>
        <w:tc>
          <w:tcPr>
            <w:tcW w:w="220" w:type="dxa"/>
            <w:vAlign w:val="bottom"/>
          </w:tcPr>
          <w:p>
            <w:pPr>
              <w:spacing w:after="0"/>
              <w:rPr>
                <w:sz w:val="15"/>
                <w:szCs w:val="15"/>
                <w:color w:val="auto"/>
              </w:rPr>
            </w:pPr>
          </w:p>
        </w:tc>
        <w:tc>
          <w:tcPr>
            <w:tcW w:w="920" w:type="dxa"/>
            <w:vAlign w:val="bottom"/>
          </w:tcPr>
          <w:p>
            <w:pPr>
              <w:jc w:val="center"/>
              <w:ind w:right="142"/>
              <w:spacing w:after="0" w:line="182" w:lineRule="exact"/>
              <w:rPr>
                <w:sz w:val="20"/>
                <w:szCs w:val="20"/>
                <w:color w:val="auto"/>
              </w:rPr>
            </w:pPr>
            <w:r>
              <w:rPr>
                <w:rFonts w:ascii="Arial" w:cs="Arial" w:eastAsia="Arial" w:hAnsi="Arial"/>
                <w:sz w:val="16"/>
                <w:szCs w:val="16"/>
                <w:color w:val="auto"/>
                <w:w w:val="95"/>
              </w:rPr>
              <w:t>Carrying</w:t>
            </w:r>
          </w:p>
        </w:tc>
      </w:tr>
      <w:tr>
        <w:trPr>
          <w:trHeight w:val="212"/>
        </w:trPr>
        <w:tc>
          <w:tcPr>
            <w:tcW w:w="23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years)</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(in years)</w:t>
            </w:r>
          </w:p>
        </w:tc>
        <w:tc>
          <w:tcPr>
            <w:tcW w:w="200" w:type="dxa"/>
            <w:vAlign w:val="bottom"/>
          </w:tcPr>
          <w:p>
            <w:pPr>
              <w:spacing w:after="0"/>
              <w:rPr>
                <w:sz w:val="18"/>
                <w:szCs w:val="18"/>
                <w:color w:val="auto"/>
              </w:rPr>
            </w:pPr>
          </w:p>
        </w:tc>
        <w:tc>
          <w:tcPr>
            <w:tcW w:w="940" w:type="dxa"/>
            <w:vAlign w:val="bottom"/>
          </w:tcPr>
          <w:p>
            <w:pPr>
              <w:jc w:val="center"/>
              <w:ind w:right="122"/>
              <w:spacing w:after="0"/>
              <w:rPr>
                <w:sz w:val="20"/>
                <w:szCs w:val="20"/>
                <w:color w:val="auto"/>
              </w:rPr>
            </w:pPr>
            <w:r>
              <w:rPr>
                <w:rFonts w:ascii="Arial" w:cs="Arial" w:eastAsia="Arial" w:hAnsi="Arial"/>
                <w:sz w:val="16"/>
                <w:szCs w:val="16"/>
                <w:color w:val="auto"/>
                <w:w w:val="97"/>
              </w:rPr>
              <w:t>Amount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6"/>
                <w:szCs w:val="16"/>
                <w:color w:val="auto"/>
                <w:w w:val="96"/>
              </w:rPr>
              <w:t>Amortization</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color w:val="auto"/>
                <w:w w:val="97"/>
              </w:rPr>
              <w:t>Amount</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color w:val="auto"/>
                <w:w w:val="97"/>
              </w:rPr>
              <w:t>Amount</w:t>
            </w:r>
          </w:p>
        </w:tc>
        <w:tc>
          <w:tcPr>
            <w:tcW w:w="18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color w:val="auto"/>
                <w:w w:val="96"/>
              </w:rPr>
              <w:t>Amortization</w:t>
            </w:r>
          </w:p>
        </w:tc>
        <w:tc>
          <w:tcPr>
            <w:tcW w:w="220" w:type="dxa"/>
            <w:vAlign w:val="bottom"/>
          </w:tcPr>
          <w:p>
            <w:pPr>
              <w:spacing w:after="0"/>
              <w:rPr>
                <w:sz w:val="18"/>
                <w:szCs w:val="18"/>
                <w:color w:val="auto"/>
              </w:rPr>
            </w:pPr>
          </w:p>
        </w:tc>
        <w:tc>
          <w:tcPr>
            <w:tcW w:w="920" w:type="dxa"/>
            <w:vAlign w:val="bottom"/>
          </w:tcPr>
          <w:p>
            <w:pPr>
              <w:jc w:val="center"/>
              <w:ind w:right="142"/>
              <w:spacing w:after="0"/>
              <w:rPr>
                <w:sz w:val="20"/>
                <w:szCs w:val="20"/>
                <w:color w:val="auto"/>
              </w:rPr>
            </w:pPr>
            <w:r>
              <w:rPr>
                <w:rFonts w:ascii="Arial" w:cs="Arial" w:eastAsia="Arial" w:hAnsi="Arial"/>
                <w:sz w:val="16"/>
                <w:szCs w:val="16"/>
                <w:color w:val="auto"/>
                <w:w w:val="97"/>
              </w:rPr>
              <w:t>Amount</w:t>
            </w:r>
          </w:p>
        </w:tc>
      </w:tr>
      <w:tr>
        <w:trPr>
          <w:trHeight w:val="21"/>
        </w:trPr>
        <w:tc>
          <w:tcPr>
            <w:tcW w:w="23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7"/>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12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411,179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411,179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401,984</w:t>
            </w:r>
          </w:p>
        </w:tc>
      </w:tr>
      <w:tr>
        <w:trPr>
          <w:trHeight w:val="227"/>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Customer relationships</w:t>
            </w:r>
          </w:p>
        </w:tc>
        <w:tc>
          <w:tcPr>
            <w:tcW w:w="1120" w:type="dxa"/>
            <w:vAlign w:val="bottom"/>
            <w:tcBorders>
              <w:bottom w:val="single" w:sz="8" w:color="CCEEFF"/>
            </w:tcBorders>
          </w:tcPr>
          <w:p>
            <w:pPr>
              <w:jc w:val="right"/>
              <w:ind w:right="442"/>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4"/>
        </w:trPr>
        <w:tc>
          <w:tcPr>
            <w:tcW w:w="23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411,539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411,539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401,984</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future amortization expense of intangible assets with definite lives is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2024</w:t>
            </w:r>
          </w:p>
        </w:tc>
        <w:tc>
          <w:tcPr>
            <w:tcW w:w="5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20,559</w:t>
            </w:r>
          </w:p>
        </w:tc>
      </w:tr>
      <w:tr>
        <w:trPr>
          <w:trHeight w:val="227"/>
        </w:trPr>
        <w:tc>
          <w:tcPr>
            <w:tcW w:w="9740" w:type="dxa"/>
            <w:vAlign w:val="bottom"/>
          </w:tcPr>
          <w:p>
            <w:pPr>
              <w:ind w:left="20"/>
              <w:spacing w:after="0"/>
              <w:rPr>
                <w:sz w:val="20"/>
                <w:szCs w:val="20"/>
                <w:color w:val="auto"/>
              </w:rPr>
            </w:pPr>
            <w:r>
              <w:rPr>
                <w:rFonts w:ascii="Arial" w:cs="Arial" w:eastAsia="Arial" w:hAnsi="Arial"/>
                <w:sz w:val="16"/>
                <w:szCs w:val="16"/>
                <w:color w:val="auto"/>
              </w:rPr>
              <w:t>2025</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27,412</w:t>
            </w:r>
          </w:p>
        </w:tc>
      </w:tr>
      <w:tr>
        <w:trPr>
          <w:trHeight w:val="242"/>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27,412</w:t>
            </w:r>
          </w:p>
        </w:tc>
      </w:tr>
      <w:tr>
        <w:trPr>
          <w:trHeight w:val="227"/>
        </w:trPr>
        <w:tc>
          <w:tcPr>
            <w:tcW w:w="9740" w:type="dxa"/>
            <w:vAlign w:val="bottom"/>
          </w:tcPr>
          <w:p>
            <w:pPr>
              <w:ind w:left="20"/>
              <w:spacing w:after="0"/>
              <w:rPr>
                <w:sz w:val="20"/>
                <w:szCs w:val="20"/>
                <w:color w:val="auto"/>
              </w:rPr>
            </w:pPr>
            <w:r>
              <w:rPr>
                <w:rFonts w:ascii="Arial" w:cs="Arial" w:eastAsia="Arial" w:hAnsi="Arial"/>
                <w:sz w:val="16"/>
                <w:szCs w:val="16"/>
                <w:color w:val="auto"/>
              </w:rPr>
              <w:t>2027</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27,412</w:t>
            </w:r>
          </w:p>
        </w:tc>
      </w:tr>
      <w:tr>
        <w:trPr>
          <w:trHeight w:val="242"/>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27,412</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2029 and thereafter</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264,924</w:t>
            </w:r>
          </w:p>
        </w:tc>
      </w:tr>
      <w:tr>
        <w:trPr>
          <w:trHeight w:val="259"/>
        </w:trPr>
        <w:tc>
          <w:tcPr>
            <w:tcW w:w="9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395,131</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Amortization of intangible assets is included within our cost of revenue if the costs and expenses related to the intangible assets are attributable to revenue generating activities. Amortization expense for intangible assets that are not directly related to sales generating activities are amortized to operating expenses. For developed technology intangible assets that are utilized in both revenue generating activities and in research and development activities, we allocate the amortization expense between cost of revenue and operating expenses. The definite-lived intangible assets are amortized using the straight-line method over their estimated useful lives.</w:t>
      </w:r>
    </w:p>
    <w:p>
      <w:pPr>
        <w:spacing w:after="0" w:line="6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review definite-lived intangible assets for impairment when indication of potential impairment exists, such as a significant reduction in cash flows associated with the assets.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As of March 31, 2024, we had a total of $23.4 million of deferred revenue, $17.3 million of which was recorded as deferred revenue, current, and primarily relates to future performance obligations under the Amended and Restated Agreement with Invitae Corporation ("Invitae") and deferred service contract revenues. Refer to </w:t>
      </w:r>
      <w:r>
        <w:rPr>
          <w:rFonts w:ascii="Arial" w:cs="Arial" w:eastAsia="Arial" w:hAnsi="Arial"/>
          <w:sz w:val="17"/>
          <w:szCs w:val="17"/>
          <w:i w:val="1"/>
          <w:iCs w:val="1"/>
          <w:color w:val="auto"/>
        </w:rPr>
        <w:t>Note 3 – Invitae Collaboration</w:t>
      </w:r>
      <w:r>
        <w:rPr>
          <w:rFonts w:ascii="Arial" w:cs="Arial" w:eastAsia="Arial" w:hAnsi="Arial"/>
          <w:sz w:val="17"/>
          <w:szCs w:val="17"/>
          <w:color w:val="auto"/>
        </w:rPr>
        <w:t>, in Part II, Item 8 of the Annual Report on Form 10-K for the year ended December 31, 2023 for more information. The deferred revenue, non-current balance of $6.1 million primarily relates to deferred service contract revenues and is scheduled to be recognized in the next 6 years. Revenue recorded in the three months ended March 31, 2024 includes $3.2 million that was included in deferred revenue as of December 31, 2023.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Warranties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Warranties are recorded as part of accrued expenses on the Condensed Consolidated Balance Sheets and warranty expense is recorded as a component of cost of product revenue in the Condensed Consolidated Statements of Operations and Comprehensive Loss. There were no material changes in estimates for the periods presented below.</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reserve for product warranties were as follows for the periods indicated:</w:t>
      </w:r>
    </w:p>
    <w:p>
      <w:pPr>
        <w:spacing w:after="0" w:line="171"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5182235</wp:posOffset>
            </wp:positionH>
            <wp:positionV relativeFrom="paragraph">
              <wp:posOffset>24130</wp:posOffset>
            </wp:positionV>
            <wp:extent cx="1957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31"/>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center"/>
              <w:ind w:left="542"/>
              <w:spacing w:after="0"/>
              <w:rPr>
                <w:sz w:val="20"/>
                <w:szCs w:val="20"/>
                <w:color w:val="auto"/>
              </w:rPr>
            </w:pPr>
            <w:r>
              <w:rPr>
                <w:rFonts w:ascii="Arial" w:cs="Arial" w:eastAsia="Arial" w:hAnsi="Arial"/>
                <w:sz w:val="16"/>
                <w:szCs w:val="16"/>
                <w:color w:val="auto"/>
                <w:w w:val="94"/>
              </w:rPr>
              <w:t>4,681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w:t>
            </w:r>
          </w:p>
        </w:tc>
      </w:tr>
      <w:tr>
        <w:trPr>
          <w:trHeight w:val="227"/>
        </w:trPr>
        <w:tc>
          <w:tcPr>
            <w:tcW w:w="8160" w:type="dxa"/>
            <w:vAlign w:val="bottom"/>
          </w:tcPr>
          <w:p>
            <w:pPr>
              <w:ind w:left="20"/>
              <w:spacing w:after="0"/>
              <w:rPr>
                <w:sz w:val="20"/>
                <w:szCs w:val="20"/>
                <w:color w:val="auto"/>
              </w:rPr>
            </w:pPr>
            <w:r>
              <w:rPr>
                <w:rFonts w:ascii="Arial" w:cs="Arial" w:eastAsia="Arial" w:hAnsi="Arial"/>
                <w:sz w:val="16"/>
                <w:szCs w:val="16"/>
                <w:color w:val="auto"/>
              </w:rPr>
              <w:t>Additions charged to cost of product revenue</w:t>
            </w:r>
          </w:p>
        </w:tc>
        <w:tc>
          <w:tcPr>
            <w:tcW w:w="340" w:type="dxa"/>
            <w:vAlign w:val="bottom"/>
          </w:tcPr>
          <w:p>
            <w:pPr>
              <w:spacing w:after="0"/>
              <w:rPr>
                <w:sz w:val="19"/>
                <w:szCs w:val="19"/>
                <w:color w:val="auto"/>
              </w:rPr>
            </w:pPr>
          </w:p>
        </w:tc>
        <w:tc>
          <w:tcPr>
            <w:tcW w:w="1160" w:type="dxa"/>
            <w:vAlign w:val="bottom"/>
          </w:tcPr>
          <w:p>
            <w:pPr>
              <w:jc w:val="center"/>
              <w:ind w:left="542"/>
              <w:spacing w:after="0"/>
              <w:rPr>
                <w:sz w:val="20"/>
                <w:szCs w:val="20"/>
                <w:color w:val="auto"/>
              </w:rPr>
            </w:pPr>
            <w:r>
              <w:rPr>
                <w:rFonts w:ascii="Arial" w:cs="Arial" w:eastAsia="Arial" w:hAnsi="Arial"/>
                <w:sz w:val="16"/>
                <w:szCs w:val="16"/>
                <w:color w:val="auto"/>
                <w:w w:val="94"/>
              </w:rPr>
              <w:t>1,600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604</w:t>
            </w:r>
          </w:p>
        </w:tc>
      </w:tr>
      <w:tr>
        <w:trPr>
          <w:trHeight w:val="23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Repairs and replacements</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center"/>
              <w:ind w:left="542"/>
              <w:spacing w:after="0"/>
              <w:rPr>
                <w:sz w:val="20"/>
                <w:szCs w:val="20"/>
                <w:color w:val="auto"/>
              </w:rPr>
            </w:pPr>
            <w:r>
              <w:rPr>
                <w:rFonts w:ascii="Arial" w:cs="Arial" w:eastAsia="Arial" w:hAnsi="Arial"/>
                <w:sz w:val="16"/>
                <w:szCs w:val="16"/>
                <w:color w:val="auto"/>
                <w:w w:val="98"/>
              </w:rPr>
              <w:t>(2,161)</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r>
      <w:tr>
        <w:trPr>
          <w:trHeight w:val="234"/>
        </w:trPr>
        <w:tc>
          <w:tcPr>
            <w:tcW w:w="816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center"/>
              <w:ind w:left="542"/>
              <w:spacing w:after="0"/>
              <w:rPr>
                <w:sz w:val="20"/>
                <w:szCs w:val="20"/>
                <w:color w:val="auto"/>
              </w:rPr>
            </w:pPr>
            <w:r>
              <w:rPr>
                <w:rFonts w:ascii="Arial" w:cs="Arial" w:eastAsia="Arial" w:hAnsi="Arial"/>
                <w:sz w:val="16"/>
                <w:szCs w:val="16"/>
                <w:color w:val="auto"/>
                <w:w w:val="94"/>
              </w:rPr>
              <w:t>4,120</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w:t>
            </w: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connection with the acquisition of Omniome, we acquired $ 1.3 million in short-term debt and $3.0 million in long-term debt relating to a term loan facility that Omniome obtained in April 2020. Borrowings on the term loan facility were used to fund Omniome’s purchases of equipment, which serves as collateral. Each term loan has a term of 43 months and bears a fixed interest rate of approximately 17% annually. The fee for the elective option to prepay all, but not less than all, of the borrowed amounts at any time after the 24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month and before the 43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month after the commencement date, is 4% of the outstanding loan balance. Payments are made in equal monthly installments including principal and interest.</w:t>
      </w:r>
    </w:p>
    <w:p>
      <w:pPr>
        <w:spacing w:after="0" w:line="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March 31, 2024, the carrying value of term loans outstanding was $0.2 million, recorded as part of other liabilities, current on the Condensed Consolidated Balance Sheet. Interest expense was not material for the three months ended March 31, 2024, and was included as part of interest expense in the Condensed Consolidated Statement of Operations and Comprehensive Loss.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future principal payments on the term loans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2024</w:t>
            </w:r>
          </w:p>
        </w:tc>
        <w:tc>
          <w:tcPr>
            <w:tcW w:w="64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32"/>
        </w:trPr>
        <w:tc>
          <w:tcPr>
            <w:tcW w:w="9740" w:type="dxa"/>
            <w:vAlign w:val="bottom"/>
          </w:tcPr>
          <w:p>
            <w:pPr>
              <w:ind w:left="340"/>
              <w:spacing w:after="0"/>
              <w:rPr>
                <w:sz w:val="20"/>
                <w:szCs w:val="20"/>
                <w:color w:val="auto"/>
              </w:rPr>
            </w:pPr>
            <w:r>
              <w:rPr>
                <w:rFonts w:ascii="Arial" w:cs="Arial" w:eastAsia="Arial" w:hAnsi="Arial"/>
                <w:sz w:val="16"/>
                <w:szCs w:val="16"/>
                <w:color w:val="auto"/>
              </w:rPr>
              <w:t>Total</w:t>
            </w:r>
          </w:p>
        </w:tc>
        <w:tc>
          <w:tcPr>
            <w:tcW w:w="6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r>
      <w:tr>
        <w:trPr>
          <w:trHeight w:val="20"/>
        </w:trPr>
        <w:tc>
          <w:tcPr>
            <w:tcW w:w="9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CONVERTIBLE SENIOR NOTES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2030 Convertible Senior Notes</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June 2023, we entered into a privately negotiated exchange agreement with a holder of our outstanding 1.50% Convertible Senior Notes due 2028 (the “2028 Notes”), pursuant to which we issued $441.0 million in aggregate principal amount of our 1.375% Convertible Senior Notes due 2030 (the “2030 Notes”) in exchange for $441.0 million principal amount of the 2028 Notes (the “Exchange Transaction”), pursuant to exemptions from registration under the Securities Act of 1933, as amended, and the rules and regulations thereunder. The 2030 Notes were issued on June 30, 2023.</w:t>
      </w: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2030 Notes are governed by an indenture (the “2030 Indenture”) between the Company and U.S. Bank Trust Company, National Association, as trustee. The 2030 Notes bear interest at a rate of 1.375% per annum. Interest on the 2030 Notes is payable semi-annually in arrears on June 15 and December 15, commencing on December 15, 2023. The 2030 Notes will mature on December 15, 2030, subject to earlier conversion, redemption or repurchase.</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$21.50 per share of common stock), in each case subject to customary anti-dilution and other adjustments as a result of certain extraordinary transactions. Upon conversion of the 2030 Notes, we may elect to settle such conversion obligation in shares of our common stock, cash or a combination of shares of our common stock and cash.</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or after June 20, 2028, the 2030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2030 Notes, plus accrued and unpaid interest up to, but excluding, the redemption date.</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the occurrence of a Fundamental Change (as defined in the 2030 Indenture), the holders of the 2030 Notes may require that we repurchase all or part of the principal amount of the 2030 Notes at a purchase price equal to 100% of the principal amount of the notes to be repurchased, plus any accrued and unpaid interest up to, but excluding, the fundamental change repurchase date, and all unpaid interest from the fundamental change repurchase date thereon, but excluding, the maturity date.</w:t>
      </w:r>
    </w:p>
    <w:p>
      <w:pPr>
        <w:spacing w:after="0" w:line="6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2030 Indenture includes customary “events of default,” which may result in the acceleration of the maturity of the 2030 Notes under the 2030 Indenture. The 2030 Indenture also includes customary covenants for convertible notes of this type.</w:t>
      </w:r>
    </w:p>
    <w:p>
      <w:pPr>
        <w:spacing w:after="0" w:line="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2030 Notes at a rate equal to (i) 0.25% per annum of the principal amount of the 2030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2030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2030 Indenture). On the 361st day after such event of default (if the event of default relating to our failure to comply with its obligations is not cured or waived prior to such 361st day), the 2030 Notes shall be subject to acceleration as provided for in the 2030 Indenture.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2030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2030 Notes is not accounted for as an embedded derivative because it is considered to be indexed to our common stock, and the 2030 Notes were not issued at a substantial premium; therefore, the 2030 Notes are accounted for in their entirety as a liability. Because we may elect to settle any conversions entirely in shares, and because settlement in shares is the default settlement method, the liability is classified as non-current.</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requirement to repurchase the 2030 Notes, including unpaid interest to the maturity date in the event of a Fundamental Change, is considered a put option for certain periods requiring bifurcation under ASC 815 –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However, given the low probability of such a Fundamental Change occurring during the applicable periods, the value of the embedded derivative is immaterial.</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Exchange Transaction was accounted for as an extinguishment driven by the change in fair value of the embedded conversion option. We recorded a loss on extinguishment of debt of approximately $2.0 million in connection with the Exchange Transaction during the year ended December 31, 2023, which represents the difference between the fair value and the principal amount of the 2030 Notes of the debt at the modification date, plus unamortized debt issuance costs of $1.5 million related to the respective portion of the 2028 Notes.</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incurred issuance costs related to the 2030 Notes of approximately $7.3 million, which were recorded as debt issuance costs and are presented as a reduction to the 2030 Notes on our Consolidated Balance Sheets. The debt issuance costs are amortized to interest expense using the effective interest method over the term of the 2030 Notes, resulting in an effective interest rate of 1.6%. We also paid accrued but unpaid interest of $2.5 million on the 2028 Notes in connection with the Exchange Transaction on June 30, 2023.</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did not receive any cash proceeds from the Exchange Transaction. In exchange for issuing the 2030 Notes pursuant to the Exchange Transaction, we received and cancelled the exchanged 2028 Notes. Following the closing of the Exchange Transaction, $459.0 million in aggregate principal amount of 2028 Notes remained outstanding with terms unchanged.</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net carrying amount of the liability for the 2030 Notes is included as convertible senior notes, net, non-current in the Condensed Consolidated Balance Sheets as follows:</w:t>
      </w:r>
    </w:p>
    <w:p>
      <w:pPr>
        <w:sectPr>
          <w:pgSz w:w="11900" w:h="16838" w:orient="portrait"/>
          <w:cols w:equalWidth="0" w:num="1">
            <w:col w:w="11240"/>
          </w:cols>
          <w:pgMar w:left="320" w:top="122" w:right="339" w:bottom="1440" w:gutter="0" w:footer="0" w:header="0"/>
        </w:sect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amount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Unamortized debt premium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Unamortized debt issuance costs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carrying amount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240" w:type="dxa"/>
            <w:vAlign w:val="bottom"/>
          </w:tcPr>
          <w:p>
            <w:pPr>
              <w:spacing w:after="0"/>
              <w:rPr>
                <w:sz w:val="18"/>
                <w:szCs w:val="18"/>
                <w:color w:val="auto"/>
              </w:rPr>
            </w:pPr>
          </w:p>
        </w:tc>
        <w:tc>
          <w:tcPr>
            <w:tcW w:w="126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2"/>
        </w:trPr>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441,000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441,000</w:t>
            </w:r>
          </w:p>
        </w:tc>
      </w:tr>
      <w:tr>
        <w:trPr>
          <w:trHeight w:val="234"/>
        </w:trPr>
        <w:tc>
          <w:tcPr>
            <w:tcW w:w="240" w:type="dxa"/>
            <w:vAlign w:val="bottom"/>
          </w:tcPr>
          <w:p>
            <w:pPr>
              <w:spacing w:after="0"/>
              <w:rPr>
                <w:sz w:val="20"/>
                <w:szCs w:val="20"/>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42"/>
        </w:trPr>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(6,670)</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(6,907)</w:t>
            </w:r>
          </w:p>
        </w:tc>
      </w:tr>
      <w:tr>
        <w:trPr>
          <w:trHeight w:val="227"/>
        </w:trPr>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434,837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434,617</w:t>
            </w:r>
          </w:p>
        </w:tc>
      </w:tr>
      <w:tr>
        <w:trPr>
          <w:trHeight w:val="26"/>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-5178425</wp:posOffset>
            </wp:positionH>
            <wp:positionV relativeFrom="paragraph">
              <wp:posOffset>-643890</wp:posOffset>
            </wp:positionV>
            <wp:extent cx="7137400" cy="156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-337820</wp:posOffset>
            </wp:positionV>
            <wp:extent cx="7137400" cy="148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40" w:space="720"/>
            <w:col w:w="3080"/>
          </w:cols>
          <w:pgMar w:left="320" w:top="122" w:right="339"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2024 and 2023, interest expense for the 2030 Notes was as follows:</w:t>
      </w:r>
    </w:p>
    <w:p>
      <w:pPr>
        <w:spacing w:after="0" w:line="171"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5182235</wp:posOffset>
            </wp:positionH>
            <wp:positionV relativeFrom="paragraph">
              <wp:posOffset>24130</wp:posOffset>
            </wp:positionV>
            <wp:extent cx="19577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31"/>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1,533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22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r>
      <w:tr>
        <w:trPr>
          <w:trHeight w:val="25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As of March 31, 2024, the estimated fair value (Level 2) of the 2030 Notes was $343.6 million. The fair value of the 2030 Notes is estimated using a binomial lattice model that is primarily affected by the trading price of our common stock, market interest rates and volatility.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2028 Convertible Senior Notes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February 9, 2021, we entered into an investment agreement (the “Investment Agreement”) with SB Northstar LP (the “Purchaser”), a subsidiary of SoftBank Group Corp., relating to the issuance and sale to the Purchaser of $900.0 million in aggregate principal amount of the 2028 Notes. The 2028 Notes were issued on February 16, 2021. As discussed above, in June 2023 we completed an exchange of $441.0 million in aggregate principal amount of our 2028 Notes for $ 441.0 million aggregate principal amount of the 2030 Notes, leaving approximately $459.0 million in aggregate principal amount of 2028 Notes outstanding.</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2028 Notes are governed by an indenture (the “2028 Indenture”) between the Company and U.S. Bank National Association, as trustee. The 2028 Notes bear interest at a rate of 1.50% per annum. Interest on the 2028 Notes is payable semi-annually in arrears on February 15 and August 15 and commenced on August 15, 2021. The 2028 Notes will mature on February 15, 2028, subject to earlier conversion, redemption or repurchase.</w:t>
      </w: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2028 Notes are convertible at the option of the holder at any time until the second scheduled trading day prior to the maturity date, including in connection with a redemption by the Company. The 2028 Notes are convertible into shares of our common stock based on an initial conversion rate of 22.9885 shares of common stock per $1,000 principal amount of the 2028 Notes (which is equal to an initial conversion price of $43.50 per share of common stock), in each case subject to customary anti-dilution and other adjustments as a result of certain extraordinary transactions. Upon conversion of the 2028 Notes, we may elect to settle such conversion obligation in shares of our common stock, cash or a combination of shares of our common stock and cash.</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or after February 20, 2026, the 2028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2028 Notes, plus accrued and unpaid interest up to, but excluding, the redemption date.</w:t>
      </w:r>
    </w:p>
    <w:p>
      <w:pPr>
        <w:spacing w:after="0" w:line="6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Upon the occurrence of a Fundamental Change (as defined in the 2028 Indenture), the holders of the 2028 Notes may require that we repurchase all or part of the principal amount of the 2028 Notes at a purchase price of par plus unpaid interest up to, but excluding, the maturity date.</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2028 Indenture includes customary “events of default,” which may result in the acceleration of the maturity of the 2028 Notes under the 2028 Indenture. The 2028 Indenture also includes customary covenants for convertible notes of this type.</w:t>
      </w:r>
    </w:p>
    <w:p>
      <w:pPr>
        <w:spacing w:after="0" w:line="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2028 Notes at a rate equal to (i) 0.25% per annum of the principal amount of the 2028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2028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2028 Indenture). On the 361st day after such event of default (if the event of default relating to our failure to comply with its obligations is not cured or waived prior to such 361st day), the 2028 Notes shall be subject to acceleration as provided for in the 2028 Indenture.</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2028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2028 Notes is not accounted for as an embedded derivative because it is considered to be indexed to our common stock, and the 2028 Notes were not issued at a premium; therefore, the 2028 Notes are accounted for in their entirety as a liability. Because we may elect to settle any conversions entirely in shares, and because settlement in shares is the default settlement method, the liability is classified as non-current.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requirement to repurchase the 2028 Notes, including unpaid interest to the maturity date in the event of a Fundamental Change, is considered a put option for certain periods requiring bifurcation under ASC 815 –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However, given the low probability of such a Fundamental Change occurring during the applicable periods, the value of the embedded derivative is immaterial.</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incurred issuance costs related to the 2028 Notes of approximately $4.5 million, which were recorded as debt issuance costs and are presented as a reduction to the 2028 Notes on our Consolidated Balance Sheets. The debt issuance costs are amortized to interest expense using the effective interest method over the term of the 2028 Notes, resulting in an effective interest rate of 1.6%.</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net carrying amount of the liability for the 2028 Notes is included as convertible senior notes, net, non-current in the Condensed Consolidated Balance Sheets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8"/>
                <w:szCs w:val="18"/>
                <w:color w:val="auto"/>
              </w:rPr>
            </w:pPr>
          </w:p>
        </w:tc>
        <w:tc>
          <w:tcPr>
            <w:tcW w:w="126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amount</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459,000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459,000</w:t>
            </w:r>
          </w:p>
        </w:tc>
      </w:tr>
      <w:tr>
        <w:trPr>
          <w:trHeight w:val="22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w:t>
            </w:r>
          </w:p>
        </w:tc>
      </w:tr>
      <w:tr>
        <w:trPr>
          <w:trHeight w:val="25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457,708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457,626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2024 and 2023, interest expense for the 2028 Notes was as follows:</w:t>
      </w:r>
    </w:p>
    <w:p>
      <w:pPr>
        <w:spacing w:after="0" w:line="171"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5182235</wp:posOffset>
            </wp:positionH>
            <wp:positionV relativeFrom="paragraph">
              <wp:posOffset>24130</wp:posOffset>
            </wp:positionV>
            <wp:extent cx="19577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31"/>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1,721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w:t>
            </w:r>
          </w:p>
        </w:tc>
      </w:tr>
      <w:tr>
        <w:trPr>
          <w:trHeight w:val="22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r>
      <w:tr>
        <w:trPr>
          <w:trHeight w:val="25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As of March 31, 2024, the estimated fair value (Level 2) of the 2028 Notes was $381.7 million. The fair value of the 2028 Notes is estimated using a binomial lattice model that is primarily affected by the trading price of our common stock, market interest rates and volatility.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COMMITMENTS AND CONTINGENCIES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Company has entered into various operating lease agreements, primarily relating to our corporate offices. See </w:t>
      </w:r>
      <w:r>
        <w:rPr>
          <w:rFonts w:ascii="Arial" w:cs="Arial" w:eastAsia="Arial" w:hAnsi="Arial"/>
          <w:sz w:val="17"/>
          <w:szCs w:val="17"/>
          <w:i w:val="1"/>
          <w:iCs w:val="1"/>
          <w:color w:val="auto"/>
        </w:rPr>
        <w:t>Note 8 – 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Contingencies</w:t>
      </w:r>
      <w:r>
        <w:rPr>
          <w:rFonts w:ascii="Arial" w:cs="Arial" w:eastAsia="Arial" w:hAnsi="Arial"/>
          <w:sz w:val="17"/>
          <w:szCs w:val="17"/>
          <w:color w:val="auto"/>
        </w:rPr>
        <w:t>, subsection titled “Leases”, in Part II, Item 8 of the Annual Report on Form 10-K for the year ended December 31, 2023 for</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regarding the Company’s maturity of lease liabilities under its lease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see subsection titled </w:t>
      </w:r>
      <w:r>
        <w:rPr>
          <w:rFonts w:ascii="Arial" w:cs="Arial" w:eastAsia="Arial" w:hAnsi="Arial"/>
          <w:sz w:val="17"/>
          <w:szCs w:val="17"/>
          <w:u w:val="single" w:color="auto"/>
          <w:color w:val="0000FF"/>
        </w:rPr>
        <w:t>Legal Proceedings, in Part II, Item 1</w:t>
      </w:r>
      <w:r>
        <w:rPr>
          <w:rFonts w:ascii="Arial" w:cs="Arial" w:eastAsia="Arial" w:hAnsi="Arial"/>
          <w:sz w:val="17"/>
          <w:szCs w:val="17"/>
          <w:color w:val="auto"/>
        </w:rPr>
        <w:t xml:space="preserve"> of this Quarterly Report on Form 10-Q.</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March 31, 2024 and December 31, 2023.</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N</w:t>
      </w:r>
      <w:r>
        <w:rPr>
          <w:rFonts w:ascii="Arial" w:cs="Arial" w:eastAsia="Arial" w:hAnsi="Arial"/>
          <w:sz w:val="17"/>
          <w:szCs w:val="17"/>
          <w:b w:val="1"/>
          <w:bCs w:val="1"/>
          <w:color w:val="auto"/>
        </w:rPr>
        <w:t>OTE 7. STOCKHOLDERS’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Plans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March 31, 2024, the Company had share-based compensation awards outstanding under the 2020 Equity Incentive Plan (the “2020 Plan”), the 2020 Inducement Equity Incentive Plan (the “Inducement Plan”), the 2021 adopted Omniome Equity Incentive Plan of Pacific Biosciences of California, Inc. (the “Omniome Plan”) and the 2010 Employee Stock Purchase Plan, from which we issued equity awards and employee stock.</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March 31, 2024, we had 1.5 million shares remaining and available for future issuance under the 2020 Plan, Inducement Plan, and the Omniome Plan. Shares remaining and available for future issuance reflect shares that may become eligible to vest upon the achievement of maximum targets for certain equity awards.</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10 – Stockholders' Equity</w:t>
      </w:r>
      <w:r>
        <w:rPr>
          <w:rFonts w:ascii="Arial" w:cs="Arial" w:eastAsia="Arial" w:hAnsi="Arial"/>
          <w:sz w:val="17"/>
          <w:szCs w:val="17"/>
          <w:color w:val="auto"/>
        </w:rPr>
        <w:t>, in Part II, Item 8 of the Annual Report on Form 10-K for the year ended December 31, 2023 for more information on the Company's equity plans.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for time-based awards: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02"/>
              <w:spacing w:after="0"/>
              <w:rPr>
                <w:sz w:val="20"/>
                <w:szCs w:val="20"/>
                <w:color w:val="auto"/>
              </w:rPr>
            </w:pPr>
            <w:r>
              <w:rPr>
                <w:rFonts w:ascii="Arial" w:cs="Arial" w:eastAsia="Arial" w:hAnsi="Arial"/>
                <w:sz w:val="16"/>
                <w:szCs w:val="16"/>
                <w:b w:val="1"/>
                <w:bCs w:val="1"/>
                <w:color w:val="auto"/>
                <w:w w:val="97"/>
              </w:rPr>
              <w:t>Weighted</w:t>
            </w:r>
          </w:p>
        </w:tc>
      </w:tr>
      <w:tr>
        <w:trPr>
          <w:trHeight w:val="182"/>
        </w:trPr>
        <w:tc>
          <w:tcPr>
            <w:tcW w:w="8180" w:type="dxa"/>
            <w:vAlign w:val="bottom"/>
          </w:tcPr>
          <w:p>
            <w:pPr>
              <w:spacing w:after="0"/>
              <w:rPr>
                <w:sz w:val="15"/>
                <w:szCs w:val="15"/>
                <w:color w:val="auto"/>
              </w:rPr>
            </w:pPr>
          </w:p>
        </w:tc>
        <w:tc>
          <w:tcPr>
            <w:tcW w:w="1480" w:type="dxa"/>
            <w:vAlign w:val="bottom"/>
          </w:tcPr>
          <w:p>
            <w:pPr>
              <w:jc w:val="right"/>
              <w:ind w:right="362"/>
              <w:spacing w:after="0" w:line="182" w:lineRule="exact"/>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82"/>
              <w:spacing w:after="0" w:line="182" w:lineRule="exact"/>
              <w:rPr>
                <w:sz w:val="20"/>
                <w:szCs w:val="20"/>
                <w:color w:val="auto"/>
              </w:rPr>
            </w:pPr>
            <w:r>
              <w:rPr>
                <w:rFonts w:ascii="Arial" w:cs="Arial" w:eastAsia="Arial" w:hAnsi="Arial"/>
                <w:sz w:val="16"/>
                <w:szCs w:val="16"/>
                <w:b w:val="1"/>
                <w:bCs w:val="1"/>
                <w:color w:val="auto"/>
                <w:w w:val="99"/>
              </w:rPr>
              <w:t>average</w:t>
            </w:r>
          </w:p>
        </w:tc>
      </w:tr>
      <w:tr>
        <w:trPr>
          <w:trHeight w:val="232"/>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(Shares in thousands)</w:t>
            </w:r>
          </w:p>
        </w:tc>
        <w:tc>
          <w:tcPr>
            <w:tcW w:w="14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of shares</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7"/>
              </w:rPr>
              <w:t>exercise price</w:t>
            </w:r>
          </w:p>
        </w:tc>
      </w:tr>
      <w:tr>
        <w:trPr>
          <w:trHeight w:val="231"/>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2023</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r>
      <w:tr>
        <w:trPr>
          <w:trHeight w:val="227"/>
        </w:trPr>
        <w:tc>
          <w:tcPr>
            <w:tcW w:w="8180" w:type="dxa"/>
            <w:vAlign w:val="bottom"/>
          </w:tcPr>
          <w:p>
            <w:pPr>
              <w:ind w:left="2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24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27"/>
        </w:trPr>
        <w:tc>
          <w:tcPr>
            <w:tcW w:w="8180" w:type="dxa"/>
            <w:vAlign w:val="bottom"/>
          </w:tcPr>
          <w:p>
            <w:pPr>
              <w:ind w:left="20"/>
              <w:spacing w:after="0"/>
              <w:rPr>
                <w:sz w:val="20"/>
                <w:szCs w:val="20"/>
                <w:color w:val="auto"/>
              </w:rPr>
            </w:pPr>
            <w:r>
              <w:rPr>
                <w:rFonts w:ascii="Arial" w:cs="Arial" w:eastAsia="Arial" w:hAnsi="Arial"/>
                <w:sz w:val="16"/>
                <w:szCs w:val="16"/>
                <w:color w:val="auto"/>
              </w:rPr>
              <w:t>Canceled</w:t>
            </w:r>
          </w:p>
        </w:tc>
        <w:tc>
          <w:tcPr>
            <w:tcW w:w="1480" w:type="dxa"/>
            <w:vAlign w:val="bottom"/>
          </w:tcPr>
          <w:p>
            <w:pPr>
              <w:jc w:val="right"/>
              <w:spacing w:after="0"/>
              <w:rPr>
                <w:sz w:val="20"/>
                <w:szCs w:val="20"/>
                <w:color w:val="auto"/>
              </w:rPr>
            </w:pPr>
            <w:r>
              <w:rPr>
                <w:rFonts w:ascii="Arial" w:cs="Arial" w:eastAsia="Arial" w:hAnsi="Arial"/>
                <w:sz w:val="16"/>
                <w:szCs w:val="16"/>
                <w:color w:val="auto"/>
              </w:rPr>
              <w:t>(239)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11.87</w:t>
            </w:r>
          </w:p>
        </w:tc>
      </w:tr>
      <w:tr>
        <w:trPr>
          <w:trHeight w:val="24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r>
      <w:tr>
        <w:trPr>
          <w:trHeight w:val="227"/>
        </w:trPr>
        <w:tc>
          <w:tcPr>
            <w:tcW w:w="8180" w:type="dxa"/>
            <w:vAlign w:val="bottom"/>
          </w:tcPr>
          <w:p>
            <w:pPr>
              <w:ind w:left="20"/>
              <w:spacing w:after="0"/>
              <w:rPr>
                <w:sz w:val="20"/>
                <w:szCs w:val="20"/>
                <w:color w:val="auto"/>
              </w:rPr>
            </w:pPr>
            <w:r>
              <w:rPr>
                <w:rFonts w:ascii="Arial" w:cs="Arial" w:eastAsia="Arial" w:hAnsi="Arial"/>
                <w:sz w:val="16"/>
                <w:szCs w:val="16"/>
                <w:color w:val="auto"/>
              </w:rPr>
              <w:t>Outstanding at March 31, 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12,237</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10.90</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 (“RSU”) and Performance Stock Units ("PSU")</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issue RSUs for which the respective shares vest when the requisite service period is achieved. We issue PSUs for which the number of shares issuable is based on performance relative to specified revenue targets and continued employment through the vesting period. These PSU shares are issuable following the third year of the performance period. Maximum achievement of the revenue goal under the PSUs will result in up to 200% of the target number of shares subject to the PSUs to become eligible to vest, while not meeting the minimum achievement of the revenue goal under the PSUs will result in no shares subject to the PSUs becoming eligible to vest. The following table summarizes the time-based RSUs and PSUs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42"/>
              <w:spacing w:after="0"/>
              <w:rPr>
                <w:sz w:val="20"/>
                <w:szCs w:val="20"/>
                <w:color w:val="auto"/>
              </w:rPr>
            </w:pPr>
            <w:r>
              <w:rPr>
                <w:rFonts w:ascii="Arial" w:cs="Arial" w:eastAsia="Arial" w:hAnsi="Arial"/>
                <w:sz w:val="16"/>
                <w:szCs w:val="16"/>
                <w:color w:val="auto"/>
              </w:rPr>
              <w:t>Weighted average grant date</w:t>
            </w:r>
          </w:p>
        </w:tc>
        <w:tc>
          <w:tcPr>
            <w:tcW w:w="0" w:type="dxa"/>
            <w:vAlign w:val="bottom"/>
          </w:tcPr>
          <w:p>
            <w:pPr>
              <w:spacing w:after="0"/>
              <w:rPr>
                <w:sz w:val="1"/>
                <w:szCs w:val="1"/>
                <w:color w:val="auto"/>
              </w:rPr>
            </w:pPr>
          </w:p>
        </w:tc>
      </w:tr>
      <w:tr>
        <w:trPr>
          <w:trHeight w:val="205"/>
        </w:trPr>
        <w:tc>
          <w:tcPr>
            <w:tcW w:w="4840" w:type="dxa"/>
            <w:vAlign w:val="bottom"/>
          </w:tcPr>
          <w:p>
            <w:pPr>
              <w:spacing w:after="0"/>
              <w:rPr>
                <w:sz w:val="17"/>
                <w:szCs w:val="17"/>
                <w:color w:val="auto"/>
              </w:rPr>
            </w:pPr>
          </w:p>
        </w:tc>
        <w:tc>
          <w:tcPr>
            <w:tcW w:w="1660" w:type="dxa"/>
            <w:vAlign w:val="bottom"/>
            <w:gridSpan w:val="2"/>
            <w:vMerge w:val="restart"/>
          </w:tcPr>
          <w:p>
            <w:pPr>
              <w:spacing w:after="0"/>
              <w:rPr>
                <w:sz w:val="20"/>
                <w:szCs w:val="20"/>
                <w:color w:val="auto"/>
              </w:rPr>
            </w:pPr>
            <w:r>
              <w:rPr>
                <w:rFonts w:ascii="Arial" w:cs="Arial" w:eastAsia="Arial" w:hAnsi="Arial"/>
                <w:sz w:val="16"/>
                <w:szCs w:val="16"/>
                <w:color w:val="auto"/>
              </w:rPr>
              <w:t>Restricted Stock Units</w:t>
            </w:r>
          </w:p>
        </w:tc>
        <w:tc>
          <w:tcPr>
            <w:tcW w:w="1580" w:type="dxa"/>
            <w:vAlign w:val="bottom"/>
            <w:vMerge w:val="restart"/>
          </w:tcPr>
          <w:p>
            <w:pPr>
              <w:jc w:val="right"/>
              <w:ind w:right="42"/>
              <w:spacing w:after="0"/>
              <w:rPr>
                <w:sz w:val="20"/>
                <w:szCs w:val="20"/>
                <w:color w:val="auto"/>
              </w:rPr>
            </w:pPr>
            <w:r>
              <w:rPr>
                <w:rFonts w:ascii="Arial" w:cs="Arial" w:eastAsia="Arial" w:hAnsi="Arial"/>
                <w:sz w:val="16"/>
                <w:szCs w:val="16"/>
                <w:color w:val="auto"/>
              </w:rPr>
              <w:t>Performance Stock</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3"/>
          </w:tcPr>
          <w:p>
            <w:pPr>
              <w:jc w:val="right"/>
              <w:ind w:right="82"/>
              <w:spacing w:after="0"/>
              <w:rPr>
                <w:sz w:val="20"/>
                <w:szCs w:val="20"/>
                <w:color w:val="auto"/>
              </w:rPr>
            </w:pPr>
            <w:r>
              <w:rPr>
                <w:rFonts w:ascii="Arial" w:cs="Arial" w:eastAsia="Arial" w:hAnsi="Arial"/>
                <w:sz w:val="16"/>
                <w:szCs w:val="16"/>
                <w:color w:val="auto"/>
              </w:rPr>
              <w:t>fair value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840" w:type="dxa"/>
            <w:vAlign w:val="bottom"/>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(Shares in thousands)</w:t>
            </w:r>
          </w:p>
        </w:tc>
        <w:tc>
          <w:tcPr>
            <w:tcW w:w="15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(RSU)</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Units (PSU)</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color w:val="auto"/>
              </w:rPr>
              <w:t>RSU</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color w:val="auto"/>
              </w:rPr>
              <w:t>PSU</w:t>
            </w:r>
          </w:p>
        </w:tc>
        <w:tc>
          <w:tcPr>
            <w:tcW w:w="0" w:type="dxa"/>
            <w:vAlign w:val="bottom"/>
          </w:tcPr>
          <w:p>
            <w:pPr>
              <w:spacing w:after="0"/>
              <w:rPr>
                <w:sz w:val="1"/>
                <w:szCs w:val="1"/>
                <w:color w:val="auto"/>
              </w:rPr>
            </w:pPr>
          </w:p>
        </w:tc>
      </w:tr>
      <w:tr>
        <w:trPr>
          <w:trHeight w:val="234"/>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2023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11,308</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27"/>
        </w:trPr>
        <w:tc>
          <w:tcPr>
            <w:tcW w:w="4840" w:type="dxa"/>
            <w:vAlign w:val="bottom"/>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12,194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March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 (“ESPP”)</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Shares issued under our ESPP were 1,194,436 and 1,052,908 during the three months ended March 31, 2024 and 2023, respectively. In the first quarter of 2024, an additional 4.0 million shares were reserved under the ESPP. As of March 31, 2024, 15.0 million shares of our common stock remain available for issuance under our ESPP.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share-based compensation expense:</w:t>
      </w:r>
    </w:p>
    <w:p>
      <w:pPr>
        <w:spacing w:after="0" w:line="171"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5182235</wp:posOffset>
            </wp:positionH>
            <wp:positionV relativeFrom="paragraph">
              <wp:posOffset>24130</wp:posOffset>
            </wp:positionV>
            <wp:extent cx="19577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31"/>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2,106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w:t>
            </w:r>
          </w:p>
        </w:tc>
      </w:tr>
      <w:tr>
        <w:trPr>
          <w:trHeight w:val="227"/>
        </w:trPr>
        <w:tc>
          <w:tcPr>
            <w:tcW w:w="816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5,788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6,705</w:t>
            </w:r>
          </w:p>
        </w:tc>
      </w:tr>
      <w:tr>
        <w:trPr>
          <w:trHeight w:val="235"/>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Sales, general and administrative</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11,631</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9,299</w:t>
            </w:r>
          </w:p>
        </w:tc>
      </w:tr>
      <w:tr>
        <w:trPr>
          <w:trHeight w:val="234"/>
        </w:trPr>
        <w:tc>
          <w:tcPr>
            <w:tcW w:w="8160" w:type="dxa"/>
            <w:vAlign w:val="bottom"/>
          </w:tcPr>
          <w:p>
            <w:pPr>
              <w:ind w:left="20"/>
              <w:spacing w:after="0"/>
              <w:rPr>
                <w:sz w:val="20"/>
                <w:szCs w:val="20"/>
                <w:color w:val="auto"/>
              </w:rPr>
            </w:pPr>
            <w:r>
              <w:rPr>
                <w:rFonts w:ascii="Arial" w:cs="Arial" w:eastAsia="Arial" w:hAnsi="Arial"/>
                <w:sz w:val="16"/>
                <w:szCs w:val="16"/>
                <w:color w:val="auto"/>
              </w:rPr>
              <w:t>Total share-based compensation expense</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19,525</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17,952</w:t>
            </w: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Determining Fair Value</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estimate the fair value of stock options granted using the Black-Scholes valuation method and a single option award approach. When determining the current share prices underlying the stock options for calculating the grant-date fair value, we reference the observable market prices of our stock. This fair value is then amortized on a straight-line basis over the requisite service periods of the awards, which is generally the vesting period. The fair market value of RSUs and PSUs granted is the closing price of our shares on the date of grant and is generally recognized as compensation expense on a straight-line basis over the respective vesting period. For shares purchased under our ESPP, we estimate the grant-date fair value, and the resulting share-based compensation expense, using the Black-Scholes option-pricing model. We estimate forfeitures of stock options, RSUs and shares purchased under our ESPP which is utilized to determine the compensation expense to be recorded over the requisite service period.</w:t>
      </w:r>
    </w:p>
    <w:p>
      <w:pPr>
        <w:spacing w:after="0" w:line="281" w:lineRule="exact"/>
        <w:rPr>
          <w:sz w:val="20"/>
          <w:szCs w:val="20"/>
          <w:color w:val="auto"/>
        </w:rPr>
      </w:pPr>
    </w:p>
    <w:p>
      <w:pPr>
        <w:jc w:val="both"/>
        <w:ind w:left="620" w:hanging="304"/>
        <w:spacing w:after="0" w:line="276" w:lineRule="auto"/>
        <w:tabs>
          <w:tab w:leader="none" w:pos="615"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Expected Term - The expected term used in the Black-Scholes valuation method represents the period that the stock options are expected to be outstanding and is determined based on historical experience of similar awards, considering the contractual terms of the stock options and vesting schedules.</w:t>
      </w:r>
    </w:p>
    <w:p>
      <w:pPr>
        <w:spacing w:after="0" w:line="54"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Expected Volatility - The expected volatility used in the Black-Scholes valuation method is derived from the implied volatility related to our share price over the expected term.</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Expected Dividend - We have never paid dividends on our shares and, accordingly, the dividend yield percentage is zero for all periods.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Risk-Free Interest Rate - The risk-free interest rate used in the Black-Scholes valuation method is the implied yield currently available on U.S. Treasury constant maturities issued with a term equivalent to the expected terms.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For the three months ended March 31, 2023, there were no employee stock options granted. The fair value of employee stock options was estimated using the following assumptions: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6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8"/>
              </w:rPr>
              <w:t>Three Months Ended</w:t>
            </w:r>
          </w:p>
        </w:tc>
      </w:tr>
      <w:tr>
        <w:trPr>
          <w:trHeight w:val="215"/>
        </w:trPr>
        <w:tc>
          <w:tcPr>
            <w:tcW w:w="95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7"/>
              </w:rPr>
              <w:t>March 31,</w:t>
            </w:r>
          </w:p>
        </w:tc>
      </w:tr>
      <w:tr>
        <w:trPr>
          <w:trHeight w:val="20"/>
        </w:trPr>
        <w:tc>
          <w:tcPr>
            <w:tcW w:w="95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95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r>
      <w:tr>
        <w:trPr>
          <w:trHeight w:val="231"/>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4.9</w:t>
            </w:r>
          </w:p>
        </w:tc>
      </w:tr>
      <w:tr>
        <w:trPr>
          <w:trHeight w:val="227"/>
        </w:trPr>
        <w:tc>
          <w:tcPr>
            <w:tcW w:w="956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81%</w:t>
            </w:r>
          </w:p>
        </w:tc>
      </w:tr>
      <w:tr>
        <w:trPr>
          <w:trHeight w:val="242"/>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4.32%</w:t>
            </w:r>
          </w:p>
        </w:tc>
      </w:tr>
      <w:tr>
        <w:trPr>
          <w:trHeight w:val="227"/>
        </w:trPr>
        <w:tc>
          <w:tcPr>
            <w:tcW w:w="95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2"/>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per share</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$2.45</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shares to be issued under the ESPP was estimated using the following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980" w:type="dxa"/>
            <w:vAlign w:val="bottom"/>
          </w:tcPr>
          <w:p>
            <w:pPr>
              <w:spacing w:after="0"/>
              <w:rPr>
                <w:sz w:val="19"/>
                <w:szCs w:val="19"/>
                <w:color w:val="auto"/>
              </w:rPr>
            </w:pPr>
          </w:p>
        </w:tc>
        <w:tc>
          <w:tcPr>
            <w:tcW w:w="3260" w:type="dxa"/>
            <w:vAlign w:val="bottom"/>
            <w:tcBorders>
              <w:bottom w:val="single" w:sz="8" w:color="auto"/>
            </w:tcBorders>
            <w:gridSpan w:val="6"/>
          </w:tcPr>
          <w:p>
            <w:pPr>
              <w:ind w:left="480"/>
              <w:spacing w:after="0"/>
              <w:rPr>
                <w:sz w:val="20"/>
                <w:szCs w:val="20"/>
                <w:color w:val="auto"/>
              </w:rPr>
            </w:pPr>
            <w:r>
              <w:rPr>
                <w:rFonts w:ascii="Arial" w:cs="Arial" w:eastAsia="Arial" w:hAnsi="Arial"/>
                <w:sz w:val="16"/>
                <w:szCs w:val="16"/>
                <w:b w:val="1"/>
                <w:bCs w:val="1"/>
                <w:color w:val="auto"/>
              </w:rPr>
              <w:t>Three Months Ended March 31,</w:t>
            </w:r>
          </w:p>
        </w:tc>
      </w:tr>
      <w:tr>
        <w:trPr>
          <w:trHeight w:val="227"/>
        </w:trPr>
        <w:tc>
          <w:tcPr>
            <w:tcW w:w="79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2024</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5"/>
              </w:rPr>
              <w:t>2023</w:t>
            </w:r>
          </w:p>
        </w:tc>
      </w:tr>
      <w:tr>
        <w:trPr>
          <w:trHeight w:val="23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2.0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w:t>
            </w:r>
          </w:p>
        </w:tc>
      </w:tr>
      <w:tr>
        <w:trPr>
          <w:trHeight w:val="227"/>
        </w:trPr>
        <w:tc>
          <w:tcPr>
            <w:tcW w:w="798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580" w:type="dxa"/>
            <w:vAlign w:val="bottom"/>
            <w:gridSpan w:val="2"/>
          </w:tcPr>
          <w:p>
            <w:pPr>
              <w:jc w:val="center"/>
              <w:spacing w:after="0"/>
              <w:rPr>
                <w:sz w:val="20"/>
                <w:szCs w:val="20"/>
                <w:color w:val="auto"/>
              </w:rPr>
            </w:pPr>
            <w:r>
              <w:rPr>
                <w:rFonts w:ascii="Arial" w:cs="Arial" w:eastAsia="Arial" w:hAnsi="Arial"/>
                <w:sz w:val="16"/>
                <w:szCs w:val="16"/>
                <w:color w:val="auto"/>
                <w:w w:val="93"/>
              </w:rPr>
              <w:t>81%</w:t>
            </w:r>
          </w:p>
        </w:tc>
        <w:tc>
          <w:tcPr>
            <w:tcW w:w="100" w:type="dxa"/>
            <w:vAlign w:val="bottom"/>
          </w:tcPr>
          <w:p>
            <w:pPr>
              <w:spacing w:after="0"/>
              <w:rPr>
                <w:sz w:val="19"/>
                <w:szCs w:val="19"/>
                <w:color w:val="auto"/>
              </w:rPr>
            </w:pPr>
          </w:p>
        </w:tc>
        <w:tc>
          <w:tcPr>
            <w:tcW w:w="1580" w:type="dxa"/>
            <w:vAlign w:val="bottom"/>
            <w:gridSpan w:val="3"/>
          </w:tcPr>
          <w:p>
            <w:pPr>
              <w:jc w:val="center"/>
              <w:spacing w:after="0"/>
              <w:rPr>
                <w:sz w:val="20"/>
                <w:szCs w:val="20"/>
                <w:color w:val="auto"/>
              </w:rPr>
            </w:pPr>
            <w:r>
              <w:rPr>
                <w:rFonts w:ascii="Arial" w:cs="Arial" w:eastAsia="Arial" w:hAnsi="Arial"/>
                <w:sz w:val="16"/>
                <w:szCs w:val="16"/>
                <w:color w:val="auto"/>
                <w:w w:val="93"/>
              </w:rPr>
              <w:t>97%</w:t>
            </w:r>
          </w:p>
        </w:tc>
      </w:tr>
      <w:tr>
        <w:trPr>
          <w:trHeight w:val="24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5.27%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5.20%</w:t>
            </w:r>
          </w:p>
        </w:tc>
      </w:tr>
      <w:tr>
        <w:trPr>
          <w:trHeight w:val="227"/>
        </w:trPr>
        <w:tc>
          <w:tcPr>
            <w:tcW w:w="798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700" w:type="dxa"/>
            <w:vAlign w:val="bottom"/>
          </w:tcPr>
          <w:p>
            <w:pPr>
              <w:spacing w:after="0"/>
              <w:rPr>
                <w:sz w:val="19"/>
                <w:szCs w:val="19"/>
                <w:color w:val="auto"/>
              </w:rPr>
            </w:pPr>
          </w:p>
        </w:tc>
        <w:tc>
          <w:tcPr>
            <w:tcW w:w="980" w:type="dxa"/>
            <w:vAlign w:val="bottom"/>
            <w:gridSpan w:val="2"/>
          </w:tcPr>
          <w:p>
            <w:pPr>
              <w:jc w:val="center"/>
              <w:ind w:right="780"/>
              <w:spacing w:after="0"/>
              <w:rPr>
                <w:sz w:val="20"/>
                <w:szCs w:val="20"/>
                <w:color w:val="auto"/>
              </w:rPr>
            </w:pPr>
            <w:r>
              <w:rPr>
                <w:rFonts w:ascii="Arial" w:cs="Arial" w:eastAsia="Arial" w:hAnsi="Arial"/>
                <w:sz w:val="16"/>
                <w:szCs w:val="16"/>
                <w:color w:val="auto"/>
                <w:w w:val="99"/>
              </w:rPr>
              <w:t>—</w:t>
            </w:r>
          </w:p>
        </w:tc>
        <w:tc>
          <w:tcPr>
            <w:tcW w:w="70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680" w:type="dxa"/>
            <w:vAlign w:val="bottom"/>
          </w:tcPr>
          <w:p>
            <w:pPr>
              <w:spacing w:after="0"/>
              <w:rPr>
                <w:sz w:val="19"/>
                <w:szCs w:val="19"/>
                <w:color w:val="auto"/>
              </w:rPr>
            </w:pPr>
          </w:p>
        </w:tc>
      </w:tr>
      <w:tr>
        <w:trPr>
          <w:trHeight w:val="24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per share</w:t>
            </w: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4"/>
              </w:rPr>
              <w:t>$2.78</w:t>
            </w:r>
          </w:p>
        </w:tc>
        <w:tc>
          <w:tcPr>
            <w:tcW w:w="10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4"/>
              </w:rPr>
              <w:t>$5.00</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NET LOSS PER SHARE</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Basic net loss per share is computed by dividing net loss by the weighted average number of shares of common stock outstanding during the period. Diluted net loss per share is computed using the weighted-average number of shares of common stock outstanding and potential shares assuming the dilutive effect of the convertible senior notes, using the if-converted method, and outstanding equity awards using the treasury stock method.</w:t>
      </w:r>
    </w:p>
    <w:p>
      <w:pPr>
        <w:spacing w:after="0" w:line="27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following table presents the calculation of the basic and diluted net loss per share amounts presented in the Condensed Consolidated Statements of Operations and Comprehensive Loss: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68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8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6"/>
                <w:szCs w:val="16"/>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4"/>
        </w:trPr>
        <w:tc>
          <w:tcPr>
            <w:tcW w:w="816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(78,178)</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(88,015)</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81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Weighted average shares used in computing basic net loss per share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269,578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242,032</w:t>
            </w:r>
          </w:p>
        </w:tc>
        <w:tc>
          <w:tcPr>
            <w:tcW w:w="0" w:type="dxa"/>
            <w:vAlign w:val="bottom"/>
          </w:tcPr>
          <w:p>
            <w:pPr>
              <w:spacing w:after="0"/>
              <w:rPr>
                <w:sz w:val="1"/>
                <w:szCs w:val="1"/>
                <w:color w:val="auto"/>
              </w:rPr>
            </w:pPr>
          </w:p>
        </w:tc>
      </w:tr>
      <w:tr>
        <w:trPr>
          <w:trHeight w:val="25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loss per share</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Weighted average shares used in computing diluted net loss per share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269,578</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242,032</w:t>
            </w:r>
          </w:p>
        </w:tc>
        <w:tc>
          <w:tcPr>
            <w:tcW w:w="0" w:type="dxa"/>
            <w:vAlign w:val="bottom"/>
          </w:tcPr>
          <w:p>
            <w:pPr>
              <w:spacing w:after="0"/>
              <w:rPr>
                <w:sz w:val="1"/>
                <w:szCs w:val="1"/>
                <w:color w:val="auto"/>
              </w:rPr>
            </w:pPr>
          </w:p>
        </w:tc>
      </w:tr>
      <w:tr>
        <w:trPr>
          <w:trHeight w:val="220"/>
        </w:trPr>
        <w:tc>
          <w:tcPr>
            <w:tcW w:w="8160" w:type="dxa"/>
            <w:vAlign w:val="bottom"/>
          </w:tcPr>
          <w:p>
            <w:pPr>
              <w:ind w:left="20"/>
              <w:spacing w:after="0"/>
              <w:rPr>
                <w:sz w:val="20"/>
                <w:szCs w:val="20"/>
                <w:color w:val="auto"/>
              </w:rPr>
            </w:pPr>
            <w:r>
              <w:rPr>
                <w:rFonts w:ascii="Arial" w:cs="Arial" w:eastAsia="Arial" w:hAnsi="Arial"/>
                <w:sz w:val="16"/>
                <w:szCs w:val="16"/>
                <w:color w:val="auto"/>
              </w:rPr>
              <w:t>Diluted net loss per share</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6"/>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following shares issuable upon conversion of the convertible senior notes and outstanding equity awards were excluded from the computation of diluted net loss per share for the periods presented because the effect of including such shares would have been antidilutive: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7"/>
              </w:rPr>
              <w:t>Three Months Ended</w:t>
            </w:r>
          </w:p>
        </w:tc>
      </w:tr>
      <w:tr>
        <w:trPr>
          <w:trHeight w:val="215"/>
        </w:trPr>
        <w:tc>
          <w:tcPr>
            <w:tcW w:w="8180" w:type="dxa"/>
            <w:vAlign w:val="bottom"/>
          </w:tcPr>
          <w:p>
            <w:pPr>
              <w:spacing w:after="0"/>
              <w:rPr>
                <w:sz w:val="18"/>
                <w:szCs w:val="18"/>
                <w:color w:val="auto"/>
              </w:rPr>
            </w:pPr>
          </w:p>
        </w:tc>
        <w:tc>
          <w:tcPr>
            <w:tcW w:w="2020" w:type="dxa"/>
            <w:vAlign w:val="bottom"/>
            <w:gridSpan w:val="3"/>
          </w:tcPr>
          <w:p>
            <w:pPr>
              <w:jc w:val="center"/>
              <w:ind w:left="982"/>
              <w:spacing w:after="0"/>
              <w:rPr>
                <w:sz w:val="20"/>
                <w:szCs w:val="20"/>
                <w:color w:val="auto"/>
              </w:rPr>
            </w:pPr>
            <w:r>
              <w:rPr>
                <w:rFonts w:ascii="Arial" w:cs="Arial" w:eastAsia="Arial" w:hAnsi="Arial"/>
                <w:sz w:val="16"/>
                <w:szCs w:val="16"/>
                <w:b w:val="1"/>
                <w:bCs w:val="1"/>
                <w:color w:val="auto"/>
                <w:w w:val="97"/>
              </w:rPr>
              <w:t>March 31,</w:t>
            </w:r>
          </w:p>
        </w:tc>
        <w:tc>
          <w:tcPr>
            <w:tcW w:w="104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r>
      <w:tr>
        <w:trPr>
          <w:trHeight w:val="231"/>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issuable upon conversion of convertible senior notes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20,690</w:t>
            </w:r>
          </w:p>
        </w:tc>
      </w:tr>
      <w:tr>
        <w:trPr>
          <w:trHeight w:val="219"/>
        </w:trPr>
        <w:tc>
          <w:tcPr>
            <w:tcW w:w="8180" w:type="dxa"/>
            <w:vAlign w:val="bottom"/>
          </w:tcPr>
          <w:p>
            <w:pPr>
              <w:ind w:left="20"/>
              <w:spacing w:after="0"/>
              <w:rPr>
                <w:sz w:val="20"/>
                <w:szCs w:val="20"/>
                <w:color w:val="auto"/>
              </w:rPr>
            </w:pPr>
            <w:r>
              <w:rPr>
                <w:rFonts w:ascii="Arial" w:cs="Arial" w:eastAsia="Arial" w:hAnsi="Arial"/>
                <w:sz w:val="16"/>
                <w:szCs w:val="16"/>
                <w:color w:val="auto"/>
              </w:rPr>
              <w:t>Equity Awards</w:t>
            </w:r>
          </w:p>
        </w:tc>
        <w:tc>
          <w:tcPr>
            <w:tcW w:w="1480" w:type="dxa"/>
            <w:vAlign w:val="bottom"/>
          </w:tcPr>
          <w:p>
            <w:pPr>
              <w:jc w:val="right"/>
              <w:spacing w:after="0"/>
              <w:rPr>
                <w:sz w:val="20"/>
                <w:szCs w:val="20"/>
                <w:color w:val="auto"/>
              </w:rPr>
            </w:pPr>
            <w:r>
              <w:rPr>
                <w:rFonts w:ascii="Arial" w:cs="Arial" w:eastAsia="Arial" w:hAnsi="Arial"/>
                <w:sz w:val="16"/>
                <w:szCs w:val="16"/>
                <w:color w:val="auto"/>
              </w:rPr>
              <w:t>36,924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30,366</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u w:val="single" w:color="auto"/>
          <w:color w:val="0000FF"/>
        </w:rPr>
        <w:t>Note 2. Business Acquisitions</w:t>
      </w:r>
      <w:r>
        <w:rPr>
          <w:rFonts w:ascii="Arial" w:cs="Arial" w:eastAsia="Arial" w:hAnsi="Arial"/>
          <w:sz w:val="17"/>
          <w:szCs w:val="17"/>
          <w:color w:val="auto"/>
        </w:rPr>
        <w:t xml:space="preserve"> for detailed information on contingently issuable shares due upon achievement of a milestone. See </w:t>
      </w:r>
      <w:r>
        <w:rPr>
          <w:rFonts w:ascii="Arial" w:cs="Arial" w:eastAsia="Arial" w:hAnsi="Arial"/>
          <w:sz w:val="17"/>
          <w:szCs w:val="17"/>
          <w:i w:val="1"/>
          <w:iCs w:val="1"/>
          <w:u w:val="single" w:color="auto"/>
          <w:color w:val="0000FF"/>
        </w:rPr>
        <w:t>Note 7.</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0000FF"/>
        </w:rPr>
        <w:t>Stockholders’ Equity</w:t>
      </w:r>
      <w:r>
        <w:rPr>
          <w:rFonts w:ascii="Arial" w:cs="Arial" w:eastAsia="Arial" w:hAnsi="Arial"/>
          <w:sz w:val="17"/>
          <w:szCs w:val="17"/>
          <w:i w:val="1"/>
          <w:iCs w:val="1"/>
          <w:color w:val="0000FF"/>
        </w:rPr>
        <w:t xml:space="preserve"> </w:t>
      </w:r>
      <w:r>
        <w:rPr>
          <w:rFonts w:ascii="Arial" w:cs="Arial" w:eastAsia="Arial" w:hAnsi="Arial"/>
          <w:sz w:val="17"/>
          <w:szCs w:val="17"/>
          <w:color w:val="000000"/>
        </w:rPr>
        <w:t>for detailed information on equity awards.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REVENUE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revenue by geographic location is as follows:</w:t>
      </w:r>
    </w:p>
    <w:p>
      <w:pPr>
        <w:spacing w:after="0" w:line="171"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5182235</wp:posOffset>
            </wp:positionH>
            <wp:positionV relativeFrom="paragraph">
              <wp:posOffset>24130</wp:posOffset>
            </wp:positionV>
            <wp:extent cx="19577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31"/>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17,678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19,071</w:t>
            </w:r>
          </w:p>
        </w:tc>
      </w:tr>
      <w:tr>
        <w:trPr>
          <w:trHeight w:val="227"/>
        </w:trPr>
        <w:tc>
          <w:tcPr>
            <w:tcW w:w="8160" w:type="dxa"/>
            <w:vAlign w:val="bottom"/>
          </w:tcPr>
          <w:p>
            <w:pPr>
              <w:ind w:left="20"/>
              <w:spacing w:after="0"/>
              <w:rPr>
                <w:sz w:val="20"/>
                <w:szCs w:val="20"/>
                <w:color w:val="auto"/>
              </w:rPr>
            </w:pPr>
            <w:r>
              <w:rPr>
                <w:rFonts w:ascii="Arial" w:cs="Arial" w:eastAsia="Arial" w:hAnsi="Arial"/>
                <w:sz w:val="16"/>
                <w:szCs w:val="16"/>
                <w:color w:val="auto"/>
              </w:rPr>
              <w:t>Europe, Middle East and Africa</w:t>
            </w:r>
          </w:p>
        </w:tc>
        <w:tc>
          <w:tcPr>
            <w:tcW w:w="3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8,356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7,870</w:t>
            </w:r>
          </w:p>
        </w:tc>
      </w:tr>
      <w:tr>
        <w:trPr>
          <w:trHeight w:val="24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Asia-Pacific</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12,776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11,959</w:t>
            </w:r>
          </w:p>
        </w:tc>
      </w:tr>
      <w:tr>
        <w:trPr>
          <w:trHeight w:val="220"/>
        </w:trPr>
        <w:tc>
          <w:tcPr>
            <w:tcW w:w="8160" w:type="dxa"/>
            <w:vAlign w:val="bottom"/>
          </w:tcPr>
          <w:p>
            <w:pPr>
              <w:ind w:left="26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38,810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38,900</w:t>
            </w:r>
          </w:p>
        </w:tc>
      </w:tr>
      <w:tr>
        <w:trPr>
          <w:trHeight w:val="26"/>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revenue by category is as follows:</w:t>
      </w:r>
    </w:p>
    <w:p>
      <w:pPr>
        <w:spacing w:after="0" w:line="67"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5182235</wp:posOffset>
            </wp:positionH>
            <wp:positionV relativeFrom="paragraph">
              <wp:posOffset>24130</wp:posOffset>
            </wp:positionV>
            <wp:extent cx="1957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31"/>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 revenue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19,025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20,700</w:t>
            </w:r>
          </w:p>
        </w:tc>
      </w:tr>
      <w:tr>
        <w:trPr>
          <w:trHeight w:val="22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Consumable revenue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15,984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13,954</w:t>
            </w:r>
          </w:p>
        </w:tc>
      </w:tr>
      <w:tr>
        <w:trPr>
          <w:trHeight w:val="234"/>
        </w:trPr>
        <w:tc>
          <w:tcPr>
            <w:tcW w:w="8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Product revenue</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35,009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34,654</w:t>
            </w:r>
          </w:p>
        </w:tc>
      </w:tr>
      <w:tr>
        <w:trPr>
          <w:trHeight w:val="22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Service and other revenue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4,246</w:t>
            </w:r>
          </w:p>
        </w:tc>
      </w:tr>
      <w:tr>
        <w:trPr>
          <w:trHeight w:val="252"/>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38,810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38,900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SUBSEQUENT EVENTS</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16, 2024, we announced plans to reduce operating costs. In connection with our expense reduction initiatives, we began implementing a reduction of our global workforce and will close our San Diego office. As a result of these actions, we expect to record a restructuring charge, comprised primarily of compensation and benefits afforded to terminated employees and lease-related costs. At this time, we are unable to make a determination of the estimated amount or range of amounts for charges to be incurred in connection with these actions.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(i) unaudited condensed consolidated financial statements and related notes that are included elsewhere in this Quarterly Report on Form 10-Q and (ii) our Annual Report on Form 10-K for the fiscal year ended December 31, 2023 filed with the U.S. Securities and Exchange Commission, or the SEC, on February 28, 2024. This discussion contains forward-looking statements based upon current plans, expectations and beliefs that involve risks and uncertainties.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Our actual results may differ materially from those anticipated in these forward-looking statements as a result of various factors, including, but not limited to, those discussed in the section entitled “Risk Factors” and elsewhere in this Quarterly Report on Form 10-Q, and you should not place undue reliance on our forward-looking statements. We do not assume any obligation to update any forward-looking statements. In preparing this MD&amp;A, we presume that readers have access to and have read the MD&amp;A in our Annual Report on Form 10-K, pursuant to Instruction 2 to paragraph (b) of Item 303 of Regulation S-K.</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Our Management’s Discussion and Analysis (MD&amp;A) is organized into the following sections:</w:t>
      </w:r>
    </w:p>
    <w:p>
      <w:pPr>
        <w:spacing w:after="0" w:line="117" w:lineRule="exact"/>
        <w:rPr>
          <w:sz w:val="20"/>
          <w:szCs w:val="20"/>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Overview and Outlook</w:t>
      </w:r>
    </w:p>
    <w:p>
      <w:pPr>
        <w:spacing w:after="0" w:line="64" w:lineRule="exact"/>
        <w:rPr>
          <w:rFonts w:ascii="Arial" w:cs="Arial" w:eastAsia="Arial" w:hAnsi="Arial"/>
          <w:sz w:val="17"/>
          <w:szCs w:val="17"/>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64" w:lineRule="exact"/>
        <w:rPr>
          <w:rFonts w:ascii="Arial" w:cs="Arial" w:eastAsia="Arial" w:hAnsi="Arial"/>
          <w:sz w:val="17"/>
          <w:szCs w:val="17"/>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Liquidity and Capital Resources</w:t>
      </w:r>
    </w:p>
    <w:p>
      <w:pPr>
        <w:spacing w:after="0" w:line="64" w:lineRule="exact"/>
        <w:rPr>
          <w:rFonts w:ascii="Arial" w:cs="Arial" w:eastAsia="Arial" w:hAnsi="Arial"/>
          <w:sz w:val="17"/>
          <w:szCs w:val="17"/>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Critical Accounting Policies and Estimates</w:t>
      </w:r>
    </w:p>
    <w:p>
      <w:pPr>
        <w:spacing w:after="0" w:line="64" w:lineRule="exact"/>
        <w:rPr>
          <w:rFonts w:ascii="Arial" w:cs="Arial" w:eastAsia="Arial" w:hAnsi="Arial"/>
          <w:sz w:val="17"/>
          <w:szCs w:val="17"/>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Recent Accounting Pronouncements</w:t>
      </w:r>
    </w:p>
    <w:p>
      <w:pPr>
        <w:spacing w:after="0" w:line="64" w:lineRule="exact"/>
        <w:rPr>
          <w:rFonts w:ascii="Arial" w:cs="Arial" w:eastAsia="Arial" w:hAnsi="Arial"/>
          <w:sz w:val="17"/>
          <w:szCs w:val="17"/>
          <w:color w:val="auto"/>
        </w:rPr>
      </w:pP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Off 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Outlook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About PacBio</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are a premier life science technology company that is designing, developing, and manufacturing advanced sequencing solutions that enable scientists and clinical researchers to improve their understanding of the genome and ultimately, resolve genetically complex problems.</w:t>
      </w:r>
    </w:p>
    <w:p>
      <w:pPr>
        <w:spacing w:after="0" w:line="3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Our products and technology under development stem from two highly differentiated core technologies focused on accuracy, quality, and completeness, which include our HiFi long-read sequencing technology and our Sequencing by Binding (SBB</w:t>
      </w:r>
      <w:r>
        <w:rPr>
          <w:rFonts w:ascii="Arial" w:cs="Arial" w:eastAsia="Arial" w:hAnsi="Arial"/>
          <w:sz w:val="22"/>
          <w:szCs w:val="22"/>
          <w:color w:val="auto"/>
          <w:vertAlign w:val="superscript"/>
        </w:rPr>
        <w:t>®</w:t>
      </w:r>
      <w:r>
        <w:rPr>
          <w:rFonts w:ascii="Arial" w:cs="Arial" w:eastAsia="Arial" w:hAnsi="Arial"/>
          <w:sz w:val="17"/>
          <w:szCs w:val="17"/>
          <w:color w:val="auto"/>
        </w:rPr>
        <w:t>) short-read sequencing technology. Our products address solutions across a broad set of applications including human genetics, plant and animal sciences, infectious disease and microbiology, oncology, and other emerging applications. Long-read sequencing was recognized by the journal Nature Methods as its “method of the year” for 2022 for its contributions to biological understanding and future potential.</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focus is on creating some of the world`s most advanced sequencing systems to provide our customers the most complete and accurate view of genomes, transcriptomes, and epigenomes.</w:t>
      </w:r>
    </w:p>
    <w:p>
      <w:pPr>
        <w:spacing w:after="0" w:line="3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 Objectives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2024 strategic objectives are to:</w:t>
      </w:r>
    </w:p>
    <w:p>
      <w:pPr>
        <w:spacing w:after="0" w:line="117" w:lineRule="exact"/>
        <w:rPr>
          <w:sz w:val="20"/>
          <w:szCs w:val="20"/>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Improve commercial execution to drive adoption of both the Revio and Onso platforms;</w:t>
      </w:r>
    </w:p>
    <w:p>
      <w:pPr>
        <w:spacing w:after="0" w:line="64" w:lineRule="exact"/>
        <w:rPr>
          <w:rFonts w:ascii="Arial" w:cs="Arial" w:eastAsia="Arial" w:hAnsi="Arial"/>
          <w:sz w:val="17"/>
          <w:szCs w:val="17"/>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 the development of our benchtop long read and high throughput short-read platforms;</w:t>
      </w:r>
    </w:p>
    <w:p>
      <w:pPr>
        <w:spacing w:after="0" w:line="64" w:lineRule="exact"/>
        <w:rPr>
          <w:rFonts w:ascii="Arial" w:cs="Arial" w:eastAsia="Arial" w:hAnsi="Arial"/>
          <w:sz w:val="17"/>
          <w:szCs w:val="17"/>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Implement projects to improve our gross margin and drive manufacturing efficiencies;</w:t>
      </w:r>
    </w:p>
    <w:p>
      <w:pPr>
        <w:spacing w:after="0" w:line="64"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Reduce certain annualized run-rate operating expenses (including the planned reduction of our annualized run-rate operating expenses by the end of 2024).</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will continue to leverage our commercial organization and significantly improve our products' efficiency and usability to seek to reach a broader customer base. We believe the commercial investments we have recently made will further help drive growth in our business.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To increase the adoption of HiFi sequencing, we have various development programs in progress to expand our product portfolio, increase the throughput, and improve the usability of our existing sequencing solutions. We continue to focus on programs to accelerate new platform launches in the near to mid-term as well as increase applications for our technologies. We commenced commercial shipments of Revio, our new HiFi long-read sequencing system, in the first quarter of 2023. To address the oncology research markets with a highly differentiated alternative to existing third-party short-read sequencing products already on the market, we commenced customer shipments of the Onso short-read sequencing instrument in August 2023.</w:t>
      </w:r>
    </w:p>
    <w:p>
      <w:pPr>
        <w:spacing w:after="0" w:line="6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continue to believe that with the capabilities of our HiFi chemistry and SMRT</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technology, we can be a market leader in whole-genome clinical sequencing. Leading institutions have adopted our products to study rare and inherited disease. We believe the market opportunity for clinical sequencing is significant and could drive substantial revenue growth for us. We plan to continue to pursue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second quarter of 2024, we announced plans to reduce certain annualized run-rate operating expenses by the end of 2024, with the intent of better aligning our organizational structure and resources with our strategic initiatives. Our planned expense reduction measures comprise, among other things, workforce reductions, facilities downsizing and a refined pipeline of development activities.</w:t>
      </w:r>
    </w:p>
    <w:p>
      <w:pPr>
        <w:spacing w:after="0" w:line="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an ongoing basis, we evaluate our significant estimates, including those related to the valuation of indefinite-lived and long-lived assets. However, these estimates could change in future periods based on events or changes in circumstances, which could result in material impairment charges. Refer to the Critical Accounting Policies and Estimates section of our Annual Report on Form 10-K for the year ended December 31, 2023 for further discussion on the Company's asset impairment assessments.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Overview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Key highlights of the three months ended March 31, 2024 consolidated financial results include the following:</w:t>
      </w:r>
    </w:p>
    <w:p>
      <w:pPr>
        <w:spacing w:after="0" w:line="169" w:lineRule="exact"/>
        <w:rPr>
          <w:sz w:val="20"/>
          <w:szCs w:val="20"/>
          <w:color w:val="auto"/>
        </w:rPr>
      </w:pPr>
    </w:p>
    <w:p>
      <w:pPr>
        <w:jc w:val="both"/>
        <w:ind w:left="320" w:hanging="316"/>
        <w:spacing w:after="0" w:line="269"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Revenue decreased slightly to $38.8 million for the three months ended March 31, 2024, as compared to $38.9 million for the three months ended March 31, 2023. Revenue was comprised of $19.0 million in instrument revenue, $16.0 million in consumables revenue and $3.8 million in service and other revenue for the three months ended March 31, 2024. The decrease was due to lower Revio unit sales which was partially offset by higher consumable sales.</w:t>
      </w:r>
    </w:p>
    <w:p>
      <w:pPr>
        <w:spacing w:after="0" w:line="60" w:lineRule="exact"/>
        <w:rPr>
          <w:rFonts w:ascii="Arial" w:cs="Arial" w:eastAsia="Arial" w:hAnsi="Arial"/>
          <w:sz w:val="17"/>
          <w:szCs w:val="17"/>
          <w:color w:val="auto"/>
        </w:rPr>
      </w:pPr>
    </w:p>
    <w:p>
      <w:pPr>
        <w:jc w:val="both"/>
        <w:ind w:left="320" w:hanging="316"/>
        <w:spacing w:after="0" w:line="269"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Gross profit as a percentage of revenue (gross margin) was 29% for the three months ended March 31, 2024, compared to 25% for the three months ended March 31, 2023. Gross margin increased primarily due to adjustments in the first quarter of 2023 that did not recur in the first quarter of 2024 of approximately $3.5 million relating to excess consumables inventory, partially offset by an increase in amortization of acquired intangible assets.</w:t>
      </w:r>
    </w:p>
    <w:p>
      <w:pPr>
        <w:spacing w:after="0" w:line="60" w:lineRule="exact"/>
        <w:rPr>
          <w:rFonts w:ascii="Arial" w:cs="Arial" w:eastAsia="Arial" w:hAnsi="Arial"/>
          <w:sz w:val="17"/>
          <w:szCs w:val="17"/>
          <w:color w:val="auto"/>
        </w:rPr>
      </w:pPr>
    </w:p>
    <w:p>
      <w:pPr>
        <w:jc w:val="both"/>
        <w:ind w:left="320" w:hanging="316"/>
        <w:spacing w:after="0" w:line="265"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Loss from operations decreased $9.9 million, or 11%, to $81.4 million for the three months ended March 31, 2024, as compared to $91.3 million for the three months ended March 31, 2023, driven primarily by a decrease of $8.4 million of operating expenses, including a $12.3 million decrease in the change in the fair value of the contingent consideration and a $5.5 million decrease in research and development expenses, partially offset by a $3.9 million increase in sales, general and administrative expenses and a $5.5 million increase in amortization of acquired intangible assets.</w:t>
      </w:r>
    </w:p>
    <w:p>
      <w:pPr>
        <w:spacing w:after="0" w:line="65" w:lineRule="exact"/>
        <w:rPr>
          <w:rFonts w:ascii="Arial" w:cs="Arial" w:eastAsia="Arial" w:hAnsi="Arial"/>
          <w:sz w:val="17"/>
          <w:szCs w:val="17"/>
          <w:color w:val="auto"/>
        </w:rPr>
      </w:pPr>
    </w:p>
    <w:p>
      <w:pPr>
        <w:ind w:left="320" w:hanging="316"/>
        <w:spacing w:after="0" w:line="296" w:lineRule="auto"/>
        <w:tabs>
          <w:tab w:leader="none" w:pos="316" w:val="left"/>
        </w:tabs>
        <w:numPr>
          <w:ilvl w:val="0"/>
          <w:numId w:val="8"/>
        </w:numPr>
        <w:rPr>
          <w:rFonts w:ascii="Arial" w:cs="Arial" w:eastAsia="Arial" w:hAnsi="Arial"/>
          <w:sz w:val="17"/>
          <w:szCs w:val="17"/>
          <w:color w:val="auto"/>
        </w:rPr>
      </w:pPr>
      <w:r>
        <w:rPr>
          <w:rFonts w:ascii="Arial" w:cs="Arial" w:eastAsia="Arial" w:hAnsi="Arial"/>
          <w:sz w:val="17"/>
          <w:szCs w:val="17"/>
          <w:color w:val="auto"/>
        </w:rPr>
        <w:t>Cash, cash equivalents, and short-term investments were $561.9 million at March 31, 2024, which represents a 11% decrease compared to the balance at December 31, 2023.</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Macroeconomic dynamics impacting the Company may include rising inflation, geopolitical tensions, volatile capital markets, and fluctuating exchange rates.</w:t>
      </w:r>
    </w:p>
    <w:p>
      <w:pPr>
        <w:spacing w:after="0" w:line="3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median sales cycle for Revio instrument purchases increased more than expected in the first quarter of 2024. We believe this has been caused by, among other reasons, the uncertainty surrounding the funding for new capital equipment, particularly in the U.S. and China; procurement delays; small-to-mid-size existing customers yet to increase their sample volumes to drive an upgrade to Revio; and an increasing proportion of the sales pipeline being comprised of new customers, which have shown they have longer sales cycles compared to existing PacBio customers.</w:t>
      </w:r>
    </w:p>
    <w:p>
      <w:pPr>
        <w:spacing w:after="0" w:line="2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our consumables revenue was also impacted primarily by, among other reasons, slower-than-expected ramp-up in sequencing by our small- to mid-sized customers, many of whom are new to PacBio; sample delays impacting sequencing volume in the quarter at certain large customers; and some service providers in China operating at lower utilization as a result of the difficult funding environment.</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These factors could continue to impact our revenues and results of operations in future periods; however, the magnitude and duration of these impacts is uncertain and inherently unpredictable.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the </w:t>
      </w:r>
      <w:r>
        <w:rPr>
          <w:rFonts w:ascii="Arial" w:cs="Arial" w:eastAsia="Arial" w:hAnsi="Arial"/>
          <w:sz w:val="17"/>
          <w:szCs w:val="17"/>
          <w:i w:val="1"/>
          <w:iCs w:val="1"/>
          <w:u w:val="single" w:color="auto"/>
          <w:color w:val="0000FF"/>
        </w:rPr>
        <w:t>Risk Factors</w:t>
      </w:r>
      <w:r>
        <w:rPr>
          <w:rFonts w:ascii="Arial" w:cs="Arial" w:eastAsia="Arial" w:hAnsi="Arial"/>
          <w:sz w:val="17"/>
          <w:szCs w:val="17"/>
          <w:color w:val="auto"/>
        </w:rPr>
        <w:t xml:space="preserve"> section for further discussion.</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March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7"/>
        </w:trPr>
        <w:tc>
          <w:tcPr>
            <w:tcW w:w="494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percentages)</w:t>
            </w: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 Change</w:t>
            </w:r>
          </w:p>
        </w:tc>
      </w:tr>
      <w:tr>
        <w:trPr>
          <w:trHeight w:val="214"/>
        </w:trPr>
        <w:tc>
          <w:tcPr>
            <w:tcW w:w="49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42"/>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Product revenue</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35,009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34,654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27"/>
        </w:trPr>
        <w:tc>
          <w:tcPr>
            <w:tcW w:w="49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Service and other revenue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4,246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 %</w:t>
            </w:r>
          </w:p>
        </w:tc>
      </w:tr>
      <w:tr>
        <w:trPr>
          <w:trHeight w:val="234"/>
        </w:trPr>
        <w:tc>
          <w:tcPr>
            <w:tcW w:w="4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38,810</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38,900</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7"/>
        </w:trPr>
        <w:tc>
          <w:tcPr>
            <w:tcW w:w="49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42"/>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Cost of product revenue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22,447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25,164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27"/>
        </w:trPr>
        <w:tc>
          <w:tcPr>
            <w:tcW w:w="4940" w:type="dxa"/>
            <w:vAlign w:val="bottom"/>
          </w:tcPr>
          <w:p>
            <w:pPr>
              <w:ind w:left="420"/>
              <w:spacing w:after="0"/>
              <w:rPr>
                <w:sz w:val="20"/>
                <w:szCs w:val="20"/>
                <w:color w:val="auto"/>
              </w:rPr>
            </w:pPr>
            <w:r>
              <w:rPr>
                <w:rFonts w:ascii="Arial" w:cs="Arial" w:eastAsia="Arial" w:hAnsi="Arial"/>
                <w:sz w:val="16"/>
                <w:szCs w:val="16"/>
                <w:color w:val="auto"/>
              </w:rPr>
              <w:t>Cost of service and other revenue</w:t>
            </w:r>
          </w:p>
        </w:tc>
        <w:tc>
          <w:tcPr>
            <w:tcW w:w="22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3,738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3,792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35"/>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Amortization of acquired intangible assets</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1,343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634 %</w:t>
            </w:r>
          </w:p>
        </w:tc>
      </w:tr>
      <w:tr>
        <w:trPr>
          <w:trHeight w:val="227"/>
        </w:trPr>
        <w:tc>
          <w:tcPr>
            <w:tcW w:w="49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cost of revenue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27,528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29,139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(6 %)</w:t>
            </w:r>
          </w:p>
        </w:tc>
      </w:tr>
      <w:tr>
        <w:trPr>
          <w:trHeight w:val="234"/>
        </w:trPr>
        <w:tc>
          <w:tcPr>
            <w:tcW w:w="494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11,282</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9,761</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1,521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07"/>
        </w:trPr>
        <w:tc>
          <w:tcPr>
            <w:tcW w:w="4940" w:type="dxa"/>
            <w:vAlign w:val="bottom"/>
          </w:tcPr>
          <w:p>
            <w:pPr>
              <w:ind w:left="20"/>
              <w:spacing w:after="0"/>
              <w:rPr>
                <w:sz w:val="20"/>
                <w:szCs w:val="20"/>
                <w:color w:val="auto"/>
              </w:rPr>
            </w:pPr>
            <w:r>
              <w:rPr>
                <w:rFonts w:ascii="Arial" w:cs="Arial" w:eastAsia="Arial" w:hAnsi="Arial"/>
                <w:sz w:val="16"/>
                <w:szCs w:val="16"/>
                <w:color w:val="auto"/>
              </w:rPr>
              <w:t>Operating Expense:</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42"/>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43,455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48,939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27"/>
        </w:trPr>
        <w:tc>
          <w:tcPr>
            <w:tcW w:w="4940" w:type="dxa"/>
            <w:vAlign w:val="bottom"/>
          </w:tcPr>
          <w:p>
            <w:pPr>
              <w:ind w:left="420"/>
              <w:spacing w:after="0"/>
              <w:rPr>
                <w:sz w:val="20"/>
                <w:szCs w:val="20"/>
                <w:color w:val="auto"/>
              </w:rPr>
            </w:pPr>
            <w:r>
              <w:rPr>
                <w:rFonts w:ascii="Arial" w:cs="Arial" w:eastAsia="Arial" w:hAnsi="Arial"/>
                <w:sz w:val="16"/>
                <w:szCs w:val="16"/>
                <w:color w:val="auto"/>
              </w:rPr>
              <w:t>Sales, general and administrative</w:t>
            </w:r>
          </w:p>
        </w:tc>
        <w:tc>
          <w:tcPr>
            <w:tcW w:w="22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43,753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39,818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3,935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242"/>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Amortization of acquired intangible assets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5,506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5,506</w:t>
            </w: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r>
      <w:tr>
        <w:trPr>
          <w:trHeight w:val="227"/>
        </w:trPr>
        <w:tc>
          <w:tcPr>
            <w:tcW w:w="49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Change in fair value of contingent consideration</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12,256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(12,326)</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(101) %</w:t>
            </w:r>
          </w:p>
        </w:tc>
      </w:tr>
      <w:tr>
        <w:trPr>
          <w:trHeight w:val="227"/>
        </w:trPr>
        <w:tc>
          <w:tcPr>
            <w:tcW w:w="4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operating expense</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92,644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101,013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27"/>
        </w:trPr>
        <w:tc>
          <w:tcPr>
            <w:tcW w:w="494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(81,362)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(91,252)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9,890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42"/>
        </w:trPr>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27"/>
        </w:trPr>
        <w:tc>
          <w:tcPr>
            <w:tcW w:w="49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6,759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6,867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(2 %)</w:t>
            </w:r>
          </w:p>
        </w:tc>
      </w:tr>
      <w:tr>
        <w:trPr>
          <w:trHeight w:val="25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(78,178)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(88,015)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9,837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Revenue decreased slightly to $38.8 million for the three months ended March 31, 2024, as compared to $38.9 million for the three months ended March 31, 2023.</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Instrument revenue decreased $1.7 million, or 8%, to $19.0 million for the three months ended March 31, 2024, as compared to $20.7 million for the three months ended March 31, 2023, primarily due to the sale of 28 Revio systems during the three months ended March 31, 2024 compared to 32 Revio systems during the three months ended March 31,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Consumables revenue increased $2.0 million, or 15%, to $16.0 million for the three months ended March 31, 2024, as compared to $ 14.0 million for the three months ended March 31, 2023. The increase in consumable sales was primarily due to higher Revio consumables sales attributable to the growth in the Revio instrument installed base, partially offset by a decline in Sequel II and IIe consumables as customers transition to Revio. We expect Revio consumable sales to increase as the installed base grows. While we expect to see a decline in Sequel II and IIe consumable sales resulting from the product transition, there is uncertainty as to the rate at which these sales will decline.</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Service and other revenue decreased $0.4 million, or 10%, to $3.8 million for the three months ended March 31, 2024, as compared to $4.2 million for the three months ended March 31, 2023, primarily due to customers transitioning to the Revio system, which includes a first-year warranty, and opting not to renew their Sequel II/IIe plans. We expect service revenue to begin to increase during the second half of the year as we anticipate customers transitioning their service contracts to Revio following the standard warranty period.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Gross Profit and Gross Margin</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Cost of product revenue decreased $2.7 million, or 11%, for the three months ended March 31, 2024, compared to the three months ended March 31, 2023. The cost of product revenue decreased primarily due to lower instrument sales and adjustments of approximately $3.5 million recognized in the first quarter of 2023 primarily relating to excess consumables inventory due to the product transition to Revio, partially offset by higher consumable sales and for the three months ended March 31, 2024. Cost of revenue included share-based compensation expense of $2.1 million and $1.9 million during the three months ended March 31, 2024 and 2023, respectively.</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Gross profit increased $1.5 million, or 16%, to $11.3 million for the three months ended March 31, 2024, compared to $9.8 million for the three months ended March 31, 2023. Gross margin was 29% for the three months ended March 31, 2024, compared to gross margin of 25% for the three months ended March 31, 2023. We anticipate gross margin to increase as we implement projects designed to improve our product costs and drive manufacturing efficiencies. However, gross margins could fluctuate depending on the timing of the reduction of Revio instrument product costs and changes in Revio consumable volume. Additionally gross margins may be impacted by manufacturing efficiencies, improvement of warranty costs, and fluctuations in average selling prices.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Research and development expense decreased by $5.5 million, or 11%, to $ 43.5 million for the three months ended March 31, 2024, compared to $48.9 million for the three months ended March 31, 2023. The decrease was primarily driven by a decrease in personnel expenses due to restructuring activities in the fourth quarter of 2023 and the transition of recently launched products from development to commercialization. Research and development expense included share-based compensation expense of $5.8 million and $6.7 million during the three months ended March 31, 2024 and 2023, respectively. We anticipate research and development expense to further decrease during 2024 in connection with our recently announced expense reduction initiatives, primarily due to headcount reductions.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General and Administrative Expense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general and administrative expense increased by $ 3.9 million, or 10%, to $43.8 million for the three months ended March 31, 2024, compared to $39.8 million for the three months ended March 31, 2023. The increase was primarily driven by an increase in personnel expenses as we expanded our commercial organization. Sales, general, and administrative expense included share-based compensation expense of $11.6 million and $9.3 million during the three months ended March 31, 2024 and 2023,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Contingent Consideration</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change in fair value of contingent consideration during the three months ended March 31, 2024, represents the remeasurement impact of the Apton contingent consideration due upon the achievement of the milestone, while the change in fair value of contingent consideration during the three months ended March 31, 2023, represents the remeasurement impact of the Omniome contingent consideration, which was achieved in the third quarter of 2023. The decrease in the change in fair value of contingent consideration was primarily due to the change in the milestone in the first quarter of 2024 as compared to the first quarter of 2023.</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contingent consideration milestone for the Omniome acquisition was defined as the first commercial shipment to a customer of both an instrument and related consumables, utilizing SBB technology. As a result of the milestone achievement in September 2023, former Omniome securityholders received as milestone consideration, among other things, an aggregate of approximately $100.9 million in cash and approximately 9.0 million shares of our common stock.</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acquisition of Apton, we entered into an arrangement where we are obligated to pay former holders of Apton's outstanding equity interests $25.0 million upon the achievement of $50 million in revenue associated with a high throughput sequencer using Apton's technology, provided that the milestone event occurs prior to the 5-year anniversary of the closing date of the acquisition, which we may elect to pay in cash, shares of our common stock or a combination of cash and shares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 of Acquired Intangible Assets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Amortization of acquired intangible assets included in operating expenses of $5.5 million during the three months ended March 31, 2024 consists of amortization expense attributable to acquired intangible assets that are not directly related to sales generating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Interest expense for the three months ended March 31, 2024, was $ 3.6 million compared to $3.6 million for the three months ended March 31, 2023 and was primarily comprised of interest on the convertible senior notes.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Other income, net for the three months ended March 31, 2024, was $6.8 million compared to $6.9 million for the three months ended March 31, 2023.</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March 31, 2024, we had cash, cash equivalents and investments of $561.9 million compared to $ 631.4 million as of December 31, 2023. We believe that our existing cash, cash equivalents and investments will be sufficient to fund our projected operating requirements beyond the next 12 months from the date of filing of this Quarterly Report on Form 10-Q for the quarter ended March 31, 2024.</w:t>
      </w:r>
    </w:p>
    <w:p>
      <w:pPr>
        <w:spacing w:after="0" w:line="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primary sources of liquidity, other than our holdings of cash, cash equivalents, and investments, have primarily been through the issuance of debt or equity securities, together with cash flow from operating activities. We have historically incurred, and expect to continue to incur, operating losses and generate negative cash flows from operations on an annual basis, and as a result, we may require additional capital resources to execute our strategic initiatives to grow our business.</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approved and began implementing certain efficiency and expense reduction initiatives in the second quarter of 2024. These expense reduction initiatives include workforce reductions, facilities downsizing and a refined pipeline of development activities. The cost-savings initiatives are expected to reduce certain annualized run-rate operating expenses by the end of 2024.</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Factors that may affect our capital needs include, but are not limited to, the pace of adoption of our products, which affects the sales of our products and services; our ability to efficiently manage our operations; the effectiveness of our expense reduction measures; our ability to obtain new collaboration and customer arrangements and maintain existing collaborations and arrangements; the progress of our research and development programs; initiation or expansion of research programs and collaborations; the purchase of patent licenses; the impact of product quality; litigation costs, including the costs involved in preparing, filing, prosecuting, defending and enforcing intellectual property rights; costs of developing new and enhanced products; acquisitions of complementary businesses, technologies or assets; achievement of milestones in connection with acquisitions; and other factors. There can be no assurance that funds will be available on favorable terms, or at all.</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Consideration</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connection with the acquisition of Apton, we entered into an arrangement where we are obligated to pay former holders of Apton's outstanding equity interests $25.0 million upon the achievement of $50 million in revenue associated with a high throughput sequencer using Apton's technology, provided that the milestone event occurs prior to the 5-year anniversary of the closing date of the acquisition, which we may elect to pay in cash, shares of our common stock or a combination of cash and shares of our common stock. See </w:t>
      </w:r>
      <w:r>
        <w:rPr>
          <w:rFonts w:ascii="Arial" w:cs="Arial" w:eastAsia="Arial" w:hAnsi="Arial"/>
          <w:sz w:val="17"/>
          <w:szCs w:val="17"/>
          <w:i w:val="1"/>
          <w:iCs w:val="1"/>
          <w:u w:val="single" w:color="auto"/>
          <w:color w:val="0000FF"/>
        </w:rPr>
        <w:t>Note 2. Business Acquisitions</w:t>
      </w:r>
      <w:r>
        <w:rPr>
          <w:rFonts w:ascii="Arial" w:cs="Arial" w:eastAsia="Arial" w:hAnsi="Arial"/>
          <w:sz w:val="17"/>
          <w:szCs w:val="17"/>
          <w:color w:val="auto"/>
        </w:rPr>
        <w:t xml:space="preserve"> in Part I, Item 1 of this Quarterly Report on Form 10-Q for further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6"/>
                <w:szCs w:val="16"/>
                <w:b w:val="1"/>
                <w:bCs w:val="1"/>
                <w:color w:val="auto"/>
              </w:rPr>
              <w:t>Three Months Ended March 31,</w:t>
            </w:r>
          </w:p>
        </w:tc>
      </w:tr>
      <w:tr>
        <w:trPr>
          <w:trHeight w:val="227"/>
        </w:trPr>
        <w:tc>
          <w:tcPr>
            <w:tcW w:w="8160" w:type="dxa"/>
            <w:vAlign w:val="bottom"/>
            <w:tcBorders>
              <w:bottom w:val="single" w:sz="8" w:color="CCEEFF"/>
            </w:tcBorders>
          </w:tcPr>
          <w:p>
            <w:pPr>
              <w:ind w:left="10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31"/>
        </w:trPr>
        <w:tc>
          <w:tcPr>
            <w:tcW w:w="8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used in operating activities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(75,682)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(94,691)</w:t>
            </w:r>
          </w:p>
        </w:tc>
      </w:tr>
      <w:tr>
        <w:trPr>
          <w:trHeight w:val="227"/>
        </w:trPr>
        <w:tc>
          <w:tcPr>
            <w:tcW w:w="8160" w:type="dxa"/>
            <w:vAlign w:val="bottom"/>
          </w:tcPr>
          <w:p>
            <w:pPr>
              <w:ind w:left="100"/>
              <w:spacing w:after="0"/>
              <w:rPr>
                <w:sz w:val="20"/>
                <w:szCs w:val="20"/>
                <w:color w:val="auto"/>
              </w:rPr>
            </w:pPr>
            <w:r>
              <w:rPr>
                <w:rFonts w:ascii="Arial" w:cs="Arial" w:eastAsia="Arial" w:hAnsi="Arial"/>
                <w:sz w:val="16"/>
                <w:szCs w:val="16"/>
                <w:color w:val="auto"/>
              </w:rPr>
              <w:t>Cash used in investing activities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(34,136)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(72,553)</w:t>
            </w:r>
          </w:p>
        </w:tc>
      </w:tr>
      <w:tr>
        <w:trPr>
          <w:trHeight w:val="235"/>
        </w:trPr>
        <w:tc>
          <w:tcPr>
            <w:tcW w:w="8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provided by financing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6,553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195,989</w:t>
            </w:r>
          </w:p>
        </w:tc>
      </w:tr>
      <w:tr>
        <w:trPr>
          <w:trHeight w:val="234"/>
        </w:trPr>
        <w:tc>
          <w:tcPr>
            <w:tcW w:w="8160" w:type="dxa"/>
            <w:vAlign w:val="bottom"/>
          </w:tcPr>
          <w:p>
            <w:pPr>
              <w:ind w:left="10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(103,265)</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28,745</w:t>
            </w: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primary uses of cash in operating activities include the development of future products and product enhancements, manufacturing, and support functions related to our sales, general and administrative activities.</w:t>
      </w:r>
    </w:p>
    <w:p>
      <w:pPr>
        <w:spacing w:after="0" w:line="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Cash used in operating activities for the three months ended March 31, 2024 of $75.7 million was due primarily to a $78.2 million net loss that included non-cash items such as share-based compensation of $19.5 million, amortization of intangible assets of $6.9 million, depreciation expense of $3.2 million, and amortization of right-of-use assets of $1.9 million. This was offset by the accretion of discount and amortization of premium on marketable securities, net of $4.0 million, and $ 25.3 million in net changes to operating assets and liabilities. Cash flow impact from changes in net operating assets and liabilities was primarily driven by an increase in inventory, as well as decreases in accrued expenses, other liabilities, and operating lease liabilities. These uses of cash were partially offset by decreases in accounts receivable and prepaid expenses and other assets and increases in accounts payable and deferred revenue.</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Cash used in operating activities for the three months ended March 31, 2023, of $94.7 million was due primarily to a $88.0 million net loss that included non-cash items such as share-based compensation of $18.0 million, change in estimated fair value of contingent consideration of $12.3 million, depreciation expense of $2.8 million, amortization of right-of-use assets of $ 1.5 million. This was offset by the accretion of discount and amortization of premium on marketable securities, net of $2.2 million and $ 43.1 million in net changes to operating assets and liabilities. Cash flow impact from changes in net operating assets and liabilities were primarily driven by increases in inventory, accounts receivable and prepaid and other assets, as well as decreases in accrued expenses, other liabilities and operating lease liabilities. These uses of cash were partially offset by an increase in accounts payable.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investing activities consist primarily of capital expenditures and investment purchases, sales, and maturities.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Cash used in investing activities for the three months ended March 31, 2024, was primarily due to $191.9 million in purchases of investments and $3.9 million in purchases of property and equipment partially offset by $161.7 million of maturities of investments.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Cash used in investing activities for the three months ended March 31, 2023, was due to $233.3 million in purchases of investments and $3.7 million in purchases of property and equipment offset by $164.5 million of maturities and sales of investments.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Cash provided by financing activities during the three months ended March 31, 2024 resulted primarily from $6.9 million from the issuance of common stock through our equity compensation plans.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provided by financing activities during the three months ended March 31, 2023 primarily resulted from $189.2 million in net proceeds related to the issuance of common stock from the underwritten public equity offering and $7.2 million from the issuance of common stock through our equity compensation plans.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presented our contractual obligations at December 31, 2023 in our Annual Report on Form 10-K for the year then ended. There were no material changes outside the ordinary course of business to our contractual obligations during the three months ended March 31, 2024.</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7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There have been no changes to our significant accounting policies as disclosed in the Annual Report on Form 10-K for the year ended December 31, 2023.</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Please see </w:t>
      </w:r>
      <w:r>
        <w:rPr>
          <w:rFonts w:ascii="Arial" w:cs="Arial" w:eastAsia="Arial" w:hAnsi="Arial"/>
          <w:sz w:val="17"/>
          <w:szCs w:val="17"/>
          <w:i w:val="1"/>
          <w:iCs w:val="1"/>
          <w:u w:val="single" w:color="auto"/>
          <w:color w:val="0000FF"/>
        </w:rPr>
        <w:t>Note 1. Organization and Significant Accounting Policies</w:t>
      </w:r>
      <w:r>
        <w:rPr>
          <w:rFonts w:ascii="Arial" w:cs="Arial" w:eastAsia="Arial" w:hAnsi="Arial"/>
          <w:sz w:val="17"/>
          <w:szCs w:val="17"/>
          <w:color w:val="auto"/>
        </w:rPr>
        <w:t>, subsection titled “Recent Accounting Pronouncements”, in Part I, Item 1 of this Quarterly Report on Form 10-Q for information regarding applicable recent accounting pronouncements.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2024, we did not have any off-balance sheet arrangements.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r>
        <w:rPr>
          <w:rFonts w:ascii="Arial" w:cs="Arial" w:eastAsia="Arial" w:hAnsi="Arial"/>
          <w:sz w:val="17"/>
          <w:szCs w:val="17"/>
          <w:i w:val="1"/>
          <w:iCs w:val="1"/>
          <w:u w:val="single" w:color="auto"/>
          <w:color w:val="0000FF"/>
        </w:rPr>
        <w:t>Note 6. Commitments and Contingencies</w:t>
      </w:r>
      <w:r>
        <w:rPr>
          <w:rFonts w:ascii="Arial" w:cs="Arial" w:eastAsia="Arial" w:hAnsi="Arial"/>
          <w:sz w:val="17"/>
          <w:szCs w:val="17"/>
          <w:color w:val="auto"/>
        </w:rPr>
        <w:t xml:space="preserve"> in Part I, Item 1 of this Quarterly Report on Form 10-Q, any associated expenses incurred are included within the related accrued litigation expense amounts. No additional liability associated with such indemnification agreements has been recorded as of March 31, 2024.</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600"/>
        <w:spacing w:after="0" w:line="416" w:lineRule="auto"/>
        <w:rPr>
          <w:sz w:val="20"/>
          <w:szCs w:val="20"/>
          <w:color w:val="auto"/>
        </w:rPr>
      </w:pPr>
      <w:r>
        <w:rPr>
          <w:rFonts w:ascii="Arial" w:cs="Arial" w:eastAsia="Arial" w:hAnsi="Arial"/>
          <w:sz w:val="17"/>
          <w:szCs w:val="17"/>
          <w:b w:val="1"/>
          <w:bCs w:val="1"/>
          <w:color w:val="auto"/>
        </w:rPr>
        <w:t>Item 3. Quantitative and Qualitative Disclosures About Market Risk Interest Rate and Market Risk</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The 2030 Notes were recorded at fair value as of the closing date of the Exchange Transaction, less debt issuance costs, on our Condensed Consolidated Balance Sheets. We carry our remaining 2028 Notes at the principal amount, less unamortized debt issuance costs, on our Condensed Consolidated Balance Sheets. Because the 2030 Notes and 2028 Notes have fixed annual interest rates of 1.375% and 1.50%, respectively, we do not have any economic interest rate exposure or financial statement risk associated with changes in interest rates. The fair value of the notes, however, may fluctuate when interest rates and the market price of our stock changes. See </w:t>
      </w:r>
      <w:r>
        <w:rPr>
          <w:rFonts w:ascii="Arial" w:cs="Arial" w:eastAsia="Arial" w:hAnsi="Arial"/>
          <w:sz w:val="17"/>
          <w:szCs w:val="17"/>
          <w:i w:val="1"/>
          <w:iCs w:val="1"/>
          <w:u w:val="single" w:color="auto"/>
          <w:color w:val="0000FF"/>
        </w:rPr>
        <w:t>Note 5. Convertible Senior Notes</w:t>
      </w:r>
      <w:r>
        <w:rPr>
          <w:rFonts w:ascii="Arial" w:cs="Arial" w:eastAsia="Arial" w:hAnsi="Arial"/>
          <w:sz w:val="17"/>
          <w:szCs w:val="17"/>
          <w:color w:val="auto"/>
        </w:rPr>
        <w:t xml:space="preserve"> in Part I, Item 1 of this Quarterly Report on Form 10-Q for additional information.</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months ended March 31, 2024, we invested in cash equivalents, U.S. government and agency securities, U.S. Treasury securities, and corporate debt securities which were designated as cash equivalents and available-for-sale investments. Our cash equivalents and available-for-sale securities as of March 31, 2024 was $562 million.</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exposure to market risk for changes in interest rates relates primarily to our investment portfolio comprising of marketable securities. We invest in a number of securities including U.S. government and agency securities, U.S. Treasury securities, and corporate debt securities and money market funds. We attempt to ensure the safety and preservation of our invested principal funds by limiting default risk, market risk and reinvestment risk. We mitigate default risk by investing in high grade investment securities.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at March 31, 2024 would have affected the fair value of our investment portfolio by approximately $3.1 million.</w:t>
      </w:r>
    </w:p>
    <w:p>
      <w:pPr>
        <w:spacing w:after="0" w:line="6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There have been no other material changes in market risk from the information provided in our Annual Report on Form 10-K for the fiscal year ended December 31, 2023.</w:t>
      </w:r>
    </w:p>
    <w:p>
      <w:pPr>
        <w:spacing w:after="0" w:line="19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tab/>
        <w:t>Controls and Procedures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management, with the participation of our Chief Executive Officer, our Chief Financial Officer and our Chief Accounting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Chief Financial Officer and Chief Accounting Officer to determine whether any change in our internal control over financial reporting occurred during the fiscal quarter ended March 31, 2024 that materially affected, or is reasonably likely to materially affect, our internal control over financial reporting. There were no material changes in our internal control over financial reporting during the fiscal quarter ended March 31, 2024, that have materially affected, or were reasonably likely to materially affect, our internal control over financial reporting.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73"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tab/>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District Court Proceedings</w:t>
      </w:r>
    </w:p>
    <w:p>
      <w:pPr>
        <w:spacing w:after="0" w:line="1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The complaint alleges that our Sequel™ Systems and Sequel II Systems infringe the ‘441 Patent. The complaint seeks unspecified monetary damages and an order enjoining us from infringing the ’441 Patent. On November 20, 2019, we filed our answer to the complaint, denying infringement and seeking declaratory judgments of non-infringement and invalidity of the ‘441 Patent.</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June 22, 2020, we filed a petition requesting institution of an inter-partes review ("IPR") to the Patent Trial and Appeals Board (the “Board”) at the United States Patent Office (IPR2020-01163) requesting the Board to find a set of claims in the ‘441 Patent invalid. On June 27, 2020, we filed a second petition (IPR2020-01200) requesting institution of an IPR requesting the Board to find another set of claims in the ‘441 Patent invalid. The two petitions (the “PacBio IPR Petitions”) together asserted that all of the claims relevant to the PGI complaint are invalid. On January 19, 2021, the Board ordered that both PacBio IPR Petitions be instituted on all grounds presented. On January 18, 2022, the Board issued decisions on the two IPRs. In one IPR, all challenged claims were found unpatentable, including PGI’s core device claims. In the second IPR, the Board did not find the disputed claims unpatentable. PGI and PacBio each appealed to the U.S. Court of Appeals for the Federal Circuit, which affirmed both IPR decisions on January 9, 2024.</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August 25, 2020, the court ordered a stay of the PGI District Court matter based on a joint stipulation by the parties pending a final written decision on the IPRs. Following the final written decisions on the IPRs described above, on February 2, 2022, the judge ordered that the PGI District Court matter be reopened. However, in a subsequent order dated September 15, 2022, the judge stayed the PGI District Court matter pending a final decision by the U.S. Court of Appeals for the Federal Circuit regarding the appeal described above. On February 26, 2024, we moved to transfer the case from the District of Delaware to the Northern District of California. On March 18, 2024, the parties filed a joint status report in which PGI requested the Court set a revised scheduling order and we requested grant of our motion to transfer and proposed an alternate scheduling order. We plan to vigorously defend against the remaining claims.</w:t>
      </w:r>
    </w:p>
    <w:p>
      <w:pPr>
        <w:spacing w:after="0" w:line="6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 xml:space="preserve">On December 14, 2022, Take2 Technologies, Ltd. ("Take2") and the Chinese University of Hong Kong filed a complaint in the U.S. District Court for Delaware against us alleging infringement of U.S. Patent No. 11,091,794 (the “’794 Patent”) (C.A. No. 22- cv-01595) (the "Take2 District Court matter"). The complaint alleges that our Sequel™ II systems, Sequel IIe Systems, and Revio™ Systems that operate version 11.0 or later of the SMRT™ Link software, infringe the ‘794 Patent. The complaint seeks unspecified monetary damages and an order enjoining us from infringing the ’794 Patent. We filed a motion to dismiss on February 14, 2023, which was denied on March 25, 2024. We also filed a motion to transfer the case from the District of Delaware to the Northern District of California which was granted on August 2, 2023. The case was transferred on August 16, 2023 (C.A. No. 5:23-cv-04166). Take2 filed a motion to disqualify our in-house legal department from representing PacBio in the district court action on September 20, 2023. We opposed Take2’s disqualification motion on October 4, 2023. An oral hearing on the disqualification motion was held on October 26, 2023 and the court issued orders on November 6 and December 4 of 2023 partially granting the motion. While some members of the in-house legal department were disqualified, General Counsel for PacBio was not disqualified and continues to represent PacBio in the Take2 District Court matter. We filed a petition for inter partes review at the Board (IPR2024-00028) challenging the validity of all claims of the ’794 patent on October 17, 2023. The Chinese University of Hong Kong filed a preliminary response to the petition on January 26, 2024. On April 22, 2024, we filed our answer to the complaint, denying infringement and seeking declaratory judgments of non-infringement and invalidity of the ‘794 Patent. On April 24, 2024, the Board granted institution of IPR2024-00028 on the validity of all claims of the ’794 patent. On May 2, 2024, the parties filed a joint stipulation and proposed order to stay the Take2 District Court matter pending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We intend to vigorously defend in this matter.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Proceedings in China</w:t>
      </w:r>
    </w:p>
    <w:p>
      <w:pPr>
        <w:spacing w:after="0" w:line="1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On May 12, 2020, PGI filed a complaint in the Wuhan Intermediate People’s Court in China alleging infringement of one or more claims of China patent No. CN101743321B (the “CN321 Patent”), which is related to the ‘441 Patent.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On December 1, 2021, PGI filed an appeal with the Beijing IP Court, contesting</w:t>
      </w:r>
    </w:p>
    <w:p>
      <w:pPr>
        <w:spacing w:after="0" w:line="3" w:lineRule="exact"/>
        <w:rPr>
          <w:sz w:val="20"/>
          <w:szCs w:val="20"/>
          <w:color w:val="auto"/>
        </w:rPr>
      </w:pPr>
    </w:p>
    <w:p>
      <w:pPr>
        <w:ind w:right="620"/>
        <w:spacing w:after="0" w:line="231" w:lineRule="auto"/>
        <w:rPr>
          <w:sz w:val="20"/>
          <w:szCs w:val="20"/>
          <w:color w:val="auto"/>
        </w:rPr>
      </w:pPr>
      <w:r>
        <w:rPr>
          <w:rFonts w:ascii="Arial" w:cs="Arial" w:eastAsia="Arial" w:hAnsi="Arial"/>
          <w:sz w:val="17"/>
          <w:szCs w:val="17"/>
          <w:color w:val="auto"/>
        </w:rPr>
        <w:t>the CNIPA decision, and the hearing was held on August 9, 2023. The Beijing IP Court issued a ruling maintaining the CNIPA’s invalidation decision on November 19, 2023. PGI appealed to the Supreme People’s Court on December 25, 2023. We filed a petition with the Wuhan</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Intermediate People’s court requesting dismissal of the infringement action based on the CNIPA invalidation decision, and PGI filed a petition to withdraw its complaint. The Wuhan Intermediate People’s court granted PGI’s petition and dismissed the infringement action in May 2022.</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Proceedings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1A.</w:t>
        <w:tab/>
        <w:t>Risk Factors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 This situation is changing rapidly, and additional impacts may arise that we are not aware of currently.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Risk Factors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38" w:lineRule="exact"/>
        <w:rPr>
          <w:sz w:val="20"/>
          <w:szCs w:val="20"/>
          <w:color w:val="auto"/>
        </w:rPr>
      </w:pPr>
    </w:p>
    <w:p>
      <w:pPr>
        <w:ind w:left="620" w:hanging="304"/>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successfully market, commercialize, and sell current and future products and related maintenance services;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achieve profitability for our business;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implement our expense reduction measures;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repay our debt and fund our long-term operations;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successfully leverage and integrate our acquisitions and future acquisitions;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successfully research, develop and timely manufacture our current and future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management of new product introductions and transitions, resultant costs, and ability of new products to generate promised performance;</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recent significant changes to our leadership team and resultant disruptions to our business;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retention, recruitment, and training of senior management, key personnel, scientists and engineers;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further penetrate nucleic acid sequencing applications, as well as grow product demand;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line="268" w:lineRule="auto"/>
        <w:tabs>
          <w:tab w:leader="none" w:pos="6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reliance on outsourcing to other companies for manufacturing certain components and sub-assemblies, some of which are sole-sourced;</w:t>
      </w:r>
    </w:p>
    <w:p>
      <w:pPr>
        <w:spacing w:after="0" w:line="302"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consistently manufacture our instruments and consumables to meet customers’ specifications, quantity, cost, or performance requirements;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high amount of competition we face in our industry;</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attract customers and increase sales of current and future products;</w:t>
      </w:r>
    </w:p>
    <w:p>
      <w:pPr>
        <w:spacing w:after="0" w:line="116" w:lineRule="exact"/>
        <w:rPr>
          <w:rFonts w:ascii="Arial" w:cs="Arial" w:eastAsia="Arial" w:hAnsi="Arial"/>
          <w:sz w:val="17"/>
          <w:szCs w:val="17"/>
          <w:color w:val="auto"/>
        </w:rPr>
      </w:pPr>
    </w:p>
    <w:p>
      <w:pPr>
        <w:ind w:left="620" w:hanging="304"/>
        <w:spacing w:after="0" w:line="268" w:lineRule="auto"/>
        <w:tabs>
          <w:tab w:leader="none" w:pos="6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reliance on a limited number of customers for a significant portion of our revenues, including academic, research and government institutions;</w:t>
      </w:r>
    </w:p>
    <w:p>
      <w:pPr>
        <w:spacing w:after="0" w:line="302"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complexity of our products giving rise to defects or errors;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unpredictable and lengthy sales cycles;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adverse effects resulting from political and economic tensions between the United States and other countries, including China and Russia, and other geopolitical uncertainties;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securing and maintaining patent or other intellectual property protection for our products and related improvements;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current and future legal proceedings filed against us claiming intellectual property infringement;</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potential adverse impact of health epidemics, including any resurgence of COVID-19 cases or other similar outbreaks;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governmental regulations that burden operations or narrow the market for our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evolving ethical, legal, privacy, social, and regulatory concerns regarding genetic testing;</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volatility of the price of our common stock; and</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stock price falling as a result of future offerings or sales of securities.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risk factors are not guarantees that no such conditions exist as of the date hereof and should not be interpreted as an affirmative statement that such risks or conditions have not materialized, in whole or in part.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The commercialization and sales of our current or future products may be unsuccessful or less successful than anticipated. While we plan to continue pursuing new products and expand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spacing w:after="0" w:line="5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made and expect to continue making substantial investments to develop new products and enhance our existing products through our acquisitions and research and development efforts. For example, we commenced commercial shipments of Revio, our new long-read sequencing system in the first quarter of 2023, and commenced commercial shipments of Onso, our new SBB short-read platform, in the third quarter of 2023. Our future success is substantially dependent on our ability to successfully develop and commercialize our products, including Revio and Onso, as well as acquired technologies, which are anticipated to be used in demanding scientific research that requires substantial levels of accuracy and precision. In addition, we may not be successful in transitioning our prior generation products to our Revio product, or transitioning users of other third party sequencing platforms to our portfolio of products, and could incur related obsolete inventory charges and losses on firm purchase commitments. Customers may also be slower than we anticipate in making new capital equipment acquisitions, especially in the current economic environment. Due to challenges we may experience in developing and marketing our existing products and launching new products, we may not be able to effectively:</w:t>
      </w:r>
    </w:p>
    <w:p>
      <w:pPr>
        <w:spacing w:after="0" w:line="280" w:lineRule="exact"/>
        <w:rPr>
          <w:sz w:val="20"/>
          <w:szCs w:val="20"/>
          <w:color w:val="auto"/>
        </w:rPr>
      </w:pPr>
    </w:p>
    <w:p>
      <w:pPr>
        <w:ind w:left="620" w:hanging="304"/>
        <w:spacing w:after="0" w:line="296" w:lineRule="auto"/>
        <w:tabs>
          <w:tab w:leader="none" w:pos="6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manage the timeliness of our new product introductions and the rate at which sales of our new products may cannibalize sales of our older products or manage sales and marketing of multiple sequencing platforms;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drive adoption of our current and future products, including the Sequel II/IIe, Revio and Onso systems, and products under development;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maintain our competitive position by continuing to attract and retain customers for our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provide appropriate levels of customer training and support for our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implement an effective marketing strategy to promote awareness of our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develop and implement an effective sales and distribution strategy for our current and future products;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develop, manufacture and commercialize new products or achieve an acceptable return on our manufacturing or research and development efforts and expenses;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comply with regulatory requirements applicable to our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anticipate and adapt to changes in our market;</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accommodate customer expectations and demands with respect to our products, increase product adoption by our existing customers or develop new customer relationships;</w:t>
      </w:r>
    </w:p>
    <w:p>
      <w:pPr>
        <w:spacing w:after="0" w:line="38" w:lineRule="exact"/>
        <w:rPr>
          <w:rFonts w:ascii="Arial" w:cs="Arial" w:eastAsia="Arial" w:hAnsi="Arial"/>
          <w:sz w:val="17"/>
          <w:szCs w:val="17"/>
          <w:color w:val="auto"/>
        </w:rPr>
      </w:pPr>
    </w:p>
    <w:p>
      <w:pPr>
        <w:ind w:left="620" w:hanging="304"/>
        <w:spacing w:after="0" w:line="268"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deliver our beta systems to our external beta testing sites or complete our external beta testing program on our currently expected timelines;</w:t>
      </w:r>
    </w:p>
    <w:p>
      <w:pPr>
        <w:spacing w:after="0" w:line="302"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overcome unexpected challenges discovered during beta testing;</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complete the scientific and technical validation of new products on our currently expected timeline or at all;</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deliver our future products in a timely manner to our customers;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grow our market share by marketing and selling our products for new and additional applications;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manage the significant burdens that expanding our existing or future products into current and new markets may impose on marketing, compliance, and other administrative and managerial resources;</w:t>
      </w:r>
    </w:p>
    <w:p>
      <w:pPr>
        <w:spacing w:after="0" w:line="38"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maintain and develop strategic relationships with vendors, manufacturers, and other industry partners to acquire necessary materials for the production of, and to develop, manufacture and commercialize, our existing or future products;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adapt or scale our manufacturing activities to meet performance specifications and potential demand at a reasonable cost;</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avoid infringement and misappropriation of third-party intellectual property;</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 and maintain any necessary licenses to third-party intellectual property on commercially reasonable terms;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 valid and enforceable patents that give us a competitive advantage or enforce existing patents;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protect our proprietary technology; and</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attract, retain, and motivate qualified personnel.</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evaluate goodwill for impairment annually during the second quarter, and whenever events or changes in circumstances indicate that it is more likely than not that the fair value is less than the carrying value. Events that would indicate impairment and trigger an interim impairment test include, but are not limited to, unexpected adverse business conditions, economic factors, unanticipated technological changes or competitive activities, loss of key personnel and acts by governments or courts. The occurrence of any of these events, may require us to record future goodwill impairment charges.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have incurred losses to date, and we expect to continue to incur significant losses as we develop our business and may never achieve profitability.</w:t>
      </w:r>
    </w:p>
    <w:p>
      <w:pPr>
        <w:spacing w:after="0" w:line="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 Although we announced expense reduction plans during the second quarter of 2024, we do not expect to be profitable in 2024, and there can be no assurance that these expense reduction measures will be successful in helping us achieve profitability.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Our net losses since inception and our expectation of incurring substantial losses and negative cash flow for the foreseeable future could:</w:t>
      </w:r>
    </w:p>
    <w:p>
      <w:pPr>
        <w:spacing w:after="0" w:line="117" w:lineRule="exact"/>
        <w:rPr>
          <w:sz w:val="20"/>
          <w:szCs w:val="20"/>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make it more difficult for us to satisfy our obligations;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 our ability to fund future working capital, capital expenditures, research and development and other business opportunities;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 the volatility of the price of our common stock;</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 our flexibility to react to changes in our business and the industry in which we operate;</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place us at a disadvantage to other companies that offer nucleic acid sequencing equipment or consumables; and</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 our ability to borrow additional funds.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6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Any or all of the foregoing may have a material adverse effect on our business, operations, financial condition, and prospects. An impairment in value of our tangible or intangible assets could also be recorded as a result of weaker economic conditions.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Our expense reduction measures could be disruptive to our operations and adversely affect our results of operations and financial condition, and we may not realize some or all of the anticipated benefits of these initiatives, whether in the time frame anticipated or at all.</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the second quarter of 2024, we announced plans to reduce certain of our annualized run-rate operating expenses by the end of the year, with the intent of better aligning our organizational structure and resources with our strategic initiatives. Our expense reduction measures comprise, among other things, workforce reductions, facilities downsizing and a refined pipeline of development activities. The implementation of these expense reduction measures,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expense reduction measures and achieve the anticipated benefits within the expected time frame is subject to estimates and assumptions and may vary materially from our expectations, including as a result of factors that are beyond our control. Furthermore, our efforts to stabilize our business may not be successful.</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are not cash flow positive and may not have sufficient cash to make required payments under the terms of our debt or fund our long-term planned operations.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significant debt, and we may incur additional debt, in the future. As of March 31, 2024, we had outstanding approximately $ 459.0 million aggregate principal amount of 1.50% convertible senior notes due 2028 (the “2028 Notes”) and $441.0 million aggregate principal amount of our 1.375% convertible senior notes due 2030 (the “2030 Notes” and, together with the 2028 Notes, the “Notes”). We may not have sufficient cash to make required payments under the terms of this debt, and should this occur, debt holders have rights senior to common stockholders to make claims on our assets.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We may be required to seek equity financing at a time when the market price for our common stock is low, which will further contribute to dilution for existing holders.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believe that our growth will depend, in part, on our ability to fund our commercialization efforts and our efforts to develop new products, including any improvements to our existing products.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and there can be no assurance that any of these actions would be successful.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1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our business strategy, we have acquired and expect to continue to pursue acquisitions of complementary businesses, technologies, or assets. We may also pursue technology license arrangements, strategic alliances or investments that complement our business as we have previously with our acquisitions of Circulomics, Omniome and Apton in July 2021, September 2021 and August 2023, respectively.</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Acquisitions and strategic transactions involve numerous risks, any of which could harm our business and negatively affect our financial condition and results of operations, including:</w:t>
      </w:r>
    </w:p>
    <w:p>
      <w:pPr>
        <w:spacing w:after="0" w:line="38" w:lineRule="exact"/>
        <w:rPr>
          <w:sz w:val="20"/>
          <w:szCs w:val="20"/>
          <w:color w:val="auto"/>
        </w:rPr>
      </w:pPr>
    </w:p>
    <w:p>
      <w:pPr>
        <w:ind w:left="620" w:hanging="304"/>
        <w:spacing w:after="0" w:line="296" w:lineRule="auto"/>
        <w:tabs>
          <w:tab w:leader="none" w:pos="6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intense competition for suitable acquisition targets, which could increase prices and adversely affect our ability to consummate deals on favorable or acceptable terms;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or material delay in closing a transaction;</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transaction-related lawsuits or claims;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integrating the technologies, operations, existing contracts, and personnel of an acquired company;</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retaining key employees or business partners of an acquired company;</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retaining suppliers, partners, or customers of an acquired company;</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challenges with integrating the brand identity of an acquired company with our own;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diversion of financial and management resources from existing operations or alternative acquisition opportunities;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to realize the anticipated benefits or synergies of a transaction;</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in developing technology post-acquisition;</w:t>
      </w:r>
    </w:p>
    <w:p>
      <w:pPr>
        <w:spacing w:after="0" w:line="116" w:lineRule="exact"/>
        <w:rPr>
          <w:rFonts w:ascii="Arial" w:cs="Arial" w:eastAsia="Arial" w:hAnsi="Arial"/>
          <w:sz w:val="17"/>
          <w:szCs w:val="17"/>
          <w:color w:val="auto"/>
        </w:rPr>
      </w:pPr>
    </w:p>
    <w:p>
      <w:pPr>
        <w:jc w:val="both"/>
        <w:ind w:left="620" w:hanging="304"/>
        <w:spacing w:after="0" w:line="276" w:lineRule="auto"/>
        <w:tabs>
          <w:tab w:leader="none" w:pos="6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spacing w:after="0" w:line="54"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risks that regulatory bodies may enact new laws or promulgate new regulations that are adverse to an acquired company or business;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risks that regulatory bodies do not approve our acquisitions or business combinations or delay such approvals;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theft of our trade secrets or confidential information that we share with potential acquisition candidates or other potential strategic partners;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 that an acquired company or investment in new services cannibalizes a portion of our existing business; and</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adverse market reaction to an acquisition or other strategic transaction.</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 including potential impairments of goodwill and intangible assets.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If we are unable to successfully develop and timely manufacture our current and future products, including with respect to SMRT Cells, Sequel II/IIe Systems, Revio, Onso, and other SMRT Cell, HiFi, and SBB products under development, and related products, our business may be adversely affected.</w:t>
      </w:r>
    </w:p>
    <w:p>
      <w:pPr>
        <w:spacing w:after="0" w:line="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Considering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Sequel II/IIe, Revio and Onso Systems, and the products under development, including acquired technologies,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SMRT Cells, reagents, Sequel II/IIe Systems, Revio, Onso, and other SMRT Cell, HiFi, and SBB products under development, including acquired technologies,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and Revio Systems, and may need to develop in the future, other customized SMRT Cells and consumables for our future products. Our production of the SMRT Cells for the Sequel and Sequel II/IIe Systems has been and may in the future, including with respect to the Revio system, be below desired levels and yields, and we have experienced and may experience in the future manufacturing delays, product or quality defects, SMRT Cell variability, and other issues. For example, the COVID–19 pandemic has impacted and, any resurgence of COVID-19, or the outbreak of other similar health epidemics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 have a material adverse effect on our ability to sell our products or result in other material adverse effects on our business, operations, financial condition, operations and prospects.</w:t>
      </w:r>
    </w:p>
    <w:p>
      <w:pPr>
        <w:spacing w:after="0" w:line="28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If the continued rollout of our current and future products, including with respect to the SMRT Cell, the Sequel II/IIe, Revio, and Onso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Sequel II/IIe Systems, Revio, and Onso, could materially and adversely affect our business, operations, financial condition, and prospects.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4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in connection with the SMRT Cell, the Sequel II/IIe Systems, Revio and Onso, in addition to other products currently under development, including acquired technologies. Our research and development efforts are complex and require us to incur substantial expenses and we may not be able to develop, manufacture and commercialize new products or obtain regulatory approval if necessary. We may divert significant resources to research and development initiatives that do not result in commercialized products, and even if these efforts do result in commercialized products, there can be no assurance that such products will compete successfully in the market or achieve an acceptable return, if any, on our research and development efforts and expenses. Moreover, our joint research and development efforts with partners require significant management attention and operational resources. If we are unable to successfully manage such joint research and development efforts, our future results may be adversely impacted. Furthermore, we will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spacing w:after="0" w:line="13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We must successfully manage new product introductions and transitions, including with respect to the Revio and Onso Systems and each of their related consumables, and the development of acquired technologies, and we may incur significant costs during these transitions and development, and these efforts may not result in the benefits we anticipate.</w:t>
      </w:r>
    </w:p>
    <w:p>
      <w:pPr>
        <w:spacing w:after="0" w:line="4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successfully execute on the commercialization of the Revio HiFi long-read sequencing system, and the Onso SBB short-read sequencing system, and each of their related consumables, and any future products that may be developed for research, medical and clinical uses, including acquired technologies, it could have a material adverse effect on our business, financial condition and results of operations. In addition, the introduction of future products, including with respect to future long-read and short-read products, and related consumables,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including the recent commercialization of our Revio and Onso systems,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Revio and Onso Systems and each of their related consumables, and any future long-read and short-read products, our business, operations, financial condition, and prospects may be materially and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adversely affected by health epidemics, including any resurgence of COVID-19 cases or other similar outbreaks.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has been and could be further adversely impacted by the effects of COVID-19 or other epidemics or pandemics. Although it is not possible at this time to estimate the impact that health epidemics, including the results of the COVID-19 pandemic and any future resurgence of COVID-19 cases or other similar outbreaks, could have on our business, any pandemic or public health outbreaks or related disruptions and the measures taken by the governments of countries affected could disrupt the supply chain and the manufacture of our products.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manufacturing partners and suppliers have been and could continue to be disrupted by conditions related to COVID-19 or other epidemics or pandemics,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There is significant uncertainty relating to the long-term effect of COVID-19 or other epidemics or pandemics on our business. Infections may resurge or become more widespread and any ensuing disruptions to business activities or supply chains could have a negative impact on our business, financial condition, and operating results. Because our semiconductor manufacturers are located in a region where immunization rates in certain communities may be low, new and emerging variants of COVID-19 or other epidemics or pandemics could impact workforce availability at those locations and disrupt supply. For example, the Chinese government may re-impose lockdowns or similar measures to combat the spread of health epidemics such as COVID-19 or other similar outbreaks and such measures have had, and may continue to have in the future, a negative impact on manufacturing and/or supply chains, as well as customer demand for our products and demand through certain distributors.</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For example, the COVID-19 pandemic caused us to modify our business practices, including limiting certain of our commercial operations and limiting certain employees from working in the office. We offered, and if there is a resurgence of COVID-19 or other similar outbreaks, we may again offer a significant percentage of our employees flexibility in the amount of time they work in an office, which could adversely impact the productivity of certain employees and harm our business, including our future operating results. This may also present risks for our strategy and may present operational, cybersecurity, and workplace culture challenges that may adversely affect our business.</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Even after the COVID-19 pandemic has further subsided, we may continue to experience an adverse impact to our business as a result of its global economic impact, including recessionary effects and inflationary pressures. Specifically, difficult macroeconomic conditions, such as decreases in discretionary capital expenditure spending, changes to the government funding environment, a reduction in or the lapsing of COVID-19-related governmental stimulus measures, increased and prolonged unemployment or a decline in consumer confidence as a result of the COVID-19 pandemic or other epidemics or pandemics, as well as limited or significantly reduced points of access of our products, could have a continuing adverse effect on the demand for some of our products and, consequently, related maintenance and support services. The degree of impact of COVID-19 or other epidemics or pandemics on our business will depend on several factors, such as the duration and the extent of the pandemic, the risk of waning immunity among persons already vaccinated and an increase in fatigue or skepticism with respect to initial or booster vaccinations, as well as actions taken by governments, businesses, and consumers in response to the pandemic, all of which continue to evolve and remain uncertain at this time.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changes to our leadership team and the resulting management transitions might harm our future operating results.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experienced significant changes to our leadership team since 2020, including the appointment of our current President and Chief Executive Officer, Chief Financial Officer, Chief Operating Officer, Chief Commercial Officer, Vice President and Chief Accounting Officer, and Chair of the Board.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may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5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is characterized by high demand and intense competition for talent, and the turnover rate has been and may continue to be high. Our employees can leave our company with little to no prior notice and would be free to work for a competitor. We compete for qualified management and scientific personnel with other life science companies, academic institutions and research institutions, particularly those focusing on genomics. We also compete for qualified sales personnel to support the commercialization of our existing and new products. Workforce reductions, such as the workforce reduction we began implementing during the second quarter of 2024, and other expense reduction efforts may be negatively received by potential or current employees, and accordingly result in attrition or difficulty in recruiting desirable candidates. Additionally, we may face challenges in retaining and recruiting key personnel due to sustained declines in our stock price that could reduce the retentive value of stock options, restricted stock units and other equity awards we issue as compensation. We may not be able to provide adequate cash or other incentives to adequately counterbalance any negative perceptions about the value of our equity awards. Moreover, the value of any equity awards that we do grant to our personnel may be significantly affected by movements in our stock price that are beyond our control.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w:t>
      </w:r>
    </w:p>
    <w:p>
      <w:pPr>
        <w:spacing w:after="0" w:line="2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do not have “key person” life insurance policies covering any member of our management team or other key personnel.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4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the SMRT Cell, Sequel II/IIe, Revio and Onso Systems, and related products may not grow sufficiently to cover our costs.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There can be no assurance that we will be successful in adding new products or securing additional customers for our current and future products, including with respect to the SMRT Cell, Sequel II/IIe Systems, Revio and Onso. If we are unable to successfully develop acquired technologies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or we may recognize an impairment loss, and our business may not succeed.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4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source these product components from sole-source third-party manufacturing and supply collaborators for any reason, including in connection with acts of terrorism, hostilities, military conflict and acts of war, including between China and Taiwan, or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operations of our third-party manufacturing partners and suppliers have had and may in the future be disrupted by conditions unrelated to our business or operations or that are beyond our control, including but not limited to international trade restrictions, inflation, supply chain disruptions, and conditions related to COVID-19 or other epidemics or pandemics.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the global shortage of semiconductors, which has been reported since early 2021, has caused challenges for us in our supply chain and resulted in some cost increases that have and may continue to adversely impact margins. During these periods of shortages or delays, the price of components may increase, or the components may not be available at all. Our suppliers have raised their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For example, the Chinese government may re-impose lockdowns or similar measures to combat the spread of COVID-19 or other similar outbreaks and these measures have had, and may continue to have in the future, a negative impact on manufacturing and/or supply chains, in addition to customer demand for our products and demand through certain distributors. If as a result of global economic or political instability, such as the political uncertainty in the Middle East associated with the Israel and Hamas conflict, an escalation of the war in Ukraine, potential uncertainty related to Taiwan and its relationship with China, other disease outbreaks, or supply issues, we or our contractors could experience shortages, business disruptions or delays for materials sourced or manufactured in the affected countries, and their ability to supply us with instruments or product components may be affected. From time to time, certain components of our systems and reagents may reach the end of their life cycles or become obsoleted by our suppliers, and we would have to procure alternative sources for these end-of-life products.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from COVID-19 or other epidemics or pandemics infections are reduced, supply issues or business disruptions are resolved and/or other sources can be developed.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because our semiconductor suppliers are in regions that may have communities with low vaccination rates, any variants of COVID-19 that evolve in the future or other outbreaks could lead to increased infections among workers that could further disrupt the supply chain. Our current manufacturing process is characterized by long lead times between the placement of orders for and delivery of our products. If we do not accurately anticipate our needs or if we receive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may be unable to consistently manufacture our instruments and consumables, including SMRT Cells and reagents, to the necessary specifications or in quantities necessary to meet demand at an acceptable cost or at an acceptable performance level.</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flow cells and of reagents for both our-long and short-read technologies, involve a long and complex manufacturing process and has been and may in the future be below desired yields and resulting output levels. We have experienced and may experience in the future manufacturing delays, product defects, variability in the performance of SMRT Cells, flow cells and other products, inadequate reserves for inventory, or other issues.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flow cells, or sub-performing reagent lots may have a material adverse effect 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our suppliers are unable to meet our increased demand at a time when the supply chain is under duress due to potential dislocations and disruptions in product and employee availability (whether due to health epidemics or pandemics or otherwise).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Rapidly changing technology in life sciences and research diagnostics could make our products obsolete unless we continue to develop, manufacture and commercialize new and improved products and pursue new opportunities.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industry is characterized by rapid and significant technological changes, frequent new product introductions and enhancements and evolving industry standards. These new and evolving technologies may be superior to, impair, or render obsolete the products we currently offer or the technologies currently underlying our products.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Sequel II/IIe Systems, Revio and Onso, could diminish future demand for our products and may materially and adversely harm our future operating results.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The size of the markets for our products, including our Revio and Onso instruments, may be smaller than estimated, and new market opportunities may not develop as quickly as we expect, or at all, limiting our ability to successfully sell our products.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market for sequencing systems and consumables products is evolving, making it difficult to accurately predict the size of the markets for our current and future products, including our Revio and Onso instruments. 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 necessary to allow them to purchase our products. In addition, sales of new products may take time to develop and mature and we cannot be certain that these market opportunities will develop as we expect.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the market acceptance and growth of long-read sequencing technologies, like our Revio system, depends on a variety of factors, including the availability and cost-effectiveness of related tools for high quality sample collection and preparation and advanced bioinformatic tools to process results; as well as the perceived advantages and disadvantages of long-read sequencing compared to short-read or other sequencing technologies: consequently, if potential customers conclude the costs of adopting long-read sequencing technologies outweigh the benefits, the market for our Revio systems may be negatively impaired. There can be no assurance that our current or future products will gain traction in the market. If the markets for our current and future products are smaller than estimated or do not develop as we expect, our growth may be limited, and it could materially and adversely affect our business, operations, financial condition and prospects.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operate in a highly competitive industry and if we are not able to compete effectively, our business and operating results will likely be harmed.</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There are a significant number of companies offering nucleic acid sequencing products and/or services, including Illumina, BGI Genomics (also known as MGI or Complete Genomics), Thermo, ONT Ltd., Roche, Bionano, and Qiagen. Other companies recently entering the market include Ultima, Element and Singular.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successfully increase sales of our current products or market and sell our future products.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ability to achieve profitability depends, in part, on our ability to attract customers for our current and future products including Revio and Onso, and we may be unable to effectively market or sell our products or find appropriate partners to do so. To perform sales, marketing, distribution, and customer support functions successfully, we face a number of risks, including:</w:t>
      </w:r>
    </w:p>
    <w:p>
      <w:pPr>
        <w:spacing w:after="0" w:line="54" w:lineRule="exact"/>
        <w:rPr>
          <w:sz w:val="20"/>
          <w:szCs w:val="20"/>
          <w:color w:val="auto"/>
        </w:rPr>
      </w:pPr>
    </w:p>
    <w:p>
      <w:pPr>
        <w:ind w:left="620" w:hanging="304"/>
        <w:spacing w:after="0" w:line="296"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attract, retain and manage qualified sales, marketing, and service personnel necessary to expand market acceptance for our technologies;</w:t>
      </w:r>
    </w:p>
    <w:p>
      <w:pPr>
        <w:spacing w:after="0" w:line="38" w:lineRule="exact"/>
        <w:rPr>
          <w:rFonts w:ascii="Arial" w:cs="Arial" w:eastAsia="Arial" w:hAnsi="Arial"/>
          <w:sz w:val="17"/>
          <w:szCs w:val="17"/>
          <w:color w:val="auto"/>
        </w:rPr>
      </w:pPr>
    </w:p>
    <w:p>
      <w:pPr>
        <w:ind w:left="620" w:hanging="304"/>
        <w:spacing w:after="0" w:line="268"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performance and commercial availability expectations of our existing and potential customers with respect to new and existing products;</w:t>
      </w:r>
    </w:p>
    <w:p>
      <w:pPr>
        <w:spacing w:after="0" w:line="302"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availability of potential sales and distribution partners to sell our technologies, and our ability to attract and retain such sales and distribution partners;</w:t>
      </w:r>
    </w:p>
    <w:p>
      <w:pPr>
        <w:spacing w:after="0" w:line="38"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time and cost of maintaining and growing a specialized sales, marketing and service force for a particular application, which may be difficult to justify in light of the revenue generated; and</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sales, marketing and service force may be unable to execute successful commercial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receive a significant portion of our revenue from a limited number of customers. For example, for the years ended December 31, 2022 and 2021, one of our customers, who is our primary distributor in China, accounted for approximately 12% and 13% of our total revenue, respectively. For the year ended December 31, 2023, no single customer accounted for 10% or greater of our total revenue.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spacing w:after="0" w:line="2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Products using our SMRT sequencing and SBB technology are highly complex and may develop or contain undetected defects or errors. Our customers have previously experienced reliability issues with our existing products, including the Sequel System and the Sequel II/IIe Systems. In addition, it is possible our customers could experience reliability issues with current or future products, including the Sequel II/IIe, Revio and Onso Systems. Despite internal and external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Revio and Onso, or enhancements to our existing products, including the SMRT Cell and Sequel II/IIe Systems,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potential impacts from health epidemics or pandemics.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convert our orders in backlog into revenue.</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Many events can cause an order to be delayed or not completed at all, some of which may be out of our control, including the potential impacts from health epidemics or pandemics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sales cycles are unpredictable and lengthy, which makes it difficult to forecast revenue and may increase the magnitude of quarterly or annual fluctuations in our operating results.</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 and those sales cycles may result in lower units sold per cycle, as we continue to introduce our Revio and Onso instruments and their associated consumables to the market, as our customers may have additional administrative, technical or other requirements associated with transitioning to new products and technologies. In anticipation of product orders, we may incur substantial costs before the sales cycle is complete and before we receive any customer payments. As a result, if a sale is not completed 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 on our results and stock price, see “—</w:t>
      </w:r>
      <w:r>
        <w:rPr>
          <w:rFonts w:ascii="Arial" w:cs="Arial" w:eastAsia="Arial" w:hAnsi="Arial"/>
          <w:sz w:val="17"/>
          <w:szCs w:val="17"/>
          <w:i w:val="1"/>
          <w:iCs w:val="1"/>
          <w:u w:val="single" w:color="auto"/>
          <w:color w:val="0000FF"/>
        </w:rPr>
        <w:t>Our operating results fluctuate from quarter to quarter and year over year, which makes our future results difficult to predict and could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negatively impact the market price of our common stock</w:t>
      </w:r>
      <w:r>
        <w:rPr>
          <w:rFonts w:ascii="Arial" w:cs="Arial" w:eastAsia="Arial" w:hAnsi="Arial"/>
          <w:sz w:val="17"/>
          <w:szCs w:val="17"/>
          <w:color w:val="000000"/>
        </w:rPr>
        <w:t>,” below.</w:t>
      </w:r>
    </w:p>
    <w:p>
      <w:pPr>
        <w:spacing w:after="0" w:line="135"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Because some of our customers and suppliers are based in China, our business, financial condition and results of operations could be adversely affected by the political and economic tensions between the United States and China.</w:t>
      </w:r>
    </w:p>
    <w:p>
      <w:pPr>
        <w:spacing w:after="0" w:line="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subject to risks associated with political conflicts between the U.S. and China. A significant portion of our revenue is generated from China. For example, for the years ended December 31, 2022 and 2021, one of our customers, who is our primary distributor in China, accounted for approximately 12% and 13% of our total revenue, respectively. For the year ended December 31, 2023, no single customer accounted for 10% or greater of our total revenue. In addition, certain components, some of which are critical components, of our products are manufactured in China. These components are either sourced directly from companies in China or indirectly from third parties that source from companies in China.</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retaliate against U.S. trade restrictions in ways that could impact our business.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w:t>
      </w:r>
      <w:r>
        <w:rPr>
          <w:rFonts w:ascii="Arial" w:cs="Arial" w:eastAsia="Arial" w:hAnsi="Arial"/>
          <w:sz w:val="17"/>
          <w:szCs w:val="17"/>
          <w:i w:val="1"/>
          <w:iCs w:val="1"/>
          <w:u w:val="single" w:color="auto"/>
          <w:color w:val="0000FF"/>
        </w:rPr>
        <w:t>Enhanced trade tariffs, import restrictions, export restrictions,</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Chinese regulations or other trade barriers may materially harm our business.</w:t>
      </w:r>
      <w:r>
        <w:rPr>
          <w:rFonts w:ascii="Arial" w:cs="Arial" w:eastAsia="Arial" w:hAnsi="Arial"/>
          <w:sz w:val="17"/>
          <w:szCs w:val="17"/>
          <w:color w:val="000000"/>
        </w:rPr>
        <w: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Other risks could include:</w:t>
      </w:r>
    </w:p>
    <w:p>
      <w:pPr>
        <w:spacing w:after="0" w:line="117" w:lineRule="exact"/>
        <w:rPr>
          <w:sz w:val="20"/>
          <w:szCs w:val="20"/>
          <w:color w:val="auto"/>
        </w:rPr>
      </w:pPr>
    </w:p>
    <w:p>
      <w:pPr>
        <w:jc w:val="both"/>
        <w:ind w:left="620" w:hanging="304"/>
        <w:spacing w:after="0" w:line="276" w:lineRule="auto"/>
        <w:tabs>
          <w:tab w:leader="none" w:pos="6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interruptions to operations in China as a result of potential disease outbreaks, including any further COVID-19 related outbreaks, and natural catastrophic events, which have in the past and can result in the future in business closures, transportation restrictions, import and export complications and cause shortages in the supply of raw materials or disruptions in manufacturing;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line="296" w:lineRule="auto"/>
        <w:tabs>
          <w:tab w:leader="none" w:pos="6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product supply disruptions and increased costs as a result of heightened exposure to changes in the policies of the Chinese government, political unrest or unstable economic conditions in China; and</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nationalization or other expropriation of private enterprises or intellectual property by the Chinese government.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Difficulties in this relationship may require us to take actions adverse to our business to comply with governmental restrictions on business and trade with China.</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face significant risks associated with doing business with Taiwanese suppliers and manufacturers due to the tense relationship between Taiwan and mainland China.</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Substantially all of our consumable chips are partly manufactured by a company based in Taiwan. Our supply of consumables chips and other critical components may be materially and adversely affected by diplomatic, geopolitical, military and other developments affecting the relationship between China and Taiwan. Recent military exercises in the Taiwan Strait have contributed to geopolitical uncertainty regarding the future of the relationship between China and Taiwan. Current or future diplomatic, geopolitical, military or other tensions between China and Taiwan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spacing w:after="0" w:line="12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operating results fluctuate from quarter to quarter and year over year, which makes our future results difficult to predict and could negatively impact the market price of our common stock.</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operate on a December 31st year-end and believe that there are significant seasonal factors which may cause sales of our products, and particularly our sequencing instruments, to vary on a quarterly or yearly basis, contribute to lengthy sales cycles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often coincide with government fiscal year ends. For example, the U.S. government’s fiscal year-end occurs in our third quarter and may result in increased sales of our products during this quarter if government-funded customers have unused funds that may be forfeited, or future budgets that may be reduced if funds remain unspent at fiscal year-end. Furthermore, Lunar New Year celebrations, which occur during our first quarter, and may last for a week or longer, resulting in closure of many of our customers’ offices in China and across the Asia-Pacific region have caused, and may in the future cause, decreased sales of our consumables during our first quarter. These factors have contributed, and in the future may contribute, to substantial fluctuations in our quarterly operating results.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Our operating results during any given period can also be impacted by numerous other factors, including the following:</w:t>
      </w:r>
    </w:p>
    <w:p>
      <w:pPr>
        <w:spacing w:after="0" w:line="117" w:lineRule="exact"/>
        <w:rPr>
          <w:sz w:val="20"/>
          <w:szCs w:val="20"/>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market acceptance for our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attract new customers;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length of our sales cycles, as discussed above;</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achieve economies of scale and other manufacturing efficiencies at the rate we anticipate;</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publications of studies by us, our competitors or third parties;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and success of new product introductions by us or our competitors or other changes in the competitive dynamics of our industry, such as consolidation;</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amount and timing of our costs and expenses;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of catastrophic events, including health epidemics or pandemics and military or other armed conflicts;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regulatory environment in which we operate;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expenses associated with warranty obligations or unforeseen product quality issues;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hiring, training, and retention of key employees, including our ability to grow our sales organization;</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litigation or other claims against us for intellectual property infringement or otherwise;</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obtain additional financing as necessary; and</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or trends in new technologies and industry standards.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and as a result our existing NOLs are currently subject to limitation. Future changes in our stock ownership could result in additional ownership changes, including potentially material changes, under Section 382. Consequently, we may not be able to utilize some or all of our NOLs even if we attain profitability.</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12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r>
        <w:rPr>
          <w:rFonts w:ascii="Arial" w:cs="Arial" w:eastAsia="Arial" w:hAnsi="Arial"/>
          <w:sz w:val="17"/>
          <w:szCs w:val="17"/>
          <w:b w:val="1"/>
          <w:bCs w:val="1"/>
          <w:color w:val="auto"/>
        </w:rPr>
        <w:t>Risks Related to Our Intellectual Property</w:t>
      </w:r>
    </w:p>
    <w:p>
      <w:pPr>
        <w:spacing w:after="0" w:line="5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2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259" w:lineRule="exact"/>
        <w:rPr>
          <w:sz w:val="20"/>
          <w:szCs w:val="20"/>
          <w:color w:val="auto"/>
        </w:rPr>
      </w:pPr>
    </w:p>
    <w:p>
      <w:pPr>
        <w:ind w:left="620" w:hanging="304"/>
        <w:spacing w:after="0" w:line="296" w:lineRule="auto"/>
        <w:tabs>
          <w:tab w:leader="none" w:pos="6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make the inventions covered by each of our pending patent applications or issued patents;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file patent applications for these inventions;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it is possible that neither our pending patent applications nor the pending patent applications of our licensors will result in issued patents;</w:t>
      </w:r>
    </w:p>
    <w:p>
      <w:pPr>
        <w:spacing w:after="0" w:line="116" w:lineRule="exact"/>
        <w:rPr>
          <w:rFonts w:ascii="Arial" w:cs="Arial" w:eastAsia="Arial" w:hAnsi="Arial"/>
          <w:sz w:val="17"/>
          <w:szCs w:val="17"/>
          <w:color w:val="auto"/>
        </w:rPr>
      </w:pPr>
    </w:p>
    <w:p>
      <w:pPr>
        <w:jc w:val="both"/>
        <w:ind w:left="620" w:hanging="304"/>
        <w:spacing w:after="0" w:line="288" w:lineRule="auto"/>
        <w:tabs>
          <w:tab w:leader="none" w:pos="6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259" w:lineRule="exact"/>
        <w:rPr>
          <w:rFonts w:ascii="Arial" w:cs="Arial" w:eastAsia="Arial" w:hAnsi="Arial"/>
          <w:sz w:val="17"/>
          <w:szCs w:val="17"/>
          <w:color w:val="auto"/>
        </w:rPr>
      </w:pPr>
    </w:p>
    <w:p>
      <w:pPr>
        <w:jc w:val="both"/>
        <w:ind w:left="620" w:hanging="304"/>
        <w:spacing w:after="0" w:line="276" w:lineRule="auto"/>
        <w:tabs>
          <w:tab w:leader="none" w:pos="6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enforcement of patents and proprietary rights in other countries may be problematic or unpredictable;</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or our partners may not adequately protect our trade secrets;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 or</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patents of others may limit our freedom to operate and prevent us from commercializing our technology in accordance with our plans.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Variability in intellectual property laws may adversely affect our intellectual property position.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32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33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intellectual property may be subject to challenges in the United States or foreign jurisdictions that could adversely affect our intellectual property position.</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Our pending, issued and granted U.S. and foreign patents and patent applications have been, are and may in the future be, subject to challenges by ONT Ltd., ONT Inc. and Metrichor, Ltd. (“Metrichor” and, together with ONT Ltd. and ONT Inc., “ONT”) in addition to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of certain patents that we have asserted against ONT Inc. and ONT Ltd. in litigation proceedings for patent infringement. While none of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technology is subject to “march-in” rights by the U.S. government.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involved in legal proceedings to enforce our intellectual property rights.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we are involved in legal proceedings for alleged patent infringement and related matters in the United States with Personal Genomics of Taiwan, Inc. (“PGI”), Take2 Technologies, Ltd., and the Chinese University of Hong Kong. In addition,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have not yet registered some of our trademarks in all of our potential markets, and failure to secure those registrations could adversely affect our business.</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use of “open source” software could adversely affect our ability to sell our products and subject us to possible litigation.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Regulation</w:t>
      </w:r>
    </w:p>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are, and may become, subject to governmental regulations that may impose burdens on our operations, and the markets for our products may be narrowed.</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subject, both directly and indirectly, to the adverse impact of government regulation of our operations and markets. For example, export of our instruments may be subject to strict regulatory control in a number of jurisdictions, and we could experience disruption in our supply chain as a result of certain geopolitical events and conflicts and any related political or economic responses and counter-responses or otherwise by various global actors. Following Russia’s invasion of Ukraine in February 2022, the United States and other countries imposed certain economic sanctions and severe export control restrictions against Russia and Belarus as well as certain Russian nationals and individuals and entities with ties to Russia, Belarus, and this conflict. These sanctions and restrictions have continued to increase as the conflict has further escalated and now cover the export of our products to Russia, and the United States and other countries could impose even wider sanctions and export restrictions and take other actions in the future that could further limit our ability to provide products in certain locations. Additionally, restrictions on the ability to send certain products and technology related to semiconductors, semiconductor manufacturing, and supercomputing to China without an export license may impact our ability to provide products to customers or distributors in China.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5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U.S. Food and Drug Administration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spacing w:after="0" w:line="28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FDA has historically exercised enforcement discretion in not enforcing the medical device regulations against laboratories developing and offering LDTs. In 2017, the FDA announced that it would not issue final guidance on the oversight of LDTs, and manufacturers of products used for LDTs, but would seek further public discussion on an appropriate oversight approach, and give Congress an opportunity to develop a legislative solution.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Additionally,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These circumstances may include written or verbal sales and marketing claims or links to articles regarding a product’s performance in clinical applications and a manufacturer’s provision of technical support for clinical applications.</w:t>
      </w:r>
    </w:p>
    <w:p>
      <w:pPr>
        <w:spacing w:after="0" w:line="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Department of Health and Human Services ("HHS") announced rescission of guidance and other informal issuances of FDA regarding pre-market review of LDT absent notice-and-comment rulemaking, stating that, absent notice-and-comment rulemaking LDTs are not required to obtain FDA pre-market authorization. In November 2021, HHS under the Biden administration issued a statement that withdrew the August 2020 policy announcement stating that HHS does not have a policy on LDTs that is separate from FDA’s longstanding approach.</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Legislative and administrative proposals to amend the FDA's oversight of LDTs have been introduced in recent years, including the Verifying Accurate Leading-edge IVCT Development Act of 2021 (the "VALID Act"), which aims to create a new category of medical products separate from medical devices called “in vitro clinical tests,” or IVCTs, and bring all such products within the scope of the FDA’s oversight. To date, Congress has not passed the VALID Act, but may revisit the VALID Act or similar policy riders and enact other FDA programmatic reforms in the future. In October 2023, through rulemaking, the FDA proposed to amend the definition of "in vitro diagnostic products" in FDA regulations to include laboratories that manufacture such products and to phase out the FDA's general enforcement discretion approach for LDTs so that IVDs manufactured by a laboratory would be regulated similarly to IVDs. It is unclear when the FDA will finalize and begin enforcing such rule and how future legislation by federal and state governments and FDA regulation will impact the industry, including our business and that of our customers.</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3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spacing w:after="0" w:line="33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Enhanced trade tariffs, import restrictions, export restrictions, Chinese regulations, or other trade barriers may materially harm our business.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continuing to expand our international operations as part of our growth strategy and have experienced an increasing concentration of sales in certain regions outside the United States, especially the Asia-Pacific region, as discussed above. There is currently significant uncertainty about the future relationship between the United States and various other countries, most significantly China, with respect to trade policies, treaties, government regulations and tariffs. Starting in September 2018, the U.S. Trade Representative (the “USTR”) enacted various tariffs of 7.5%, 10%, 15%, and 25% on the import of Chinese products, including non-U.S. components and materials that may be used in our products. Additionally, China also has imposed tariffs on imports into China from the United States. These tariffs have and could continue to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additional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Additionally, the U.S. government imposed controls restricting the ability to send certain products and technology related to semiconductors, semiconductor manufacturing, and supercomputing to China without an export license. These controls also apply to certain hardware containing these specified integrated circuits. In many cases, these licenses are subject to a policy of denial and will not be issued. It is possible that additional restrictions will be put in place. These existing and future controls may impact our ability to export certain products to customers or distributors in China or other locations and restrict our ability to use certain integrated circuits in our products. The U.S. government also continues to add additional entities in China to restricted party lists impacting the ability of U.S. companies to provide items to these entities. Moreover,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 Biden Administration has continued to provide updated lists of emerging technologies subject to national security consents. These lists continue to include biotechnologies including “[g]enome and protein engineering including design tools” and “[b]iomanufacturing and bioprocessing technologies.” Therefore, it is possible that our ability to export our products to customers or distributors may be further restricted in the future.</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It is possible that the Chinese government will retaliate in response to existing or future U.S. export controls or trade restrictions in ways that could impact our business. It also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export controls, tariffs, international trade agreements and policies, there could be additional tax or other regulatory changes in the future. Any such changes could directly and adversely impact our financial results and results of operations.</w:t>
      </w:r>
    </w:p>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international business could expose us to business, regulatory, political, operational, financial, and economic risks associated with doing business outside of the United States.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Engaging in international business inherently involves a number of difficulties and risks, including:</w:t>
      </w:r>
    </w:p>
    <w:p>
      <w:pPr>
        <w:spacing w:after="0" w:line="117" w:lineRule="exact"/>
        <w:rPr>
          <w:sz w:val="20"/>
          <w:szCs w:val="20"/>
          <w:color w:val="auto"/>
        </w:rPr>
      </w:pPr>
    </w:p>
    <w:p>
      <w:pPr>
        <w:jc w:val="both"/>
        <w:ind w:left="620" w:hanging="304"/>
        <w:spacing w:after="0" w:line="265" w:lineRule="auto"/>
        <w:tabs>
          <w:tab w:leader="none" w:pos="6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65"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required compliance with U.S. laws such as the Foreign Corrupt Practices Act, and other U.S. federal laws and trade and economic sanctions and other regulations established by the Office of Foreign Asset Control;</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export requirements and import or trade restrictions;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laws and business practices favoring local companies;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restrictions on both inbound and outbound cross-border investment;</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foreign currency exchange, longer payment cycles and difficulties in enforcing agreements and collecting receivables through certain foreign legal systems;</w:t>
      </w:r>
    </w:p>
    <w:p>
      <w:pPr>
        <w:spacing w:after="0" w:line="38" w:lineRule="exact"/>
        <w:rPr>
          <w:rFonts w:ascii="Arial" w:cs="Arial" w:eastAsia="Arial" w:hAnsi="Arial"/>
          <w:sz w:val="17"/>
          <w:szCs w:val="17"/>
          <w:color w:val="auto"/>
        </w:rPr>
      </w:pPr>
    </w:p>
    <w:p>
      <w:pPr>
        <w:jc w:val="both"/>
        <w:ind w:left="620" w:hanging="304"/>
        <w:spacing w:after="0" w:line="265" w:lineRule="auto"/>
        <w:tabs>
          <w:tab w:leader="none" w:pos="6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 and ongoing geopolitical tensions related to the political uncertainty and military actions associated with the war in Ukraine, resulting sanctions imposed by the U.S. and other countries, and retaliatory actions taken by Russia in response to such sanctions;</w:t>
      </w:r>
    </w:p>
    <w:p>
      <w:pPr>
        <w:spacing w:after="0" w:line="65"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potentially adverse tax consequences, tariffs, customs charges, bureaucratic requirements, and other trade barriers;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and costs of staffing and managing foreign operations; and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line="296" w:lineRule="auto"/>
        <w:tabs>
          <w:tab w:leader="none" w:pos="6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difficulties protecting, maintaining, enforcing, or procuring intellectual property rights and defending against intellectual property claims under the law and judicial systems of other countries.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If one or more of these risks occurs, it could require us to dedicate significant resources to remedy such occurrence, and if we are unsuccessful in finding a solution, our financial results will suffer.</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12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Ethical, legal, privacy, data protection and social concerns or governmental restrictions surrounding the use of genetic information could reduce demand for our technology.</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subject to requirements under the Dodd-Frank Wall Street Reform and Consumer Protection Act of 2010 that require us to conduct diligence and report on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Owning Our Common Stock</w:t>
      </w:r>
    </w:p>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The price of our common stock has been, is, and may continue to be, highly volatile, and you may be unable to sell your shares at or above the price you paid to acquire them.</w:t>
      </w:r>
    </w:p>
    <w:p>
      <w:pPr>
        <w:spacing w:after="0" w:line="2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38" w:lineRule="exact"/>
        <w:rPr>
          <w:sz w:val="20"/>
          <w:szCs w:val="20"/>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and operating results;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of new products, technological innovations or strategic partnerships by us or our competitors;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by us, our customers, partners, or suppliers relating directly or indirectly to our products, services or technologies;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overall conditions in our industry and market;</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addition or loss of significant customers;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our competitors;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capital commitments or achievement of significant milestones;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additions or departures of key personnel;</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competition from existing products or new products that may emerge;</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issuance of new or updated research or reports by securities analysts;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disputes or other developments related to proprietary rights, including patents, litigation matters or our ability to obtain intellectual property protection for our technologies;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 or expectation of additional financing efforts;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stock price and volume fluctuations attributable to inconsistent trading volume levels of our shares;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reports, guidance and ratings issued by securities or industry analysts;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operating results below the expectations of securities analysts or investors; and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620" w:hanging="304"/>
        <w:spacing w:after="0" w:line="269" w:lineRule="auto"/>
        <w:tabs>
          <w:tab w:leader="none" w:pos="6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general economic and market conditions, which could be impacted by various events including health epidemics or pandemics, interest rate fluctuations, increases in fuel prices, foreign currency fluctuations, international tariffs, acts of terrorism, hostilities or the perception that hostilities may be imminent, military conflict and acts of war, including further political uncertainty and military actions associated with the war in Ukraine and the related response, including sanctions or other restrictive actions, by the United States and/or other countries.</w:t>
      </w:r>
    </w:p>
    <w:p>
      <w:pPr>
        <w:spacing w:after="0" w:line="6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any of the forgoing occurs, it would cause our stock price or trading volume to decline. Stock markets in general and the market for companies in our industry in particular have experienced price and volume fluctuations; these fluctuations have been, and may continue to be, exacerbated by and current macroeconomic trends and geopolitical events.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12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if our stockholders sell, or indicate an intent to sell, a large number of shares of our common stock in the public market, it could cause our stock price to fall, particularly if such sales occur over a short period time (for example, following delivery of shares upon achievement of milestones in our acquisition agreements).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Concentration of ownership by our principal stockholders may result in control by such stockholders of the composition of our board of directors.</w:t>
      </w:r>
    </w:p>
    <w:p>
      <w:pPr>
        <w:spacing w:after="0" w:line="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These parties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1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54" w:lineRule="exact"/>
        <w:rPr>
          <w:sz w:val="20"/>
          <w:szCs w:val="20"/>
          <w:color w:val="auto"/>
        </w:rPr>
      </w:pPr>
    </w:p>
    <w:p>
      <w:pPr>
        <w:ind w:left="620" w:hanging="304"/>
        <w:spacing w:after="0" w:line="296" w:lineRule="auto"/>
        <w:tabs>
          <w:tab w:leader="none" w:pos="6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line="296" w:lineRule="auto"/>
        <w:tabs>
          <w:tab w:leader="none" w:pos="6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board of directors, the Chair of the Board, the Chief Executive Officer or the President;</w:t>
      </w:r>
    </w:p>
    <w:p>
      <w:pPr>
        <w:spacing w:after="0" w:line="38"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 advance notice procedures for stockholder approvals to be brought before an annual meeting of our stockholders, including proposed nominations of persons for election to our board of directors;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and</w:t>
      </w:r>
    </w:p>
    <w:p>
      <w:pPr>
        <w:spacing w:after="0" w:line="116" w:lineRule="exact"/>
        <w:rPr>
          <w:rFonts w:ascii="Arial" w:cs="Arial" w:eastAsia="Arial" w:hAnsi="Arial"/>
          <w:sz w:val="17"/>
          <w:szCs w:val="17"/>
          <w:color w:val="auto"/>
        </w:rPr>
      </w:pPr>
    </w:p>
    <w:p>
      <w:pPr>
        <w:ind w:left="620" w:hanging="304"/>
        <w:spacing w:after="0" w:line="268" w:lineRule="auto"/>
        <w:tabs>
          <w:tab w:leader="none" w:pos="6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3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 bylaws; or (v) any action asserting a claim governed by the internal affairs doctrine, except as to each of (i) through (v) above, for any claim as to which such court determines that there is an indispensable party not subject to the jurisdiction of such court.</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 Securities Act including, without limitation and for the avoidance of doubt, any auditor, underwriter, expert, control person or other defendant.</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large number of authorized but unissued shares of common stock may potentially dilute existing stockholders’ stockholdings.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Notes</w:t>
      </w:r>
    </w:p>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31, 2024, we had outstanding approximately $459.0 million aggregate principal amount of our 2028 Notes and $441.0 million aggregate principal amount of our 2030 Notes. The 2028 Notes will mature on February 15, 2028, subject to earlier conversion, redemption or repurchase, including upon a fundamental change. The 2030 Notes will mature on December 15, 2030, subject to earlier conversion, redemption or repurchase, including upon a fundamental change. The 2030 Notes and 2028 Notes are collectively referred to as the Notes.</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Notes are converted, it may adversely affect our financial condition and operating results.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issuances of shares of common stock upon conversion of our Notes could depress the market price of our common stock and impair our ability to raise capital through the sale of additional equity securities. The existence of the Notes may encourage short selling by market participants because the conversion of the Notes could depress the price of our common stock.</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General conditions in the global economy and in the global financial markets could adversely affect our results of operations, including the potential effects from the COVID-19 pandemic or other similar outbreaks as discussed above, and the overall demand for nucleic acid sequencing products may be particularly vulnerable to unfavorable economic conditions. A global financial crisis, inflation or a global or regional political disruption, as well as acts of terrorism, hostilities, military conflict and acts of war, including any further political uncertainty and military actions in the Middle East associated with the Israel and Hamas conflict and the war in Ukraine, as well as the related responses,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 impairment in value of our tangible or intangible assets could also be recorded as a result of weaker economic conditions. Any of the foregoing could harm our business and we cannot anticipate all of the ways in which the political or economic climate and financial market conditions could adversely impact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Delivery of our products could be delayed or disrupted by factors beyond our control, and we could lose customers as a result.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Doing business internationally creates operational and financial risks for our business.</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72" w:lineRule="exact"/>
        <w:rPr>
          <w:sz w:val="20"/>
          <w:szCs w:val="20"/>
          <w:color w:val="auto"/>
        </w:rPr>
      </w:pPr>
    </w:p>
    <w:p>
      <w:pPr>
        <w:ind w:left="620" w:hanging="304"/>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potential limits to travel as a result of COVID-19 or other epidemics or pandemics;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challenges in staffing and managing foreign operations;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potentially longer sales cycles and more time required to engage and educate customers on the benefits of our platform outside of the United States;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potential need for localized software and documentation;</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 in some countries and practical difficulties of enforcing intellectual property and contract rights abroad;</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defending against intellectual property claims in other countries;</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restrictions on both inbound and outbound cross-border investment, including enhanced oversight by the Committee on Foreign Investment in the United States (“CFIUS”) and substantial restrictions on investment from China;</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line="296" w:lineRule="auto"/>
        <w:tabs>
          <w:tab w:leader="none" w:pos="6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38"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new tariffs, trade protection measures, import or export licensing requirements, trade embargoes, sanctions, and other trade barriers;</w:t>
      </w:r>
    </w:p>
    <w:p>
      <w:pPr>
        <w:spacing w:after="0" w:line="38" w:lineRule="exact"/>
        <w:rPr>
          <w:rFonts w:ascii="Arial" w:cs="Arial" w:eastAsia="Arial" w:hAnsi="Arial"/>
          <w:sz w:val="17"/>
          <w:szCs w:val="17"/>
          <w:color w:val="auto"/>
        </w:rPr>
      </w:pPr>
    </w:p>
    <w:p>
      <w:pPr>
        <w:jc w:val="both"/>
        <w:ind w:left="620" w:hanging="304"/>
        <w:spacing w:after="0" w:line="269" w:lineRule="auto"/>
        <w:tabs>
          <w:tab w:leader="none" w:pos="6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tariffs imposed by the U.S. on goods from other countries and tariffs imposed by other countries on U.S. goods, including the tariffs by the U.S. government on various imports from China, Canada, Mexico, and the European Union (“E.U.”) and by the governments of these jurisdictions on certain U.S. goods, and any other possible tariffs that may be imposed on products such as ours, the scope and duration of which, if implemented, remains uncertain;</w:t>
      </w:r>
    </w:p>
    <w:p>
      <w:pPr>
        <w:spacing w:after="0" w:line="60"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deterioration of political relations between the U.S. and Russia, China, Japan, Korea, Canada, the United Kingdom (“U.K.”), and the E.U., which could have a material adverse effect on our sales and operations in these countries;</w:t>
      </w:r>
    </w:p>
    <w:p>
      <w:pPr>
        <w:spacing w:after="0" w:line="38" w:lineRule="exact"/>
        <w:rPr>
          <w:rFonts w:ascii="Arial" w:cs="Arial" w:eastAsia="Arial" w:hAnsi="Arial"/>
          <w:sz w:val="17"/>
          <w:szCs w:val="17"/>
          <w:color w:val="auto"/>
        </w:rPr>
      </w:pPr>
    </w:p>
    <w:p>
      <w:pPr>
        <w:jc w:val="both"/>
        <w:ind w:left="620" w:hanging="304"/>
        <w:spacing w:after="0" w:line="276" w:lineRule="auto"/>
        <w:tabs>
          <w:tab w:leader="none" w:pos="6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p>
      <w:pPr>
        <w:spacing w:after="0" w:line="54" w:lineRule="exact"/>
        <w:rPr>
          <w:rFonts w:ascii="Arial" w:cs="Arial" w:eastAsia="Arial" w:hAnsi="Arial"/>
          <w:sz w:val="17"/>
          <w:szCs w:val="17"/>
          <w:color w:val="auto"/>
        </w:rPr>
      </w:pPr>
    </w:p>
    <w:p>
      <w:pPr>
        <w:ind w:left="620" w:hanging="304"/>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difficulties in obtaining export licenses or in overcoming other trade barriers and restrictions resulting in delivery delays;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fluctuations in currency exchange rates and the related effect on our results of operations;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increased financial accounting and reporting burdens and complexities;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disruptions to global trade due to disease outbreaks or conflicts;</w:t>
      </w:r>
    </w:p>
    <w:p>
      <w:pPr>
        <w:spacing w:after="0" w:line="116" w:lineRule="exact"/>
        <w:rPr>
          <w:rFonts w:ascii="Arial" w:cs="Arial" w:eastAsia="Arial" w:hAnsi="Arial"/>
          <w:sz w:val="17"/>
          <w:szCs w:val="17"/>
          <w:color w:val="auto"/>
        </w:rPr>
      </w:pPr>
    </w:p>
    <w:p>
      <w:pPr>
        <w:ind w:left="620" w:hanging="304"/>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potential increases on tariffs or restrictions on trade generally; and</w:t>
      </w:r>
    </w:p>
    <w:p>
      <w:pPr>
        <w:spacing w:after="0" w:line="116" w:lineRule="exact"/>
        <w:rPr>
          <w:rFonts w:ascii="Arial" w:cs="Arial" w:eastAsia="Arial" w:hAnsi="Arial"/>
          <w:sz w:val="17"/>
          <w:szCs w:val="17"/>
          <w:color w:val="auto"/>
        </w:rPr>
      </w:pPr>
    </w:p>
    <w:p>
      <w:pPr>
        <w:ind w:left="620" w:hanging="304"/>
        <w:spacing w:after="0" w:line="296" w:lineRule="auto"/>
        <w:tabs>
          <w:tab w:leader="none" w:pos="6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significant taxes or other burdens of complying with a variety of foreign laws and regulations, including laws and regulations relating to privacy and data protection such as the E.U. General Data Protection Regulation which took effect in the E.U. in 2018.</w:t>
      </w:r>
    </w:p>
    <w:p>
      <w:pPr>
        <w:spacing w:after="0" w:line="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2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27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impacted by changes in the United States political environment.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Disruption of critical information technology systems or material breaches in the security of our systems could harm our business, customer relations and financial condition.</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in our products, sales forecast, order fulfillment and billing, customer service, logistics, and management of data from running samples on our products. Our success depends, in part, on the continued and uninterrupted performance of our IT systems. Our IT systems, including those used in our products,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the political uncertainty and military actions in the Middle East associated with the Israel and Hamas conflict and the war in Ukraine.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IT infrastructure, including those used in our products, we could be subject to transaction errors, processing inefficiencies, loss of customers, business disruptions or loss of or damage to 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Security breaches and other disruptions could compromise our information and expose us to liability, which would cause our business and reputation to suffer.</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customers, suppliers and business partners, and personal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other processing, or loss or unavailability of, information. Any hacking or other attack on our or our third-party service providers’ or vendors’ systems, and any unauthorized access to, or disclosure, other processing, or loss or unavailability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and data integrity issues,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cyber-attacks that could disrupt the economy generally or that may either directly or indirectly impact our operations specifically.</w:t>
      </w:r>
    </w:p>
    <w:p>
      <w:pPr>
        <w:spacing w:after="0" w:line="28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use of artificial intelligence and machine learning technologies may result in reputational harm or liability.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incorporated and may continue to incorporate additional artificial intelligence and machine learning, or AIML, technologies into our sequencing platforms, marketing programs, and analysis software, including Revio and otherwise within our business, and these solutions and features are advantageous to describing, enhancing, and maximizing the capabilities of our differentiated technologies and to our future growth over time. We rely and expect to rely on AIML technologies such as basecalling, variant calling, epigenetic analysis and tertiary analysis, but there can be no assurance that we will realize the desired or anticipated benefits from AIML or any at all. We may also fail to properly implement or utilize AIML technologies. Our competitors or other third parties may incorporate AIML into their products, platforms, software and services or otherwise within their business more quickly or more successfully than us, which could impair our ability to compete effectively and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expanded the CCPA as of January 1, 2023, including by introducing additional obligations such as data minimization and storage limitations and granting additional rights to consumers, among others. The enactment of the CCPA has prompted similar legislative developments in other states, and numerous other states have proposed, and in certain cases enacted, legislation relating to privacy and data security, many of which are similar to the CCPA and CPRA. Similar laws are being considered by other state legislatures.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These and future laws and regulations may increase our compliance costs and potential liability.</w:t>
      </w:r>
    </w:p>
    <w:p>
      <w:pPr>
        <w:spacing w:after="0" w:line="2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disrupted, breached or otherwise compromised due to employee error, malfeasance or other malicious or inadvertent disruptions. Any such breach or disruption could compromise our networks and the information stored there could be accessed, manipulated, publicly disclosed, lost, stolen, made unavailable, or otherwise processed without authorization. Any such disruption, access, breach, unavailability, theft, loss or other unauthorized processing of information, or the perception that any of these has occurred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 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Investor advocacy groups, institutional investors, investment funds, proxy advisory services, stockholders, and customers are increasingly focused on environmental, social, and governance (“ESG”) practices of companies. Additionally, public interest and legislative pressure related to public companies’ ESG practices continues to grow. For example, the SEC has adopted final rules regarding climate-related disclosures in public companies’ periodic reporting. 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ESG reporting and disclosure may result in additional costs and require additional resources to monitor, report, and comply with our various ESG practices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pacing w:after="0" w:line="225" w:lineRule="exact"/>
        <w:rPr>
          <w:sz w:val="20"/>
          <w:szCs w:val="20"/>
          <w:color w:val="auto"/>
        </w:rPr>
      </w:pPr>
    </w:p>
    <w:p>
      <w:pPr>
        <w:ind w:right="5500"/>
        <w:spacing w:after="0" w:line="426" w:lineRule="auto"/>
        <w:rPr>
          <w:sz w:val="20"/>
          <w:szCs w:val="20"/>
          <w:color w:val="auto"/>
        </w:rPr>
      </w:pPr>
      <w:r>
        <w:rPr>
          <w:rFonts w:ascii="Arial" w:cs="Arial" w:eastAsia="Arial" w:hAnsi="Arial"/>
          <w:sz w:val="17"/>
          <w:szCs w:val="17"/>
          <w:b w:val="1"/>
          <w:bCs w:val="1"/>
          <w:color w:val="auto"/>
        </w:rPr>
        <w:t xml:space="preserve">Item 2. Unregistered Sales of Equity Securities and Use of Proceeds </w:t>
      </w:r>
      <w:r>
        <w:rPr>
          <w:rFonts w:ascii="Arial" w:cs="Arial" w:eastAsia="Arial" w:hAnsi="Arial"/>
          <w:sz w:val="17"/>
          <w:szCs w:val="17"/>
          <w:color w:val="auto"/>
        </w:rPr>
        <w:t>None.</w:t>
      </w:r>
    </w:p>
    <w:p>
      <w:pPr>
        <w:spacing w:after="0" w:line="8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tab/>
        <w:t>Defaults Upon Senior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7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7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5.</w:t>
        <w:tab/>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Trading Plans of Directors and Executive Officers</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6.</w:t>
        <w:tab/>
        <w:t>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Incorporated by reference herein</w:t>
            </w:r>
          </w:p>
        </w:tc>
      </w:tr>
      <w:tr>
        <w:trPr>
          <w:trHeight w:val="227"/>
        </w:trPr>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Exhibit No.</w:t>
            </w:r>
          </w:p>
        </w:tc>
        <w:tc>
          <w:tcPr>
            <w:tcW w:w="260" w:type="dxa"/>
            <w:vAlign w:val="bottom"/>
            <w:tcBorders>
              <w:bottom w:val="single" w:sz="8" w:color="auto"/>
            </w:tcBorders>
          </w:tcPr>
          <w:p>
            <w:pPr>
              <w:spacing w:after="0"/>
              <w:rPr>
                <w:sz w:val="19"/>
                <w:szCs w:val="19"/>
                <w:color w:val="auto"/>
              </w:rPr>
            </w:pPr>
          </w:p>
        </w:tc>
        <w:tc>
          <w:tcPr>
            <w:tcW w:w="5960" w:type="dxa"/>
            <w:vAlign w:val="bottom"/>
            <w:tcBorders>
              <w:bottom w:val="single" w:sz="8" w:color="auto"/>
            </w:tcBorders>
            <w:gridSpan w:val="8"/>
          </w:tcPr>
          <w:p>
            <w:pPr>
              <w:ind w:left="2460"/>
              <w:spacing w:after="0"/>
              <w:rPr>
                <w:sz w:val="20"/>
                <w:szCs w:val="20"/>
                <w:color w:val="auto"/>
              </w:rPr>
            </w:pPr>
            <w:r>
              <w:rPr>
                <w:rFonts w:ascii="Arial" w:cs="Arial" w:eastAsia="Arial" w:hAnsi="Arial"/>
                <w:sz w:val="16"/>
                <w:szCs w:val="16"/>
                <w:color w:val="auto"/>
              </w:rPr>
              <w:t>Description</w:t>
            </w:r>
          </w:p>
        </w:tc>
        <w:tc>
          <w:tcPr>
            <w:tcW w:w="720" w:type="dxa"/>
            <w:vAlign w:val="bottom"/>
            <w:tcBorders>
              <w:bottom w:val="single" w:sz="8" w:color="auto"/>
            </w:tcBorders>
          </w:tcPr>
          <w:p>
            <w:pPr>
              <w:jc w:val="center"/>
              <w:ind w:left="102"/>
              <w:spacing w:after="0"/>
              <w:rPr>
                <w:sz w:val="20"/>
                <w:szCs w:val="20"/>
                <w:color w:val="auto"/>
              </w:rPr>
            </w:pPr>
            <w:r>
              <w:rPr>
                <w:rFonts w:ascii="Arial" w:cs="Arial" w:eastAsia="Arial" w:hAnsi="Arial"/>
                <w:sz w:val="16"/>
                <w:szCs w:val="16"/>
                <w:color w:val="auto"/>
              </w:rPr>
              <w:t>Form</w:t>
            </w:r>
          </w:p>
        </w:tc>
        <w:tc>
          <w:tcPr>
            <w:tcW w:w="134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color w:val="auto"/>
                <w:w w:val="95"/>
              </w:rPr>
              <w:t>Exhibit No.</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Filing Date</w:t>
            </w: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0000FF"/>
            </w:tcBorders>
            <w:shd w:val="clear" w:color="auto" w:fill="CCEEFF"/>
          </w:tcPr>
          <w:p>
            <w:pPr>
              <w:spacing w:after="0" w:line="182" w:lineRule="exact"/>
              <w:rPr>
                <w:rFonts w:ascii="Arial" w:cs="Arial" w:eastAsia="Arial" w:hAnsi="Arial"/>
                <w:sz w:val="16"/>
                <w:szCs w:val="16"/>
                <w:color w:val="0000FF"/>
                <w:w w:val="89"/>
              </w:rPr>
            </w:pPr>
            <w:hyperlink r:id="rId102">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6000" w:type="dxa"/>
            <w:vAlign w:val="bottom"/>
            <w:tcBorders>
              <w:bottom w:val="single" w:sz="8" w:color="0000FF"/>
            </w:tcBorders>
            <w:gridSpan w:val="8"/>
            <w:shd w:val="clear" w:color="auto" w:fill="CCEEFF"/>
          </w:tcPr>
          <w:p>
            <w:pPr>
              <w:spacing w:after="0" w:line="182" w:lineRule="exact"/>
              <w:rPr>
                <w:rFonts w:ascii="Arial" w:cs="Arial" w:eastAsia="Arial" w:hAnsi="Arial"/>
                <w:sz w:val="16"/>
                <w:szCs w:val="16"/>
                <w:color w:val="0000FF"/>
                <w:w w:val="97"/>
              </w:rPr>
            </w:pPr>
            <w:hyperlink r:id="rId102">
              <w:r>
                <w:rPr>
                  <w:rFonts w:ascii="Arial" w:cs="Arial" w:eastAsia="Arial" w:hAnsi="Arial"/>
                  <w:sz w:val="16"/>
                  <w:szCs w:val="16"/>
                  <w:color w:val="0000FF"/>
                  <w:w w:val="97"/>
                </w:rPr>
                <w:t>Amended and Restated Certificate of Incorporation of Pacific Biosciences of California,</w:t>
              </w:r>
            </w:hyperlink>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ind w:left="102"/>
              <w:spacing w:after="0" w:line="182" w:lineRule="exact"/>
              <w:rPr>
                <w:sz w:val="20"/>
                <w:szCs w:val="20"/>
                <w:color w:val="auto"/>
              </w:rPr>
            </w:pPr>
            <w:r>
              <w:rPr>
                <w:rFonts w:ascii="Arial" w:cs="Arial" w:eastAsia="Arial" w:hAnsi="Arial"/>
                <w:sz w:val="16"/>
                <w:szCs w:val="16"/>
                <w:color w:val="auto"/>
              </w:rPr>
              <w:t>10-K</w:t>
            </w:r>
          </w:p>
        </w:tc>
        <w:tc>
          <w:tcPr>
            <w:tcW w:w="1340" w:type="dxa"/>
            <w:vAlign w:val="bottom"/>
            <w:tcBorders>
              <w:bottom w:val="single" w:sz="8" w:color="CCEEFF"/>
            </w:tcBorders>
            <w:shd w:val="clear" w:color="auto" w:fill="CCEEFF"/>
          </w:tcPr>
          <w:p>
            <w:pPr>
              <w:jc w:val="center"/>
              <w:ind w:left="82"/>
              <w:spacing w:after="0" w:line="182" w:lineRule="exact"/>
              <w:rPr>
                <w:sz w:val="20"/>
                <w:szCs w:val="20"/>
                <w:color w:val="auto"/>
              </w:rPr>
            </w:pPr>
            <w:r>
              <w:rPr>
                <w:rFonts w:ascii="Arial" w:cs="Arial" w:eastAsia="Arial" w:hAnsi="Arial"/>
                <w:sz w:val="16"/>
                <w:szCs w:val="16"/>
                <w:color w:val="auto"/>
                <w:w w:val="98"/>
              </w:rPr>
              <w:t>3.1</w:t>
            </w:r>
          </w:p>
        </w:tc>
        <w:tc>
          <w:tcPr>
            <w:tcW w:w="180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6"/>
                <w:szCs w:val="16"/>
                <w:color w:val="auto"/>
                <w:w w:val="95"/>
              </w:rPr>
              <w:t>March 23, 2011</w:t>
            </w:r>
          </w:p>
        </w:tc>
      </w:tr>
      <w:tr>
        <w:trPr>
          <w:trHeight w:val="187"/>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0000FF"/>
            </w:tcBorders>
            <w:shd w:val="clear" w:color="auto" w:fill="CCEEFF"/>
          </w:tcPr>
          <w:p>
            <w:pPr>
              <w:spacing w:after="0" w:line="142" w:lineRule="exact"/>
              <w:rPr>
                <w:rFonts w:ascii="Arial" w:cs="Arial" w:eastAsia="Arial" w:hAnsi="Arial"/>
                <w:sz w:val="16"/>
                <w:szCs w:val="16"/>
                <w:color w:val="0000FF"/>
                <w:w w:val="92"/>
              </w:rPr>
            </w:pPr>
            <w:hyperlink r:id="rId102">
              <w:r>
                <w:rPr>
                  <w:rFonts w:ascii="Arial" w:cs="Arial" w:eastAsia="Arial" w:hAnsi="Arial"/>
                  <w:sz w:val="16"/>
                  <w:szCs w:val="16"/>
                  <w:color w:val="0000FF"/>
                  <w:w w:val="92"/>
                </w:rPr>
                <w:t>Inc.</w:t>
              </w:r>
            </w:hyperlink>
          </w:p>
        </w:tc>
        <w:tc>
          <w:tcPr>
            <w:tcW w:w="5960" w:type="dxa"/>
            <w:vAlign w:val="bottom"/>
            <w:tcBorders>
              <w:top w:val="single" w:sz="8" w:color="CCEEFF"/>
              <w:bottom w:val="single" w:sz="8" w:color="CCEEFF"/>
            </w:tcBorders>
            <w:gridSpan w:val="8"/>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18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2"/>
        </w:trPr>
        <w:tc>
          <w:tcPr>
            <w:tcW w:w="320" w:type="dxa"/>
            <w:vAlign w:val="bottom"/>
            <w:gridSpan w:val="3"/>
          </w:tcPr>
          <w:p>
            <w:pPr>
              <w:ind w:left="20"/>
              <w:spacing w:after="0" w:line="182" w:lineRule="exact"/>
              <w:rPr>
                <w:rFonts w:ascii="Arial" w:cs="Arial" w:eastAsia="Arial" w:hAnsi="Arial"/>
                <w:sz w:val="16"/>
                <w:szCs w:val="16"/>
                <w:color w:val="0000FF"/>
              </w:rPr>
            </w:pPr>
            <w:hyperlink r:id="rId103">
              <w:r>
                <w:rPr>
                  <w:rFonts w:ascii="Arial" w:cs="Arial" w:eastAsia="Arial" w:hAnsi="Arial"/>
                  <w:sz w:val="16"/>
                  <w:szCs w:val="16"/>
                  <w:color w:val="0000FF"/>
                </w:rPr>
                <w:t>3.</w:t>
              </w:r>
              <w:r>
                <w:rPr>
                  <w:rFonts w:ascii="Arial" w:cs="Arial" w:eastAsia="Arial" w:hAnsi="Arial"/>
                  <w:sz w:val="16"/>
                  <w:szCs w:val="16"/>
                  <w:u w:val="single" w:color="auto"/>
                  <w:color w:val="0000FF"/>
                </w:rPr>
                <w:t>2</w:t>
              </w:r>
            </w:hyperlink>
          </w:p>
        </w:tc>
        <w:tc>
          <w:tcPr>
            <w:tcW w:w="840" w:type="dxa"/>
            <w:vAlign w:val="bottom"/>
          </w:tcPr>
          <w:p>
            <w:pPr>
              <w:spacing w:after="0"/>
              <w:rPr>
                <w:sz w:val="15"/>
                <w:szCs w:val="15"/>
                <w:color w:val="auto"/>
              </w:rPr>
            </w:pPr>
          </w:p>
        </w:tc>
        <w:tc>
          <w:tcPr>
            <w:tcW w:w="6220" w:type="dxa"/>
            <w:vAlign w:val="bottom"/>
            <w:gridSpan w:val="9"/>
          </w:tcPr>
          <w:p>
            <w:pPr>
              <w:spacing w:after="0" w:line="182" w:lineRule="exact"/>
              <w:rPr>
                <w:rFonts w:ascii="Arial" w:cs="Arial" w:eastAsia="Arial" w:hAnsi="Arial"/>
                <w:sz w:val="16"/>
                <w:szCs w:val="16"/>
                <w:color w:val="0000FF"/>
              </w:rPr>
            </w:pPr>
            <w:hyperlink r:id="rId103">
              <w:r>
                <w:rPr>
                  <w:rFonts w:ascii="Arial" w:cs="Arial" w:eastAsia="Arial" w:hAnsi="Arial"/>
                  <w:sz w:val="16"/>
                  <w:szCs w:val="16"/>
                  <w:color w:val="0000FF"/>
                </w:rPr>
                <w:t>Third Amended and Restated Bylaws of Pacific Biosciences of California, Inc.</w:t>
              </w:r>
            </w:hyperlink>
          </w:p>
        </w:tc>
        <w:tc>
          <w:tcPr>
            <w:tcW w:w="720" w:type="dxa"/>
            <w:vAlign w:val="bottom"/>
          </w:tcPr>
          <w:p>
            <w:pPr>
              <w:jc w:val="center"/>
              <w:ind w:left="102"/>
              <w:spacing w:after="0" w:line="182" w:lineRule="exact"/>
              <w:rPr>
                <w:sz w:val="20"/>
                <w:szCs w:val="20"/>
                <w:color w:val="auto"/>
              </w:rPr>
            </w:pPr>
            <w:r>
              <w:rPr>
                <w:rFonts w:ascii="Arial" w:cs="Arial" w:eastAsia="Arial" w:hAnsi="Arial"/>
                <w:sz w:val="16"/>
                <w:szCs w:val="16"/>
                <w:color w:val="auto"/>
              </w:rPr>
              <w:t>8-K</w:t>
            </w:r>
          </w:p>
        </w:tc>
        <w:tc>
          <w:tcPr>
            <w:tcW w:w="1340" w:type="dxa"/>
            <w:vAlign w:val="bottom"/>
          </w:tcPr>
          <w:p>
            <w:pPr>
              <w:jc w:val="center"/>
              <w:ind w:left="82"/>
              <w:spacing w:after="0" w:line="182" w:lineRule="exact"/>
              <w:rPr>
                <w:sz w:val="20"/>
                <w:szCs w:val="20"/>
                <w:color w:val="auto"/>
              </w:rPr>
            </w:pPr>
            <w:r>
              <w:rPr>
                <w:rFonts w:ascii="Arial" w:cs="Arial" w:eastAsia="Arial" w:hAnsi="Arial"/>
                <w:sz w:val="16"/>
                <w:szCs w:val="16"/>
                <w:color w:val="auto"/>
                <w:w w:val="98"/>
              </w:rPr>
              <w:t>3.1</w:t>
            </w:r>
          </w:p>
        </w:tc>
        <w:tc>
          <w:tcPr>
            <w:tcW w:w="1800" w:type="dxa"/>
            <w:vAlign w:val="bottom"/>
          </w:tcPr>
          <w:p>
            <w:pPr>
              <w:jc w:val="center"/>
              <w:spacing w:after="0" w:line="182" w:lineRule="exact"/>
              <w:rPr>
                <w:sz w:val="20"/>
                <w:szCs w:val="20"/>
                <w:color w:val="auto"/>
              </w:rPr>
            </w:pPr>
            <w:r>
              <w:rPr>
                <w:rFonts w:ascii="Arial" w:cs="Arial" w:eastAsia="Arial" w:hAnsi="Arial"/>
                <w:sz w:val="16"/>
                <w:szCs w:val="16"/>
                <w:color w:val="auto"/>
                <w:w w:val="97"/>
              </w:rPr>
              <w:t>November 7, 2022</w:t>
            </w:r>
          </w:p>
        </w:tc>
      </w:tr>
      <w:tr>
        <w:trPr>
          <w:trHeight w:val="32"/>
        </w:trPr>
        <w:tc>
          <w:tcPr>
            <w:tcW w:w="2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2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82"/>
        </w:trPr>
        <w:tc>
          <w:tcPr>
            <w:tcW w:w="2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spacing w:after="0" w:line="182" w:lineRule="exact"/>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p>
        </w:tc>
        <w:tc>
          <w:tcPr>
            <w:tcW w:w="6220" w:type="dxa"/>
            <w:vAlign w:val="bottom"/>
            <w:gridSpan w:val="9"/>
            <w:shd w:val="clear" w:color="auto" w:fill="CCEEFF"/>
          </w:tcPr>
          <w:p>
            <w:pPr>
              <w:spacing w:after="0" w:line="182" w:lineRule="exact"/>
              <w:rPr>
                <w:sz w:val="20"/>
                <w:szCs w:val="20"/>
                <w:color w:val="auto"/>
              </w:rPr>
            </w:pPr>
            <w:r>
              <w:rPr>
                <w:rFonts w:ascii="Arial" w:cs="Arial" w:eastAsia="Arial" w:hAnsi="Arial"/>
                <w:sz w:val="16"/>
                <w:szCs w:val="16"/>
                <w:color w:val="0000FF"/>
              </w:rPr>
              <w:t>Certification of Chief Executive Officer pursuant to Exchange Act Rules 13a-14(a) and</w:t>
            </w:r>
          </w:p>
        </w:tc>
        <w:tc>
          <w:tcPr>
            <w:tcW w:w="7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98"/>
              </w:rPr>
              <w:t>Filed herewith</w:t>
            </w: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5920" w:type="dxa"/>
            <w:vAlign w:val="bottom"/>
            <w:tcBorders>
              <w:top w:val="single" w:sz="8" w:color="0000FF"/>
            </w:tcBorders>
            <w:gridSpan w:val="6"/>
            <w:shd w:val="clear" w:color="auto" w:fill="CCEEFF"/>
          </w:tcPr>
          <w:p>
            <w:pPr>
              <w:spacing w:after="0" w:line="162" w:lineRule="exact"/>
              <w:rPr>
                <w:sz w:val="20"/>
                <w:szCs w:val="20"/>
                <w:color w:val="auto"/>
              </w:rPr>
            </w:pPr>
            <w:r>
              <w:rPr>
                <w:rFonts w:ascii="Arial" w:cs="Arial" w:eastAsia="Arial" w:hAnsi="Arial"/>
                <w:sz w:val="16"/>
                <w:szCs w:val="16"/>
                <w:color w:val="0000FF"/>
              </w:rPr>
              <w:t>15d-14(a), as adopted pursuant to Section 302 of the Sarbanes-Oxley Act of 2002</w:t>
            </w:r>
          </w:p>
        </w:tc>
        <w:tc>
          <w:tcPr>
            <w:tcW w:w="300" w:type="dxa"/>
            <w:vAlign w:val="bottom"/>
            <w:tcBorders>
              <w:top w:val="single" w:sz="8" w:color="CCEEFF"/>
            </w:tcBorders>
            <w:gridSpan w:val="3"/>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CCEEFF"/>
            </w:tcBorders>
            <w:shd w:val="clear" w:color="auto" w:fill="CCEEFF"/>
          </w:tcPr>
          <w:p>
            <w:pPr>
              <w:spacing w:after="0"/>
              <w:rPr>
                <w:sz w:val="14"/>
                <w:szCs w:val="14"/>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3820" w:type="dxa"/>
            <w:vAlign w:val="bottom"/>
            <w:tcBorders>
              <w:top w:val="single" w:sz="8" w:color="0000FF"/>
            </w:tcBorders>
            <w:shd w:val="clear" w:color="auto" w:fill="CCEEFF"/>
          </w:tcPr>
          <w:p>
            <w:pPr>
              <w:spacing w:after="0"/>
              <w:rPr>
                <w:sz w:val="3"/>
                <w:szCs w:val="3"/>
                <w:color w:val="auto"/>
              </w:rPr>
            </w:pPr>
          </w:p>
        </w:tc>
        <w:tc>
          <w:tcPr>
            <w:tcW w:w="128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1800" w:type="dxa"/>
            <w:vAlign w:val="bottom"/>
            <w:tcBorders>
              <w:top w:val="single" w:sz="8" w:color="CCEEFF"/>
            </w:tcBorders>
            <w:shd w:val="clear" w:color="auto" w:fill="CCEEFF"/>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1140" w:type="dxa"/>
            <w:vAlign w:val="bottom"/>
            <w:gridSpan w:val="3"/>
          </w:tcPr>
          <w:p>
            <w:pPr>
              <w:spacing w:after="0" w:line="182" w:lineRule="exact"/>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2</w:t>
            </w:r>
          </w:p>
        </w:tc>
        <w:tc>
          <w:tcPr>
            <w:tcW w:w="6220" w:type="dxa"/>
            <w:vAlign w:val="bottom"/>
            <w:gridSpan w:val="9"/>
          </w:tcPr>
          <w:p>
            <w:pPr>
              <w:spacing w:after="0" w:line="182" w:lineRule="exact"/>
              <w:rPr>
                <w:sz w:val="20"/>
                <w:szCs w:val="20"/>
                <w:color w:val="auto"/>
              </w:rPr>
            </w:pPr>
            <w:r>
              <w:rPr>
                <w:rFonts w:ascii="Arial" w:cs="Arial" w:eastAsia="Arial" w:hAnsi="Arial"/>
                <w:sz w:val="16"/>
                <w:szCs w:val="16"/>
                <w:color w:val="0000FF"/>
              </w:rPr>
              <w:t>Certification of Chief Financial Officer pursuant to Exchange Act Rules 13a-14(a) and</w:t>
            </w: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0" w:type="dxa"/>
            <w:vAlign w:val="bottom"/>
          </w:tcPr>
          <w:p>
            <w:pPr>
              <w:jc w:val="center"/>
              <w:spacing w:after="0" w:line="182" w:lineRule="exact"/>
              <w:rPr>
                <w:sz w:val="20"/>
                <w:szCs w:val="20"/>
                <w:color w:val="auto"/>
              </w:rPr>
            </w:pPr>
            <w:r>
              <w:rPr>
                <w:rFonts w:ascii="Arial" w:cs="Arial" w:eastAsia="Arial" w:hAnsi="Arial"/>
                <w:sz w:val="16"/>
                <w:szCs w:val="16"/>
                <w:color w:val="auto"/>
                <w:w w:val="98"/>
              </w:rPr>
              <w:t>Filed herewith</w:t>
            </w:r>
          </w:p>
        </w:tc>
      </w:tr>
      <w:tr>
        <w:trPr>
          <w:trHeight w:val="142"/>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40" w:type="dxa"/>
            <w:vAlign w:val="bottom"/>
          </w:tcPr>
          <w:p>
            <w:pPr>
              <w:spacing w:after="0"/>
              <w:rPr>
                <w:sz w:val="12"/>
                <w:szCs w:val="12"/>
                <w:color w:val="auto"/>
              </w:rPr>
            </w:pPr>
          </w:p>
        </w:tc>
        <w:tc>
          <w:tcPr>
            <w:tcW w:w="588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15d-14(a), as adopted pursuant to Section 302 of the Sarbanes-Oxley Act of 2002</w:t>
            </w:r>
          </w:p>
        </w:tc>
        <w:tc>
          <w:tcPr>
            <w:tcW w:w="340" w:type="dxa"/>
            <w:vAlign w:val="bottom"/>
            <w:gridSpan w:val="4"/>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3820" w:type="dxa"/>
            <w:vAlign w:val="bottom"/>
            <w:tcBorders>
              <w:top w:val="single" w:sz="8" w:color="0000FF"/>
            </w:tcBorders>
          </w:tcPr>
          <w:p>
            <w:pPr>
              <w:spacing w:after="0"/>
              <w:rPr>
                <w:sz w:val="3"/>
                <w:szCs w:val="3"/>
                <w:color w:val="auto"/>
              </w:rPr>
            </w:pPr>
          </w:p>
        </w:tc>
        <w:tc>
          <w:tcPr>
            <w:tcW w:w="128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182"/>
        </w:trPr>
        <w:tc>
          <w:tcPr>
            <w:tcW w:w="2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spacing w:after="0" w:line="182" w:lineRule="exact"/>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6220" w:type="dxa"/>
            <w:vAlign w:val="bottom"/>
            <w:gridSpan w:val="9"/>
            <w:shd w:val="clear" w:color="auto" w:fill="CCEEFF"/>
          </w:tcPr>
          <w:p>
            <w:pPr>
              <w:spacing w:after="0" w:line="182" w:lineRule="exact"/>
              <w:rPr>
                <w:sz w:val="20"/>
                <w:szCs w:val="20"/>
                <w:color w:val="auto"/>
              </w:rPr>
            </w:pPr>
            <w:r>
              <w:rPr>
                <w:rFonts w:ascii="Arial" w:cs="Arial" w:eastAsia="Arial" w:hAnsi="Arial"/>
                <w:sz w:val="16"/>
                <w:szCs w:val="16"/>
                <w:color w:val="0000FF"/>
              </w:rPr>
              <w:t>Certification of Chief Executive Officer pursuant to 18 U.S.C. Section 1350, as adopted</w:t>
            </w:r>
          </w:p>
        </w:tc>
        <w:tc>
          <w:tcPr>
            <w:tcW w:w="7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98"/>
              </w:rPr>
              <w:t>Furnished herewith</w:t>
            </w: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6000" w:type="dxa"/>
            <w:vAlign w:val="bottom"/>
            <w:tcBorders>
              <w:top w:val="single" w:sz="8" w:color="0000FF"/>
            </w:tcBorders>
            <w:gridSpan w:val="8"/>
            <w:shd w:val="clear" w:color="auto" w:fill="CCEEFF"/>
          </w:tcPr>
          <w:p>
            <w:pPr>
              <w:spacing w:after="0" w:line="162" w:lineRule="exact"/>
              <w:rPr>
                <w:sz w:val="20"/>
                <w:szCs w:val="20"/>
                <w:color w:val="auto"/>
              </w:rPr>
            </w:pPr>
            <w:r>
              <w:rPr>
                <w:rFonts w:ascii="Arial" w:cs="Arial" w:eastAsia="Arial" w:hAnsi="Arial"/>
                <w:sz w:val="16"/>
                <w:szCs w:val="16"/>
                <w:color w:val="0000FF"/>
              </w:rPr>
              <w:t>pursuant to Section 906 of the Sarbanes-Oxley Act of 2002</w:t>
            </w:r>
          </w:p>
        </w:tc>
        <w:tc>
          <w:tcPr>
            <w:tcW w:w="2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CCEEFF"/>
            </w:tcBorders>
            <w:shd w:val="clear" w:color="auto" w:fill="CCEEFF"/>
          </w:tcPr>
          <w:p>
            <w:pPr>
              <w:spacing w:after="0"/>
              <w:rPr>
                <w:sz w:val="14"/>
                <w:szCs w:val="14"/>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3820" w:type="dxa"/>
            <w:vAlign w:val="bottom"/>
            <w:tcBorders>
              <w:top w:val="single" w:sz="8" w:color="0000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1800" w:type="dxa"/>
            <w:vAlign w:val="bottom"/>
            <w:tcBorders>
              <w:top w:val="single" w:sz="8" w:color="CCEEFF"/>
            </w:tcBorders>
            <w:shd w:val="clear" w:color="auto" w:fill="CCEEFF"/>
          </w:tcPr>
          <w:p>
            <w:pPr>
              <w:spacing w:after="0"/>
              <w:rPr>
                <w:sz w:val="3"/>
                <w:szCs w:val="3"/>
                <w:color w:val="auto"/>
              </w:rPr>
            </w:pPr>
          </w:p>
        </w:tc>
      </w:tr>
      <w:tr>
        <w:trPr>
          <w:trHeight w:val="182"/>
        </w:trPr>
        <w:tc>
          <w:tcPr>
            <w:tcW w:w="20" w:type="dxa"/>
            <w:vAlign w:val="bottom"/>
          </w:tcPr>
          <w:p>
            <w:pPr>
              <w:spacing w:after="0"/>
              <w:rPr>
                <w:sz w:val="15"/>
                <w:szCs w:val="15"/>
                <w:color w:val="auto"/>
              </w:rPr>
            </w:pPr>
          </w:p>
        </w:tc>
        <w:tc>
          <w:tcPr>
            <w:tcW w:w="1140" w:type="dxa"/>
            <w:vAlign w:val="bottom"/>
            <w:gridSpan w:val="3"/>
          </w:tcPr>
          <w:p>
            <w:pPr>
              <w:spacing w:after="0" w:line="182" w:lineRule="exact"/>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2</w:t>
            </w:r>
            <w:r>
              <w:rPr>
                <w:rFonts w:ascii="Arial" w:cs="Arial" w:eastAsia="Arial" w:hAnsi="Arial"/>
                <w:sz w:val="16"/>
                <w:szCs w:val="16"/>
                <w:color w:val="000000"/>
              </w:rPr>
              <w:t>*</w:t>
            </w:r>
          </w:p>
        </w:tc>
        <w:tc>
          <w:tcPr>
            <w:tcW w:w="6220" w:type="dxa"/>
            <w:vAlign w:val="bottom"/>
            <w:gridSpan w:val="9"/>
          </w:tcPr>
          <w:p>
            <w:pPr>
              <w:spacing w:after="0" w:line="182" w:lineRule="exact"/>
              <w:rPr>
                <w:sz w:val="20"/>
                <w:szCs w:val="20"/>
                <w:color w:val="auto"/>
              </w:rPr>
            </w:pPr>
            <w:r>
              <w:rPr>
                <w:rFonts w:ascii="Arial" w:cs="Arial" w:eastAsia="Arial" w:hAnsi="Arial"/>
                <w:sz w:val="16"/>
                <w:szCs w:val="16"/>
                <w:color w:val="0000FF"/>
              </w:rPr>
              <w:t>Certification of Chief Financial Officer pursuant to 18 U.S.C. Section 1350, as adopted</w:t>
            </w: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0" w:type="dxa"/>
            <w:vAlign w:val="bottom"/>
          </w:tcPr>
          <w:p>
            <w:pPr>
              <w:jc w:val="center"/>
              <w:spacing w:after="0" w:line="182" w:lineRule="exact"/>
              <w:rPr>
                <w:sz w:val="20"/>
                <w:szCs w:val="20"/>
                <w:color w:val="auto"/>
              </w:rPr>
            </w:pPr>
            <w:r>
              <w:rPr>
                <w:rFonts w:ascii="Arial" w:cs="Arial" w:eastAsia="Arial" w:hAnsi="Arial"/>
                <w:sz w:val="16"/>
                <w:szCs w:val="16"/>
                <w:color w:val="auto"/>
                <w:w w:val="98"/>
              </w:rPr>
              <w:t>Furnished herewith</w:t>
            </w:r>
          </w:p>
        </w:tc>
      </w:tr>
      <w:tr>
        <w:trPr>
          <w:trHeight w:val="162"/>
        </w:trPr>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40" w:type="dxa"/>
            <w:vAlign w:val="bottom"/>
          </w:tcPr>
          <w:p>
            <w:pPr>
              <w:spacing w:after="0"/>
              <w:rPr>
                <w:sz w:val="14"/>
                <w:szCs w:val="14"/>
                <w:color w:val="auto"/>
              </w:rPr>
            </w:pPr>
          </w:p>
        </w:tc>
        <w:tc>
          <w:tcPr>
            <w:tcW w:w="5940" w:type="dxa"/>
            <w:vAlign w:val="bottom"/>
            <w:tcBorders>
              <w:top w:val="single" w:sz="8" w:color="0000FF"/>
            </w:tcBorders>
            <w:gridSpan w:val="7"/>
          </w:tcPr>
          <w:p>
            <w:pPr>
              <w:spacing w:after="0" w:line="162" w:lineRule="exact"/>
              <w:rPr>
                <w:sz w:val="20"/>
                <w:szCs w:val="20"/>
                <w:color w:val="auto"/>
              </w:rPr>
            </w:pPr>
            <w:r>
              <w:rPr>
                <w:rFonts w:ascii="Arial" w:cs="Arial" w:eastAsia="Arial" w:hAnsi="Arial"/>
                <w:sz w:val="16"/>
                <w:szCs w:val="16"/>
                <w:color w:val="0000FF"/>
              </w:rPr>
              <w:t>pursuant to Section 906 of the Sarbanes-Oxley Act of 2002</w:t>
            </w:r>
          </w:p>
        </w:tc>
        <w:tc>
          <w:tcPr>
            <w:tcW w:w="2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45"/>
        </w:trPr>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3820" w:type="dxa"/>
            <w:vAlign w:val="bottom"/>
            <w:tcBorders>
              <w:top w:val="single" w:sz="8" w:color="0000FF"/>
            </w:tcBorders>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196"/>
        </w:trPr>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101.INS</w:t>
            </w:r>
          </w:p>
        </w:tc>
        <w:tc>
          <w:tcPr>
            <w:tcW w:w="6220" w:type="dxa"/>
            <w:vAlign w:val="bottom"/>
            <w:gridSpan w:val="9"/>
            <w:shd w:val="clear" w:color="auto" w:fill="CCEEFF"/>
          </w:tcPr>
          <w:p>
            <w:pPr>
              <w:spacing w:after="0"/>
              <w:rPr>
                <w:sz w:val="20"/>
                <w:szCs w:val="20"/>
                <w:color w:val="auto"/>
              </w:rPr>
            </w:pPr>
            <w:r>
              <w:rPr>
                <w:rFonts w:ascii="Arial" w:cs="Arial" w:eastAsia="Arial" w:hAnsi="Arial"/>
                <w:sz w:val="16"/>
                <w:szCs w:val="16"/>
                <w:color w:val="auto"/>
                <w:w w:val="97"/>
              </w:rPr>
              <w:t>XBRL Instance Document (the instance document does not appear in the Interactive Data</w:t>
            </w:r>
          </w:p>
        </w:tc>
        <w:tc>
          <w:tcPr>
            <w:tcW w:w="7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Filed herewith</w:t>
            </w: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62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auto"/>
              </w:rPr>
              <w:t>File because its XBRL tags are embedded within the Inline XBRL document)</w:t>
            </w:r>
          </w:p>
        </w:tc>
        <w:tc>
          <w:tcPr>
            <w:tcW w:w="7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6"/>
                <w:szCs w:val="16"/>
                <w:color w:val="auto"/>
              </w:rPr>
              <w:t>101.SCH</w:t>
            </w:r>
          </w:p>
        </w:tc>
        <w:tc>
          <w:tcPr>
            <w:tcW w:w="622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42"/>
        </w:trPr>
        <w:tc>
          <w:tcPr>
            <w:tcW w:w="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101.CAL</w:t>
            </w:r>
          </w:p>
        </w:tc>
        <w:tc>
          <w:tcPr>
            <w:tcW w:w="6220" w:type="dxa"/>
            <w:vAlign w:val="bottom"/>
            <w:gridSpan w:val="9"/>
            <w:shd w:val="clear" w:color="auto" w:fill="CCEEFF"/>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7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Filed herewith</w:t>
            </w:r>
          </w:p>
        </w:tc>
      </w:tr>
      <w:tr>
        <w:trPr>
          <w:trHeight w:val="227"/>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6"/>
                <w:szCs w:val="16"/>
                <w:color w:val="auto"/>
              </w:rPr>
              <w:t>101.DEF</w:t>
            </w:r>
          </w:p>
        </w:tc>
        <w:tc>
          <w:tcPr>
            <w:tcW w:w="622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42"/>
        </w:trPr>
        <w:tc>
          <w:tcPr>
            <w:tcW w:w="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101.LAB</w:t>
            </w:r>
          </w:p>
        </w:tc>
        <w:tc>
          <w:tcPr>
            <w:tcW w:w="6220" w:type="dxa"/>
            <w:vAlign w:val="bottom"/>
            <w:gridSpan w:val="9"/>
            <w:shd w:val="clear" w:color="auto" w:fill="CCEEFF"/>
          </w:tcPr>
          <w:p>
            <w:pPr>
              <w:spacing w:after="0"/>
              <w:rPr>
                <w:sz w:val="20"/>
                <w:szCs w:val="20"/>
                <w:color w:val="auto"/>
              </w:rPr>
            </w:pPr>
            <w:r>
              <w:rPr>
                <w:rFonts w:ascii="Arial" w:cs="Arial" w:eastAsia="Arial" w:hAnsi="Arial"/>
                <w:sz w:val="16"/>
                <w:szCs w:val="16"/>
                <w:color w:val="auto"/>
              </w:rPr>
              <w:t>Inline XBRL Taxonomy Extension Labels Linkbase Document</w:t>
            </w:r>
          </w:p>
        </w:tc>
        <w:tc>
          <w:tcPr>
            <w:tcW w:w="7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Filed herewith</w:t>
            </w:r>
          </w:p>
        </w:tc>
      </w:tr>
      <w:tr>
        <w:trPr>
          <w:trHeight w:val="227"/>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6"/>
                <w:szCs w:val="16"/>
                <w:color w:val="auto"/>
              </w:rPr>
              <w:t>101.PRE</w:t>
            </w:r>
          </w:p>
        </w:tc>
        <w:tc>
          <w:tcPr>
            <w:tcW w:w="622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42"/>
        </w:trPr>
        <w:tc>
          <w:tcPr>
            <w:tcW w:w="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104</w:t>
            </w:r>
          </w:p>
        </w:tc>
        <w:tc>
          <w:tcPr>
            <w:tcW w:w="840" w:type="dxa"/>
            <w:vAlign w:val="bottom"/>
            <w:shd w:val="clear" w:color="auto" w:fill="CCEEFF"/>
          </w:tcPr>
          <w:p>
            <w:pPr>
              <w:spacing w:after="0"/>
              <w:rPr>
                <w:sz w:val="21"/>
                <w:szCs w:val="21"/>
                <w:color w:val="auto"/>
              </w:rPr>
            </w:pPr>
          </w:p>
        </w:tc>
        <w:tc>
          <w:tcPr>
            <w:tcW w:w="6220" w:type="dxa"/>
            <w:vAlign w:val="bottom"/>
            <w:gridSpan w:val="9"/>
            <w:shd w:val="clear" w:color="auto" w:fill="CCEEFF"/>
          </w:tcPr>
          <w:p>
            <w:pPr>
              <w:spacing w:after="0"/>
              <w:rPr>
                <w:sz w:val="20"/>
                <w:szCs w:val="20"/>
                <w:color w:val="auto"/>
              </w:rPr>
            </w:pPr>
            <w:r>
              <w:rPr>
                <w:rFonts w:ascii="Arial" w:cs="Arial" w:eastAsia="Arial" w:hAnsi="Arial"/>
                <w:sz w:val="16"/>
                <w:szCs w:val="16"/>
                <w:color w:val="auto"/>
              </w:rPr>
              <w:t>Cover Page Interactive File (formatted as inline XBRL and contained in Exhibit 101)</w:t>
            </w:r>
          </w:p>
        </w:tc>
        <w:tc>
          <w:tcPr>
            <w:tcW w:w="7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Filed herewith</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pacing w:after="0" w:line="98" w:lineRule="exact"/>
        <w:rPr>
          <w:sz w:val="20"/>
          <w:szCs w:val="20"/>
          <w:color w:val="auto"/>
        </w:rPr>
      </w:pPr>
    </w:p>
    <w:p>
      <w:pPr>
        <w:jc w:val="both"/>
        <w:ind w:left="320" w:hanging="316"/>
        <w:spacing w:after="0" w:line="269" w:lineRule="auto"/>
        <w:tabs>
          <w:tab w:leader="none" w:pos="30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119" w:lineRule="exact"/>
        <w:rPr>
          <w:sz w:val="20"/>
          <w:szCs w:val="20"/>
          <w:color w:val="auto"/>
        </w:rPr>
      </w:pPr>
    </w:p>
    <w:p>
      <w:pPr>
        <w:ind w:firstLine="312"/>
        <w:spacing w:after="0" w:line="29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327" w:lineRule="exact"/>
        <w:rPr>
          <w:sz w:val="20"/>
          <w:szCs w:val="20"/>
          <w:color w:val="auto"/>
        </w:rPr>
      </w:pPr>
    </w:p>
    <w:p>
      <w:pPr>
        <w:ind w:left="20"/>
        <w:spacing w:after="0"/>
        <w:tabs>
          <w:tab w:leader="none" w:pos="5560" w:val="left"/>
          <w:tab w:leader="none" w:pos="7660" w:val="left"/>
          <w:tab w:leader="none" w:pos="8140" w:val="left"/>
        </w:tabs>
        <w:rPr>
          <w:sz w:val="20"/>
          <w:szCs w:val="20"/>
          <w:color w:val="auto"/>
        </w:rPr>
      </w:pPr>
      <w:r>
        <w:rPr>
          <w:rFonts w:ascii="Arial" w:cs="Arial" w:eastAsia="Arial" w:hAnsi="Arial"/>
          <w:sz w:val="17"/>
          <w:szCs w:val="17"/>
          <w:color w:val="auto"/>
        </w:rPr>
        <w:t>Date: May 9,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7"/>
          <w:szCs w:val="17"/>
          <w:color w:val="auto"/>
        </w:rPr>
        <w:t>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35560</wp:posOffset>
            </wp:positionV>
            <wp:extent cx="33210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321050" cy="8255"/>
                    </a:xfrm>
                    <a:prstGeom prst="rect">
                      <a:avLst/>
                    </a:prstGeom>
                    <a:noFill/>
                  </pic:spPr>
                </pic:pic>
              </a:graphicData>
            </a:graphic>
          </wp:anchor>
        </w:drawing>
      </w:r>
    </w:p>
    <w:p>
      <w:pPr>
        <w:spacing w:after="0" w:line="5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Christian O. Henry</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President and Chief Executive Officer</w:t>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5560" w:val="left"/>
          <w:tab w:leader="none" w:pos="7840" w:val="left"/>
          <w:tab w:leader="none" w:pos="8320" w:val="left"/>
        </w:tabs>
        <w:rPr>
          <w:sz w:val="20"/>
          <w:szCs w:val="20"/>
          <w:color w:val="auto"/>
        </w:rPr>
      </w:pPr>
      <w:r>
        <w:rPr>
          <w:rFonts w:ascii="Arial" w:cs="Arial" w:eastAsia="Arial" w:hAnsi="Arial"/>
          <w:sz w:val="17"/>
          <w:szCs w:val="17"/>
          <w:color w:val="auto"/>
        </w:rPr>
        <w:t>Date: May 9,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7"/>
          <w:szCs w:val="17"/>
          <w:color w:val="auto"/>
        </w:rPr>
        <w:t>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35560</wp:posOffset>
            </wp:positionV>
            <wp:extent cx="33210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321050" cy="8255"/>
                    </a:xfrm>
                    <a:prstGeom prst="rect">
                      <a:avLst/>
                    </a:prstGeom>
                    <a:noFill/>
                  </pic:spPr>
                </pic:pic>
              </a:graphicData>
            </a:graphic>
          </wp:anchor>
        </w:drawing>
      </w:r>
    </w:p>
    <w:p>
      <w:pPr>
        <w:spacing w:after="0" w:line="5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Susan G. Kim</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Chief Financial Officer</w:t>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5560" w:val="left"/>
          <w:tab w:leader="none" w:pos="7780" w:val="left"/>
          <w:tab w:leader="none" w:pos="8240" w:val="left"/>
        </w:tabs>
        <w:rPr>
          <w:sz w:val="20"/>
          <w:szCs w:val="20"/>
          <w:color w:val="auto"/>
        </w:rPr>
      </w:pPr>
      <w:r>
        <w:rPr>
          <w:rFonts w:ascii="Arial" w:cs="Arial" w:eastAsia="Arial" w:hAnsi="Arial"/>
          <w:sz w:val="17"/>
          <w:szCs w:val="17"/>
          <w:color w:val="auto"/>
        </w:rPr>
        <w:t>Date: May 9,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7"/>
          <w:szCs w:val="17"/>
          <w:color w:val="auto"/>
        </w:rPr>
        <w:t>Michele Farmer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35560</wp:posOffset>
            </wp:positionV>
            <wp:extent cx="33210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321050" cy="8255"/>
                    </a:xfrm>
                    <a:prstGeom prst="rect">
                      <a:avLst/>
                    </a:prstGeom>
                    <a:noFill/>
                  </pic:spPr>
                </pic:pic>
              </a:graphicData>
            </a:graphic>
          </wp:anchor>
        </w:drawing>
      </w:r>
    </w:p>
    <w:p>
      <w:pPr>
        <w:spacing w:after="0" w:line="5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Michele Farmer</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Vice President and Chief Accounting Officer</w:t>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7"/>
          <w:szCs w:val="17"/>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1240"/>
          </w:cols>
          <w:pgMar w:left="320" w:top="122"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108" w:lineRule="exact"/>
        <w:rPr>
          <w:sz w:val="20"/>
          <w:szCs w:val="20"/>
          <w:color w:val="auto"/>
        </w:rPr>
      </w:pPr>
    </w:p>
    <w:p>
      <w:pPr>
        <w:jc w:val="center"/>
        <w:ind w:left="340" w:right="2000"/>
        <w:spacing w:after="0" w:line="275"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SECURITIES EXCHANGE ACT RULES 13a-14(a) AND 15d-14(a), 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Christian Henry, certify that:</w:t>
      </w:r>
    </w:p>
    <w:p>
      <w:pPr>
        <w:spacing w:after="0" w:line="117" w:lineRule="exact"/>
        <w:rPr>
          <w:sz w:val="20"/>
          <w:szCs w:val="20"/>
          <w:color w:val="auto"/>
        </w:rPr>
      </w:pPr>
    </w:p>
    <w:p>
      <w:pPr>
        <w:ind w:left="620" w:hanging="226"/>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Pacific Biosciences of California, Inc.;</w:t>
      </w:r>
    </w:p>
    <w:p>
      <w:pPr>
        <w:spacing w:after="0" w:line="116" w:lineRule="exact"/>
        <w:rPr>
          <w:rFonts w:ascii="Times New Roman" w:cs="Times New Roman" w:eastAsia="Times New Roman" w:hAnsi="Times New Roman"/>
          <w:sz w:val="17"/>
          <w:szCs w:val="17"/>
          <w:color w:val="auto"/>
        </w:rPr>
      </w:pPr>
    </w:p>
    <w:p>
      <w:pPr>
        <w:ind w:right="520" w:firstLine="394"/>
        <w:spacing w:after="0" w:line="293" w:lineRule="auto"/>
        <w:tabs>
          <w:tab w:leader="none" w:pos="62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7"/>
          <w:szCs w:val="17"/>
          <w:color w:val="auto"/>
        </w:rPr>
      </w:pPr>
    </w:p>
    <w:p>
      <w:pPr>
        <w:ind w:right="500" w:firstLine="394"/>
        <w:spacing w:after="0" w:line="293" w:lineRule="auto"/>
        <w:tabs>
          <w:tab w:leader="none" w:pos="62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7"/>
          <w:szCs w:val="17"/>
          <w:color w:val="auto"/>
        </w:rPr>
      </w:pPr>
    </w:p>
    <w:p>
      <w:pPr>
        <w:ind w:right="240" w:firstLine="394"/>
        <w:spacing w:after="0" w:line="274" w:lineRule="auto"/>
        <w:tabs>
          <w:tab w:leader="none" w:pos="62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right="40" w:firstLine="394"/>
        <w:spacing w:after="0" w:line="274"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7"/>
          <w:szCs w:val="17"/>
          <w:color w:val="auto"/>
        </w:rPr>
      </w:pPr>
    </w:p>
    <w:p>
      <w:pPr>
        <w:jc w:val="both"/>
        <w:ind w:right="100" w:firstLine="394"/>
        <w:spacing w:after="0" w:line="274" w:lineRule="auto"/>
        <w:tabs>
          <w:tab w:leader="none" w:pos="61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7"/>
          <w:szCs w:val="17"/>
          <w:color w:val="auto"/>
        </w:rPr>
      </w:pPr>
    </w:p>
    <w:p>
      <w:pPr>
        <w:ind w:right="140" w:firstLine="394"/>
        <w:spacing w:after="0" w:line="293"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right="360" w:firstLine="394"/>
        <w:spacing w:after="0" w:line="274" w:lineRule="auto"/>
        <w:tabs>
          <w:tab w:leader="none" w:pos="61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240" w:firstLine="394"/>
        <w:spacing w:after="0" w:line="293" w:lineRule="auto"/>
        <w:tabs>
          <w:tab w:leader="none" w:pos="62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sz w:val="20"/>
          <w:szCs w:val="20"/>
          <w:color w:val="auto"/>
        </w:rPr>
      </w:pPr>
    </w:p>
    <w:p>
      <w:pPr>
        <w:ind w:right="80" w:firstLine="394"/>
        <w:spacing w:after="0" w:line="293"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7"/>
          <w:szCs w:val="17"/>
          <w:color w:val="auto"/>
        </w:rPr>
      </w:pPr>
    </w:p>
    <w:p>
      <w:pPr>
        <w:ind w:right="300" w:firstLine="394"/>
        <w:spacing w:after="0" w:line="293" w:lineRule="auto"/>
        <w:tabs>
          <w:tab w:leader="none" w:pos="61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20"/>
        <w:spacing w:after="0"/>
        <w:tabs>
          <w:tab w:leader="none" w:pos="5180" w:val="left"/>
          <w:tab w:leader="none" w:pos="7520" w:val="left"/>
        </w:tabs>
        <w:rPr>
          <w:sz w:val="20"/>
          <w:szCs w:val="20"/>
          <w:color w:val="auto"/>
        </w:rPr>
      </w:pPr>
      <w:r>
        <w:rPr>
          <w:rFonts w:ascii="Times New Roman" w:cs="Times New Roman" w:eastAsia="Times New Roman" w:hAnsi="Times New Roman"/>
          <w:sz w:val="17"/>
          <w:szCs w:val="17"/>
          <w:color w:val="auto"/>
        </w:rPr>
        <w:t>Date: May 9,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19685</wp:posOffset>
            </wp:positionV>
            <wp:extent cx="34944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494405" cy="8255"/>
                    </a:xfrm>
                    <a:prstGeom prst="rect">
                      <a:avLst/>
                    </a:prstGeom>
                    <a:noFill/>
                  </pic:spPr>
                </pic:pic>
              </a:graphicData>
            </a:graphic>
          </wp:anchor>
        </w:drawing>
      </w:r>
    </w:p>
    <w:p>
      <w:pPr>
        <w:spacing w:after="0" w:line="32"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7"/>
          <w:szCs w:val="17"/>
          <w:color w:val="auto"/>
        </w:rPr>
        <w:t>Christian O. Henry</w:t>
      </w:r>
    </w:p>
    <w:p>
      <w:pPr>
        <w:spacing w:after="0" w:line="31"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3"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10"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108" w:lineRule="exact"/>
        <w:rPr>
          <w:sz w:val="20"/>
          <w:szCs w:val="20"/>
          <w:color w:val="auto"/>
        </w:rPr>
      </w:pPr>
    </w:p>
    <w:p>
      <w:pPr>
        <w:jc w:val="center"/>
        <w:ind w:left="340" w:right="2000"/>
        <w:spacing w:after="0" w:line="275" w:lineRule="auto"/>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SECURITIES EXCHANGE ACT RULES 13a-14(a) AND 15d-14(a), 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Susan Kim, certify that:</w:t>
      </w:r>
    </w:p>
    <w:p>
      <w:pPr>
        <w:spacing w:after="0" w:line="117" w:lineRule="exact"/>
        <w:rPr>
          <w:sz w:val="20"/>
          <w:szCs w:val="20"/>
          <w:color w:val="auto"/>
        </w:rPr>
      </w:pPr>
    </w:p>
    <w:p>
      <w:pPr>
        <w:ind w:left="620" w:hanging="226"/>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Pacific Biosciences of California, Inc.;</w:t>
      </w:r>
    </w:p>
    <w:p>
      <w:pPr>
        <w:spacing w:after="0" w:line="116" w:lineRule="exact"/>
        <w:rPr>
          <w:rFonts w:ascii="Times New Roman" w:cs="Times New Roman" w:eastAsia="Times New Roman" w:hAnsi="Times New Roman"/>
          <w:sz w:val="17"/>
          <w:szCs w:val="17"/>
          <w:color w:val="auto"/>
        </w:rPr>
      </w:pPr>
    </w:p>
    <w:p>
      <w:pPr>
        <w:ind w:right="520" w:firstLine="394"/>
        <w:spacing w:after="0" w:line="293" w:lineRule="auto"/>
        <w:tabs>
          <w:tab w:leader="none" w:pos="62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7"/>
          <w:szCs w:val="17"/>
          <w:color w:val="auto"/>
        </w:rPr>
      </w:pPr>
    </w:p>
    <w:p>
      <w:pPr>
        <w:ind w:right="500" w:firstLine="394"/>
        <w:spacing w:after="0" w:line="293" w:lineRule="auto"/>
        <w:tabs>
          <w:tab w:leader="none" w:pos="62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7"/>
          <w:szCs w:val="17"/>
          <w:color w:val="auto"/>
        </w:rPr>
      </w:pPr>
    </w:p>
    <w:p>
      <w:pPr>
        <w:ind w:right="240" w:firstLine="394"/>
        <w:spacing w:after="0" w:line="274" w:lineRule="auto"/>
        <w:tabs>
          <w:tab w:leader="none" w:pos="62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right="40" w:firstLine="394"/>
        <w:spacing w:after="0" w:line="274"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7"/>
          <w:szCs w:val="17"/>
          <w:color w:val="auto"/>
        </w:rPr>
      </w:pPr>
    </w:p>
    <w:p>
      <w:pPr>
        <w:jc w:val="both"/>
        <w:ind w:right="100" w:firstLine="394"/>
        <w:spacing w:after="0" w:line="274" w:lineRule="auto"/>
        <w:tabs>
          <w:tab w:leader="none" w:pos="61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7"/>
          <w:szCs w:val="17"/>
          <w:color w:val="auto"/>
        </w:rPr>
      </w:pPr>
    </w:p>
    <w:p>
      <w:pPr>
        <w:ind w:right="140" w:firstLine="394"/>
        <w:spacing w:after="0" w:line="293"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right="360" w:firstLine="394"/>
        <w:spacing w:after="0" w:line="274" w:lineRule="auto"/>
        <w:tabs>
          <w:tab w:leader="none" w:pos="61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240" w:firstLine="394"/>
        <w:spacing w:after="0" w:line="293" w:lineRule="auto"/>
        <w:tabs>
          <w:tab w:leader="none" w:pos="62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sz w:val="20"/>
          <w:szCs w:val="20"/>
          <w:color w:val="auto"/>
        </w:rPr>
      </w:pPr>
    </w:p>
    <w:p>
      <w:pPr>
        <w:ind w:right="80" w:firstLine="394"/>
        <w:spacing w:after="0" w:line="293"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7"/>
          <w:szCs w:val="17"/>
          <w:color w:val="auto"/>
        </w:rPr>
      </w:pPr>
    </w:p>
    <w:p>
      <w:pPr>
        <w:ind w:right="300" w:firstLine="394"/>
        <w:spacing w:after="0" w:line="293" w:lineRule="auto"/>
        <w:tabs>
          <w:tab w:leader="none" w:pos="613"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20"/>
        <w:spacing w:after="0"/>
        <w:tabs>
          <w:tab w:leader="none" w:pos="5720" w:val="left"/>
          <w:tab w:leader="none" w:pos="8320" w:val="left"/>
        </w:tabs>
        <w:rPr>
          <w:sz w:val="20"/>
          <w:szCs w:val="20"/>
          <w:color w:val="auto"/>
        </w:rPr>
      </w:pPr>
      <w:r>
        <w:rPr>
          <w:rFonts w:ascii="Times New Roman" w:cs="Times New Roman" w:eastAsia="Times New Roman" w:hAnsi="Times New Roman"/>
          <w:sz w:val="17"/>
          <w:szCs w:val="17"/>
          <w:color w:val="auto"/>
        </w:rPr>
        <w:t>Date: May 9,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19685</wp:posOffset>
            </wp:positionV>
            <wp:extent cx="33077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307715" cy="8255"/>
                    </a:xfrm>
                    <a:prstGeom prst="rect">
                      <a:avLst/>
                    </a:prstGeom>
                    <a:noFill/>
                  </pic:spPr>
                </pic:pic>
              </a:graphicData>
            </a:graphic>
          </wp:anchor>
        </w:drawing>
      </w:r>
    </w:p>
    <w:p>
      <w:pPr>
        <w:spacing w:after="0" w:line="32"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7"/>
          <w:szCs w:val="17"/>
          <w:color w:val="auto"/>
        </w:rPr>
        <w:t>Susan G. Kim</w:t>
      </w:r>
    </w:p>
    <w:p>
      <w:pPr>
        <w:spacing w:after="0" w:line="3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902"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Furnished Pursuant to 18 U.S.C. Section 1350,</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7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In connection with the Quarterly Report of Pacific Biosciences of California, Inc. (the “Company”) on Form 10-Q for the period ended March 31, 2024,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w:t>
      </w:r>
    </w:p>
    <w:p>
      <w:pPr>
        <w:spacing w:after="0" w:line="340" w:lineRule="exact"/>
        <w:rPr>
          <w:sz w:val="20"/>
          <w:szCs w:val="20"/>
          <w:color w:val="auto"/>
        </w:rPr>
      </w:pPr>
    </w:p>
    <w:p>
      <w:pPr>
        <w:ind w:left="620" w:right="520" w:hanging="304"/>
        <w:spacing w:after="0" w:line="293" w:lineRule="auto"/>
        <w:tabs>
          <w:tab w:leader="none" w:pos="61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of the Company on Form 10-Q for the period ended March 31, 2024 (the “Report”), fully complies with the requirements of section 13(a) or 15(d) of the Securities Exchange Act of 1934, and</w:t>
      </w:r>
    </w:p>
    <w:p>
      <w:pPr>
        <w:spacing w:after="0" w:line="10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5040" w:val="left"/>
          <w:tab w:leader="none" w:pos="7500" w:val="left"/>
        </w:tabs>
        <w:rPr>
          <w:sz w:val="20"/>
          <w:szCs w:val="20"/>
          <w:color w:val="auto"/>
        </w:rPr>
      </w:pPr>
      <w:r>
        <w:rPr>
          <w:rFonts w:ascii="Times New Roman" w:cs="Times New Roman" w:eastAsia="Times New Roman" w:hAnsi="Times New Roman"/>
          <w:sz w:val="17"/>
          <w:szCs w:val="17"/>
          <w:color w:val="auto"/>
        </w:rPr>
        <w:t>Date: May 9,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19685</wp:posOffset>
            </wp:positionV>
            <wp:extent cx="3568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Christian O. Henry</w:t>
      </w:r>
    </w:p>
    <w:p>
      <w:pPr>
        <w:spacing w:after="0" w:line="3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902"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CFO Furnished Pursuant to 18 U.S.C. Section 1350,</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76"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7"/>
          <w:szCs w:val="17"/>
          <w:color w:val="auto"/>
        </w:rPr>
        <w:t>In connection with the Quarterly Report of Pacific Biosciences of California, Inc. (the “Company”) on Form 10-Q for the period ended March 31, 2024, as filed with the Securities and Exchange Commission on the date hereof, I, Susan Kim, Chief Financial Officer of the Company, certify for the purposes of section 1350 of chapter 63 of title 18 of the United States Code, as adopted pursuant to Section 906 of the Sarbanes-Oxley Act of 2002, that, to the best of my knowledge,</w:t>
      </w:r>
    </w:p>
    <w:p>
      <w:pPr>
        <w:spacing w:after="0" w:line="124" w:lineRule="exact"/>
        <w:rPr>
          <w:sz w:val="20"/>
          <w:szCs w:val="20"/>
          <w:color w:val="auto"/>
        </w:rPr>
      </w:pPr>
    </w:p>
    <w:p>
      <w:pPr>
        <w:ind w:left="620" w:right="520" w:hanging="304"/>
        <w:spacing w:after="0" w:line="293" w:lineRule="auto"/>
        <w:tabs>
          <w:tab w:leader="none" w:pos="61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of the Company on Form 10-Q for the period ended March 31, 2024 (the “Report”), fully complies with the requirements of section 13(a) or 15(d) of the Securities Exchange Act of 1934, and</w:t>
      </w:r>
    </w:p>
    <w:p>
      <w:pPr>
        <w:spacing w:after="0" w:line="10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left="20"/>
        <w:spacing w:after="0"/>
        <w:tabs>
          <w:tab w:leader="none" w:pos="5220" w:val="left"/>
          <w:tab w:leader="none" w:pos="7820" w:val="left"/>
        </w:tabs>
        <w:rPr>
          <w:sz w:val="20"/>
          <w:szCs w:val="20"/>
          <w:color w:val="auto"/>
        </w:rPr>
      </w:pPr>
      <w:r>
        <w:rPr>
          <w:rFonts w:ascii="Times New Roman" w:cs="Times New Roman" w:eastAsia="Times New Roman" w:hAnsi="Times New Roman"/>
          <w:sz w:val="17"/>
          <w:szCs w:val="17"/>
          <w:color w:val="auto"/>
        </w:rPr>
        <w:t>Date: May 9,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19685</wp:posOffset>
            </wp:positionV>
            <wp:extent cx="3568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3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Susan G. Kim</w:t>
      </w:r>
    </w:p>
    <w:p>
      <w:pPr>
        <w:spacing w:after="0" w:line="3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Roman"/>
      <w:start w:val="1"/>
    </w:lvl>
  </w:abstractNum>
  <w:abstractNum w:abstractNumId="40">
    <w:nsid w:val="153EA43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02" Type="http://schemas.openxmlformats.org/officeDocument/2006/relationships/hyperlink" Target="https://www.sec.gov/Archives/edgar/data/1299130/000119312511075269/dex31.htm" TargetMode="External"/><Relationship Id="rId103" Type="http://schemas.openxmlformats.org/officeDocument/2006/relationships/hyperlink" Target="https://www.sec.gov/Archives/edgar/data/1299130/000129913022000128/pacb-20221103x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2024-05-09T16:03:07Z</dcterms:created>
  <dcterms:modified xsi:type="dcterms:W3CDTF">2024-05-09T16:03:07Z</dcterms:modified>
</cp:coreProperties>
</file>