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234" w:lineRule="auto"/>
        <w:rPr>
          <w:sz w:val="20"/>
          <w:szCs w:val="20"/>
          <w:color w:val="auto"/>
        </w:rPr>
      </w:pPr>
      <w:r>
        <w:rPr>
          <w:rFonts w:ascii="Arial" w:cs="Arial" w:eastAsia="Arial" w:hAnsi="Arial"/>
          <w:sz w:val="25"/>
          <w:szCs w:val="25"/>
          <w:b w:val="1"/>
          <w:bCs w:val="1"/>
          <w:color w:val="auto"/>
        </w:rPr>
        <w:t>SECURITIES AND EXCHANGE COMMISSION</w:t>
      </w: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105410</wp:posOffset>
            </wp:positionV>
            <wp:extent cx="2263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105410</wp:posOffset>
            </wp:positionV>
            <wp:extent cx="2263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80" w:right="1660" w:hanging="3872"/>
        <w:spacing w:after="0" w:line="415" w:lineRule="auto"/>
        <w:tabs>
          <w:tab w:leader="none" w:pos="44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317" w:lineRule="exact"/>
        <w:rPr>
          <w:sz w:val="24"/>
          <w:szCs w:val="24"/>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120015</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Pacific Biosciences of California, Inc.</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107315</wp:posOffset>
            </wp:positionV>
            <wp:extent cx="226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7"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840" w:type="dxa"/>
            <w:vAlign w:val="bottom"/>
          </w:tcPr>
          <w:p>
            <w:pPr>
              <w:jc w:val="center"/>
              <w:ind w:left="1708"/>
              <w:spacing w:after="0"/>
              <w:rPr>
                <w:sz w:val="20"/>
                <w:szCs w:val="20"/>
                <w:color w:val="auto"/>
              </w:rPr>
            </w:pPr>
            <w:r>
              <w:rPr>
                <w:rFonts w:ascii="Arial" w:cs="Arial" w:eastAsia="Arial" w:hAnsi="Arial"/>
                <w:sz w:val="14"/>
                <w:szCs w:val="14"/>
                <w:b w:val="1"/>
                <w:bCs w:val="1"/>
                <w:color w:val="auto"/>
                <w:w w:val="94"/>
              </w:rPr>
              <w:t>Delaware</w:t>
            </w:r>
          </w:p>
        </w:tc>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jc w:val="right"/>
              <w:ind w:right="2408"/>
              <w:spacing w:after="0"/>
              <w:rPr>
                <w:sz w:val="20"/>
                <w:szCs w:val="20"/>
                <w:color w:val="auto"/>
              </w:rPr>
            </w:pPr>
            <w:r>
              <w:rPr>
                <w:rFonts w:ascii="Arial" w:cs="Arial" w:eastAsia="Arial" w:hAnsi="Arial"/>
                <w:sz w:val="14"/>
                <w:szCs w:val="14"/>
                <w:b w:val="1"/>
                <w:bCs w:val="1"/>
                <w:color w:val="auto"/>
              </w:rPr>
              <w:t>16-1590339</w:t>
            </w:r>
          </w:p>
        </w:tc>
      </w:tr>
      <w:tr>
        <w:trPr>
          <w:trHeight w:val="148"/>
        </w:trPr>
        <w:tc>
          <w:tcPr>
            <w:tcW w:w="3840" w:type="dxa"/>
            <w:vAlign w:val="bottom"/>
          </w:tcPr>
          <w:p>
            <w:pPr>
              <w:jc w:val="center"/>
              <w:ind w:left="172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jc w:val="center"/>
              <w:ind w:right="17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4"/>
              </w:rPr>
              <w:t>incorporation or organization)</w:t>
            </w:r>
          </w:p>
        </w:tc>
        <w:tc>
          <w:tcPr>
            <w:tcW w:w="4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6"/>
              </w:rPr>
              <w:t>1305 O’Brien Drive</w:t>
            </w:r>
          </w:p>
        </w:tc>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62"/>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7"/>
              </w:rPr>
              <w:t>Menlo Park, CA</w:t>
            </w:r>
          </w:p>
        </w:tc>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jc w:val="right"/>
              <w:ind w:right="2568"/>
              <w:spacing w:after="0"/>
              <w:rPr>
                <w:sz w:val="20"/>
                <w:szCs w:val="20"/>
                <w:color w:val="auto"/>
              </w:rPr>
            </w:pPr>
            <w:r>
              <w:rPr>
                <w:rFonts w:ascii="Arial" w:cs="Arial" w:eastAsia="Arial" w:hAnsi="Arial"/>
                <w:sz w:val="14"/>
                <w:szCs w:val="14"/>
                <w:b w:val="1"/>
                <w:bCs w:val="1"/>
                <w:color w:val="auto"/>
              </w:rPr>
              <w:t>94025</w:t>
            </w:r>
          </w:p>
        </w:tc>
      </w:tr>
      <w:tr>
        <w:trPr>
          <w:trHeight w:val="186"/>
        </w:trPr>
        <w:tc>
          <w:tcPr>
            <w:tcW w:w="740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840" w:type="dxa"/>
            <w:vAlign w:val="bottom"/>
          </w:tcPr>
          <w:p>
            <w:pPr>
              <w:spacing w:after="0"/>
              <w:rPr>
                <w:sz w:val="23"/>
                <w:szCs w:val="23"/>
                <w:color w:val="auto"/>
              </w:rPr>
            </w:pPr>
          </w:p>
        </w:tc>
        <w:tc>
          <w:tcPr>
            <w:tcW w:w="320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(650) 521-8000</w:t>
            </w:r>
          </w:p>
        </w:tc>
        <w:tc>
          <w:tcPr>
            <w:tcW w:w="360" w:type="dxa"/>
            <w:vAlign w:val="bottom"/>
          </w:tcPr>
          <w:p>
            <w:pPr>
              <w:spacing w:after="0"/>
              <w:rPr>
                <w:sz w:val="23"/>
                <w:szCs w:val="23"/>
                <w:color w:val="auto"/>
              </w:rPr>
            </w:pPr>
          </w:p>
        </w:tc>
        <w:tc>
          <w:tcPr>
            <w:tcW w:w="3860" w:type="dxa"/>
            <w:vAlign w:val="bottom"/>
          </w:tcPr>
          <w:p>
            <w:pPr>
              <w:spacing w:after="0"/>
              <w:rPr>
                <w:sz w:val="23"/>
                <w:szCs w:val="23"/>
                <w:color w:val="auto"/>
              </w:rPr>
            </w:pPr>
          </w:p>
        </w:tc>
      </w:tr>
      <w:tr>
        <w:trPr>
          <w:trHeight w:val="186"/>
        </w:trPr>
        <w:tc>
          <w:tcPr>
            <w:tcW w:w="3840" w:type="dxa"/>
            <w:vAlign w:val="bottom"/>
          </w:tcPr>
          <w:p>
            <w:pPr>
              <w:spacing w:after="0"/>
              <w:rPr>
                <w:sz w:val="16"/>
                <w:szCs w:val="16"/>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860" w:type="dxa"/>
            <w:vAlign w:val="bottom"/>
          </w:tcPr>
          <w:p>
            <w:pPr>
              <w:spacing w:after="0"/>
              <w:rPr>
                <w:sz w:val="16"/>
                <w:szCs w:val="16"/>
                <w:color w:val="auto"/>
              </w:rPr>
            </w:pPr>
          </w:p>
        </w:tc>
      </w:tr>
      <w:tr>
        <w:trPr>
          <w:trHeight w:val="147"/>
        </w:trPr>
        <w:tc>
          <w:tcPr>
            <w:tcW w:w="38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r>
      <w:tr>
        <w:trPr>
          <w:trHeight w:val="265"/>
        </w:trPr>
        <w:tc>
          <w:tcPr>
            <w:tcW w:w="3840" w:type="dxa"/>
            <w:vAlign w:val="bottom"/>
          </w:tcPr>
          <w:p>
            <w:pPr>
              <w:spacing w:after="0"/>
              <w:rPr>
                <w:sz w:val="23"/>
                <w:szCs w:val="23"/>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860" w:type="dxa"/>
            <w:vAlign w:val="bottom"/>
          </w:tcPr>
          <w:p>
            <w:pPr>
              <w:spacing w:after="0"/>
              <w:rPr>
                <w:sz w:val="23"/>
                <w:szCs w:val="23"/>
                <w:color w:val="auto"/>
              </w:rPr>
            </w:pPr>
          </w:p>
        </w:tc>
      </w:tr>
      <w:tr>
        <w:trPr>
          <w:trHeight w:val="106"/>
        </w:trPr>
        <w:tc>
          <w:tcPr>
            <w:tcW w:w="38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179"/>
        </w:trPr>
        <w:tc>
          <w:tcPr>
            <w:tcW w:w="3840" w:type="dxa"/>
            <w:vAlign w:val="bottom"/>
            <w:tcBorders>
              <w:left w:val="single" w:sz="8" w:color="auto"/>
              <w:bottom w:val="single" w:sz="8" w:color="auto"/>
            </w:tcBorders>
          </w:tcPr>
          <w:p>
            <w:pPr>
              <w:jc w:val="center"/>
              <w:ind w:left="328"/>
              <w:spacing w:after="0"/>
              <w:rPr>
                <w:sz w:val="20"/>
                <w:szCs w:val="20"/>
                <w:color w:val="auto"/>
              </w:rPr>
            </w:pPr>
            <w:r>
              <w:rPr>
                <w:rFonts w:ascii="Arial" w:cs="Arial" w:eastAsia="Arial" w:hAnsi="Arial"/>
                <w:sz w:val="14"/>
                <w:szCs w:val="14"/>
                <w:color w:val="auto"/>
                <w:w w:val="92"/>
              </w:rPr>
              <w:t>Title of each class</w:t>
            </w:r>
          </w:p>
        </w:tc>
        <w:tc>
          <w:tcPr>
            <w:tcW w:w="42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6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ind w:right="308"/>
              <w:spacing w:after="0"/>
              <w:rPr>
                <w:sz w:val="20"/>
                <w:szCs w:val="20"/>
                <w:color w:val="auto"/>
              </w:rPr>
            </w:pPr>
            <w:r>
              <w:rPr>
                <w:rFonts w:ascii="Arial" w:cs="Arial" w:eastAsia="Arial" w:hAnsi="Arial"/>
                <w:sz w:val="14"/>
                <w:szCs w:val="14"/>
                <w:color w:val="auto"/>
                <w:w w:val="92"/>
              </w:rPr>
              <w:t>Name of each exchange on which registered</w:t>
            </w:r>
          </w:p>
        </w:tc>
      </w:tr>
      <w:tr>
        <w:trPr>
          <w:trHeight w:val="183"/>
        </w:trPr>
        <w:tc>
          <w:tcPr>
            <w:tcW w:w="3840" w:type="dxa"/>
            <w:vAlign w:val="bottom"/>
            <w:tcBorders>
              <w:left w:val="single" w:sz="8" w:color="auto"/>
              <w:bottom w:val="single" w:sz="8" w:color="auto"/>
            </w:tcBorders>
          </w:tcPr>
          <w:p>
            <w:pPr>
              <w:jc w:val="center"/>
              <w:ind w:left="348"/>
              <w:spacing w:after="0"/>
              <w:rPr>
                <w:sz w:val="20"/>
                <w:szCs w:val="20"/>
                <w:color w:val="auto"/>
              </w:rPr>
            </w:pPr>
            <w:r>
              <w:rPr>
                <w:rFonts w:ascii="Arial" w:cs="Arial" w:eastAsia="Arial" w:hAnsi="Arial"/>
                <w:sz w:val="14"/>
                <w:szCs w:val="14"/>
                <w:color w:val="auto"/>
                <w:w w:val="92"/>
              </w:rPr>
              <w:t>Common Stock, par value $0.001 per share</w:t>
            </w:r>
          </w:p>
        </w:tc>
        <w:tc>
          <w:tcPr>
            <w:tcW w:w="42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PACB</w:t>
            </w:r>
          </w:p>
        </w:tc>
        <w:tc>
          <w:tcPr>
            <w:tcW w:w="36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ind w:right="308"/>
              <w:spacing w:after="0"/>
              <w:rPr>
                <w:sz w:val="20"/>
                <w:szCs w:val="20"/>
                <w:color w:val="auto"/>
              </w:rPr>
            </w:pPr>
            <w:r>
              <w:rPr>
                <w:rFonts w:ascii="Arial" w:cs="Arial" w:eastAsia="Arial" w:hAnsi="Arial"/>
                <w:sz w:val="14"/>
                <w:szCs w:val="14"/>
                <w:color w:val="auto"/>
                <w:w w:val="98"/>
              </w:rPr>
              <w:t>The NASDAQ Stock Market LLC</w:t>
            </w:r>
          </w:p>
        </w:tc>
      </w:tr>
    </w:tbl>
    <w:p>
      <w:pPr>
        <w:spacing w:after="0" w:line="292" w:lineRule="exact"/>
        <w:rPr>
          <w:sz w:val="24"/>
          <w:szCs w:val="24"/>
          <w:color w:val="auto"/>
        </w:rPr>
      </w:pPr>
    </w:p>
    <w:p>
      <w:pPr>
        <w:ind w:right="200" w:firstLine="440"/>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98" w:lineRule="exact"/>
        <w:rPr>
          <w:sz w:val="24"/>
          <w:szCs w:val="24"/>
          <w:color w:val="auto"/>
        </w:rPr>
      </w:pPr>
    </w:p>
    <w:p>
      <w:pPr>
        <w:ind w:right="180" w:firstLine="44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T No o</w:t>
      </w:r>
    </w:p>
    <w:p>
      <w:pPr>
        <w:spacing w:after="0" w:line="120" w:lineRule="exact"/>
        <w:rPr>
          <w:sz w:val="24"/>
          <w:szCs w:val="24"/>
          <w:color w:val="auto"/>
        </w:rPr>
      </w:pPr>
    </w:p>
    <w:p>
      <w:pPr>
        <w:ind w:right="4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228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140" w:type="dxa"/>
            <w:vAlign w:val="bottom"/>
          </w:tcPr>
          <w:p>
            <w:pPr>
              <w:ind w:left="620"/>
              <w:spacing w:after="0"/>
              <w:rPr>
                <w:sz w:val="20"/>
                <w:szCs w:val="20"/>
                <w:color w:val="auto"/>
              </w:rPr>
            </w:pPr>
            <w:r>
              <w:rPr>
                <w:rFonts w:ascii="Arial" w:cs="Arial" w:eastAsia="Arial" w:hAnsi="Arial"/>
                <w:sz w:val="14"/>
                <w:szCs w:val="14"/>
                <w:color w:val="auto"/>
              </w:rPr>
              <w:t>T</w:t>
            </w:r>
          </w:p>
        </w:tc>
        <w:tc>
          <w:tcPr>
            <w:tcW w:w="4820" w:type="dxa"/>
            <w:vAlign w:val="bottom"/>
          </w:tcPr>
          <w:p>
            <w:pPr>
              <w:ind w:left="2420"/>
              <w:spacing w:after="0"/>
              <w:rPr>
                <w:sz w:val="20"/>
                <w:szCs w:val="20"/>
                <w:color w:val="auto"/>
              </w:rPr>
            </w:pPr>
            <w:r>
              <w:rPr>
                <w:rFonts w:ascii="Arial" w:cs="Arial" w:eastAsia="Arial" w:hAnsi="Arial"/>
                <w:sz w:val="14"/>
                <w:szCs w:val="14"/>
                <w:color w:val="auto"/>
              </w:rPr>
              <w:t>Accelerated Filer</w:t>
            </w:r>
          </w:p>
        </w:tc>
        <w:tc>
          <w:tcPr>
            <w:tcW w:w="1000" w:type="dxa"/>
            <w:vAlign w:val="bottom"/>
          </w:tcPr>
          <w:p>
            <w:pPr>
              <w:ind w:left="740"/>
              <w:spacing w:after="0"/>
              <w:rPr>
                <w:sz w:val="20"/>
                <w:szCs w:val="20"/>
                <w:color w:val="auto"/>
              </w:rPr>
            </w:pPr>
            <w:r>
              <w:rPr>
                <w:rFonts w:ascii="Arial" w:cs="Arial" w:eastAsia="Arial" w:hAnsi="Arial"/>
                <w:sz w:val="18"/>
                <w:szCs w:val="18"/>
                <w:color w:val="auto"/>
              </w:rPr>
              <w:t>o</w:t>
            </w:r>
          </w:p>
        </w:tc>
      </w:tr>
      <w:tr>
        <w:trPr>
          <w:trHeight w:val="378"/>
        </w:trPr>
        <w:tc>
          <w:tcPr>
            <w:tcW w:w="228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140" w:type="dxa"/>
            <w:vAlign w:val="bottom"/>
          </w:tcPr>
          <w:p>
            <w:pPr>
              <w:ind w:left="620"/>
              <w:spacing w:after="0"/>
              <w:rPr>
                <w:sz w:val="20"/>
                <w:szCs w:val="20"/>
                <w:color w:val="auto"/>
              </w:rPr>
            </w:pPr>
            <w:r>
              <w:rPr>
                <w:rFonts w:ascii="Arial" w:cs="Arial" w:eastAsia="Arial" w:hAnsi="Arial"/>
                <w:sz w:val="14"/>
                <w:szCs w:val="14"/>
                <w:color w:val="auto"/>
              </w:rPr>
              <w:t>o</w:t>
            </w:r>
          </w:p>
        </w:tc>
        <w:tc>
          <w:tcPr>
            <w:tcW w:w="4820" w:type="dxa"/>
            <w:vAlign w:val="bottom"/>
          </w:tcPr>
          <w:p>
            <w:pPr>
              <w:ind w:left="2420"/>
              <w:spacing w:after="0"/>
              <w:rPr>
                <w:sz w:val="20"/>
                <w:szCs w:val="20"/>
                <w:color w:val="auto"/>
              </w:rPr>
            </w:pPr>
            <w:r>
              <w:rPr>
                <w:rFonts w:ascii="Arial" w:cs="Arial" w:eastAsia="Arial" w:hAnsi="Arial"/>
                <w:sz w:val="14"/>
                <w:szCs w:val="14"/>
                <w:color w:val="auto"/>
              </w:rPr>
              <w:t>Smaller Reporting Company</w:t>
            </w:r>
          </w:p>
        </w:tc>
        <w:tc>
          <w:tcPr>
            <w:tcW w:w="1000" w:type="dxa"/>
            <w:vAlign w:val="bottom"/>
          </w:tcPr>
          <w:p>
            <w:pPr>
              <w:ind w:left="740"/>
              <w:spacing w:after="0"/>
              <w:rPr>
                <w:sz w:val="20"/>
                <w:szCs w:val="20"/>
                <w:color w:val="auto"/>
              </w:rPr>
            </w:pPr>
            <w:r>
              <w:rPr>
                <w:rFonts w:ascii="Arial" w:cs="Arial" w:eastAsia="Arial" w:hAnsi="Arial"/>
                <w:sz w:val="18"/>
                <w:szCs w:val="18"/>
                <w:color w:val="auto"/>
              </w:rPr>
              <w:t>o</w:t>
            </w:r>
          </w:p>
        </w:tc>
      </w:tr>
      <w:tr>
        <w:trPr>
          <w:trHeight w:val="270"/>
        </w:trPr>
        <w:tc>
          <w:tcPr>
            <w:tcW w:w="228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3140" w:type="dxa"/>
            <w:vAlign w:val="bottom"/>
          </w:tcPr>
          <w:p>
            <w:pPr>
              <w:ind w:left="620"/>
              <w:spacing w:after="0"/>
              <w:rPr>
                <w:sz w:val="20"/>
                <w:szCs w:val="20"/>
                <w:color w:val="auto"/>
              </w:rPr>
            </w:pPr>
            <w:r>
              <w:rPr>
                <w:rFonts w:ascii="Arial" w:cs="Arial" w:eastAsia="Arial" w:hAnsi="Arial"/>
                <w:sz w:val="14"/>
                <w:szCs w:val="14"/>
                <w:color w:val="auto"/>
              </w:rPr>
              <w:t>o</w:t>
            </w:r>
          </w:p>
        </w:tc>
        <w:tc>
          <w:tcPr>
            <w:tcW w:w="48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586"/>
        </w:trPr>
        <w:tc>
          <w:tcPr>
            <w:tcW w:w="22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firstLine="4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0" w:lineRule="exact"/>
        <w:rPr>
          <w:sz w:val="20"/>
          <w:szCs w:val="20"/>
          <w:color w:val="auto"/>
        </w:rPr>
      </w:pPr>
    </w:p>
    <w:p>
      <w:pPr>
        <w:ind w:left="440" w:right="3120"/>
        <w:spacing w:after="0" w:line="494"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T Number of shares outstanding of the issuer’s common stock as of July 31, 2020: 154,408,829</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10320" w:type="dxa"/>
            <w:vAlign w:val="bottom"/>
            <w:gridSpan w:val="4"/>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7"/>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2"/>
          </w:tcPr>
          <w:p>
            <w:pPr>
              <w:ind w:left="386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rPr>
              <w:t>PART I - FINANCIAL INFORMATION</w:t>
            </w: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412"/>
        </w:trPr>
        <w:tc>
          <w:tcPr>
            <w:tcW w:w="10320" w:type="dxa"/>
            <w:vAlign w:val="bottom"/>
            <w:gridSpan w:val="4"/>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 Financial Statements (unaudited):</w:t>
              </w:r>
            </w:hyperlink>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9880" w:type="dxa"/>
            <w:vAlign w:val="bottom"/>
            <w:gridSpan w:val="3"/>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as of June 30, 2020 and December 31, 2019</w:t>
              </w:r>
            </w:hyperlink>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05"/>
        </w:trPr>
        <w:tc>
          <w:tcPr>
            <w:tcW w:w="440" w:type="dxa"/>
            <w:vAlign w:val="bottom"/>
          </w:tcPr>
          <w:p>
            <w:pPr>
              <w:spacing w:after="0"/>
              <w:rPr>
                <w:sz w:val="24"/>
                <w:szCs w:val="24"/>
                <w:color w:val="auto"/>
              </w:rPr>
            </w:pPr>
          </w:p>
        </w:tc>
        <w:tc>
          <w:tcPr>
            <w:tcW w:w="9880" w:type="dxa"/>
            <w:vAlign w:val="bottom"/>
            <w:gridSpan w:val="3"/>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Operations and Comprehensive Loss for the Three and Six Months Ended June 30, 2020 and</w:t>
              </w:r>
            </w:hyperlink>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2019</w:t>
              </w:r>
            </w:hyperlink>
          </w:p>
        </w:tc>
        <w:tc>
          <w:tcPr>
            <w:tcW w:w="922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1"/>
        </w:trPr>
        <w:tc>
          <w:tcPr>
            <w:tcW w:w="440" w:type="dxa"/>
            <w:vAlign w:val="bottom"/>
          </w:tcPr>
          <w:p>
            <w:pPr>
              <w:spacing w:after="0"/>
              <w:rPr>
                <w:sz w:val="24"/>
                <w:szCs w:val="24"/>
                <w:color w:val="auto"/>
              </w:rPr>
            </w:pPr>
          </w:p>
        </w:tc>
        <w:tc>
          <w:tcPr>
            <w:tcW w:w="9880" w:type="dxa"/>
            <w:vAlign w:val="bottom"/>
            <w:gridSpan w:val="3"/>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 for the Three and Six Months Ended June 30, 2020 and 2019</w:t>
              </w:r>
            </w:hyperlink>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53"/>
        </w:trPr>
        <w:tc>
          <w:tcPr>
            <w:tcW w:w="440" w:type="dxa"/>
            <w:vAlign w:val="bottom"/>
          </w:tcPr>
          <w:p>
            <w:pPr>
              <w:spacing w:after="0"/>
              <w:rPr>
                <w:sz w:val="24"/>
                <w:szCs w:val="24"/>
                <w:color w:val="auto"/>
              </w:rPr>
            </w:pPr>
          </w:p>
        </w:tc>
        <w:tc>
          <w:tcPr>
            <w:tcW w:w="9880" w:type="dxa"/>
            <w:vAlign w:val="bottom"/>
            <w:gridSpan w:val="3"/>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for the Six Months Ended June 30, 2020 and 2019</w:t>
              </w:r>
            </w:hyperlink>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9880" w:type="dxa"/>
            <w:vAlign w:val="bottom"/>
            <w:gridSpan w:val="3"/>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10320" w:type="dxa"/>
            <w:vAlign w:val="bottom"/>
            <w:gridSpan w:val="4"/>
          </w:tcPr>
          <w:p>
            <w:pPr>
              <w:ind w:left="1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Item 2. 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4"/>
          </w:tcPr>
          <w:p>
            <w:pPr>
              <w:ind w:left="1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3. Quantitative and Qualitative Disclosures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4"/>
          </w:tcPr>
          <w:p>
            <w:pPr>
              <w:ind w:left="1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4. 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rPr>
              <w:t>PART II. OTHER INFORMATION</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320" w:type="dxa"/>
            <w:vAlign w:val="bottom"/>
            <w:gridSpan w:val="4"/>
          </w:tcPr>
          <w:p>
            <w:pPr>
              <w:ind w:left="1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 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4"/>
          </w:tcPr>
          <w:p>
            <w:pPr>
              <w:ind w:left="1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1A. 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320" w:type="dxa"/>
            <w:vAlign w:val="bottom"/>
            <w:gridSpan w:val="4"/>
          </w:tcPr>
          <w:p>
            <w:pPr>
              <w:ind w:left="1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2. 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4"/>
          </w:tcPr>
          <w:p>
            <w:pPr>
              <w:ind w:left="1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3. Default Upon Senior Securities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320" w:type="dxa"/>
            <w:vAlign w:val="bottom"/>
            <w:gridSpan w:val="4"/>
          </w:tcPr>
          <w:p>
            <w:pPr>
              <w:ind w:left="1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4. Mine Safety Disclosures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320" w:type="dxa"/>
            <w:vAlign w:val="bottom"/>
            <w:gridSpan w:val="4"/>
          </w:tcPr>
          <w:p>
            <w:pPr>
              <w:ind w:left="1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5. 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4"/>
          </w:tcPr>
          <w:p>
            <w:pPr>
              <w:ind w:left="1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6. Exhibits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10020" w:type="dxa"/>
            <w:vAlign w:val="bottom"/>
            <w:gridSpan w:val="3"/>
          </w:tcPr>
          <w:p>
            <w:pPr>
              <w:ind w:left="55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960" w:type="dxa"/>
            <w:vAlign w:val="bottom"/>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5740" w:type="dxa"/>
            <w:vAlign w:val="bottom"/>
          </w:tcPr>
          <w:p>
            <w:pPr>
              <w:spacing w:after="0" w:line="182" w:lineRule="exact"/>
              <w:rPr>
                <w:sz w:val="20"/>
                <w:szCs w:val="20"/>
                <w:color w:val="auto"/>
              </w:rPr>
            </w:pPr>
            <w:r>
              <w:rPr>
                <w:rFonts w:ascii="Arial" w:cs="Arial" w:eastAsia="Arial" w:hAnsi="Arial"/>
                <w:sz w:val="18"/>
                <w:szCs w:val="18"/>
                <w:b w:val="1"/>
                <w:bCs w:val="1"/>
                <w:color w:val="auto"/>
              </w:rPr>
              <w:t>Assets</w:t>
            </w: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43,342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29,627</w:t>
            </w:r>
          </w:p>
        </w:tc>
        <w:tc>
          <w:tcPr>
            <w:tcW w:w="0" w:type="dxa"/>
            <w:vAlign w:val="bottom"/>
          </w:tcPr>
          <w:p>
            <w:pPr>
              <w:spacing w:after="0"/>
              <w:rPr>
                <w:sz w:val="1"/>
                <w:szCs w:val="1"/>
                <w:color w:val="auto"/>
              </w:rPr>
            </w:pP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Investments</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76,621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11,346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Inventory</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16,768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13,312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2,862</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196"/>
        </w:trPr>
        <w:tc>
          <w:tcPr>
            <w:tcW w:w="5740" w:type="dxa"/>
            <w:vAlign w:val="bottom"/>
          </w:tcPr>
          <w:p>
            <w:pPr>
              <w:ind w:left="880"/>
              <w:spacing w:after="0" w:line="196" w:lineRule="exact"/>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2"/>
              </w:rPr>
              <w:t>150,939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jc w:val="right"/>
              <w:ind w:right="71"/>
              <w:spacing w:after="0" w:line="196" w:lineRule="exact"/>
              <w:rPr>
                <w:sz w:val="20"/>
                <w:szCs w:val="20"/>
                <w:color w:val="auto"/>
              </w:rPr>
            </w:pPr>
            <w:r>
              <w:rPr>
                <w:rFonts w:ascii="Arial" w:cs="Arial" w:eastAsia="Arial" w:hAnsi="Arial"/>
                <w:sz w:val="18"/>
                <w:szCs w:val="18"/>
                <w:color w:val="auto"/>
              </w:rPr>
              <w:t>81,046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27,733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30,070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31,435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32,827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assets</w:t>
            </w:r>
          </w:p>
        </w:tc>
        <w:tc>
          <w:tcPr>
            <w:tcW w:w="9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shd w:val="clear" w:color="auto" w:fill="CCEEFF"/>
          </w:tcPr>
          <w:p>
            <w:pPr>
              <w:ind w:left="880"/>
              <w:spacing w:after="0" w:line="182" w:lineRule="exact"/>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22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92"/>
              </w:rPr>
              <w:t>213,648</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71"/>
              <w:spacing w:after="0" w:line="182" w:lineRule="exact"/>
              <w:rPr>
                <w:sz w:val="20"/>
                <w:szCs w:val="20"/>
                <w:color w:val="auto"/>
              </w:rPr>
            </w:pPr>
            <w:r>
              <w:rPr>
                <w:rFonts w:ascii="Arial" w:cs="Arial" w:eastAsia="Arial" w:hAnsi="Arial"/>
                <w:sz w:val="18"/>
                <w:szCs w:val="18"/>
                <w:color w:val="auto"/>
              </w:rPr>
              <w:t>147,985</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2340" w:type="dxa"/>
            <w:vAlign w:val="bottom"/>
            <w:gridSpan w:val="2"/>
          </w:tcPr>
          <w:p>
            <w:pPr>
              <w:jc w:val="right"/>
              <w:ind w:right="122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7,436</w:t>
            </w:r>
          </w:p>
        </w:tc>
        <w:tc>
          <w:tcPr>
            <w:tcW w:w="2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12,203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Deferred revenue, current</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6,932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Operating lease liabilities, current</w:t>
            </w: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4,103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Notes payable, current</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15,871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gain from Reverse Termination Fee</w:t>
            </w: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liabilities, current</w:t>
            </w:r>
          </w:p>
        </w:tc>
        <w:tc>
          <w:tcPr>
            <w:tcW w:w="9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2,188</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2"/>
              </w:rPr>
              <w:t>130,862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49,153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1,531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96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39,863</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41,964</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ind w:left="880"/>
              <w:spacing w:after="0" w:line="196" w:lineRule="exact"/>
              <w:rPr>
                <w:sz w:val="20"/>
                <w:szCs w:val="20"/>
                <w:color w:val="auto"/>
              </w:rPr>
            </w:pPr>
            <w:r>
              <w:rPr>
                <w:rFonts w:ascii="Arial" w:cs="Arial" w:eastAsia="Arial" w:hAnsi="Arial"/>
                <w:sz w:val="18"/>
                <w:szCs w:val="18"/>
                <w:color w:val="auto"/>
              </w:rPr>
              <w:t>Total liabilities</w:t>
            </w:r>
          </w:p>
        </w:tc>
        <w:tc>
          <w:tcPr>
            <w:tcW w:w="96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2"/>
              </w:rPr>
              <w:t>172,256</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93,068</w:t>
            </w: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Stockholders’ equity</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$0.001 par value:</w:t>
            </w: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Authorized 50,000 shares; No shares issued or outstanding</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$0.001 par value:</w:t>
            </w: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112" w:right="339" w:bottom="1440" w:gutter="0" w:footer="0" w:header="0"/>
        </w:sectPr>
      </w:pPr>
    </w:p>
    <w:p>
      <w:pPr>
        <w:ind w:left="560" w:right="800"/>
        <w:spacing w:after="0" w:line="274" w:lineRule="auto"/>
        <w:rPr>
          <w:sz w:val="20"/>
          <w:szCs w:val="20"/>
          <w:color w:val="auto"/>
        </w:rPr>
      </w:pPr>
      <w:r>
        <w:rPr>
          <w:rFonts w:ascii="Arial" w:cs="Arial" w:eastAsia="Arial" w:hAnsi="Arial"/>
          <w:sz w:val="17"/>
          <w:szCs w:val="17"/>
          <w:color w:val="auto"/>
        </w:rPr>
        <w:t>Authorized 1,000,000 shares; issued and outstanding 154,318 shares and 153,119 shares at June 30,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paid-in capital</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520"/>
        <w:spacing w:after="0"/>
        <w:tabs>
          <w:tab w:leader="none" w:pos="28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153</w:t>
      </w:r>
    </w:p>
    <w:p>
      <w:pPr>
        <w:spacing w:after="0" w:line="198" w:lineRule="exact"/>
        <w:rPr>
          <w:sz w:val="20"/>
          <w:szCs w:val="20"/>
          <w:color w:val="auto"/>
        </w:rPr>
      </w:pPr>
    </w:p>
    <w:p>
      <w:pPr>
        <w:ind w:left="60"/>
        <w:spacing w:after="0"/>
        <w:tabs>
          <w:tab w:leader="none" w:pos="2420" w:val="left"/>
        </w:tabs>
        <w:rPr>
          <w:sz w:val="20"/>
          <w:szCs w:val="20"/>
          <w:color w:val="auto"/>
        </w:rPr>
      </w:pPr>
      <w:r>
        <w:rPr>
          <w:rFonts w:ascii="Arial" w:cs="Arial" w:eastAsia="Arial" w:hAnsi="Arial"/>
          <w:sz w:val="17"/>
          <w:szCs w:val="17"/>
          <w:color w:val="auto"/>
        </w:rPr>
        <w:t>1,129,091</w:t>
      </w:r>
      <w:r>
        <w:rPr>
          <w:sz w:val="20"/>
          <w:szCs w:val="20"/>
          <w:color w:val="auto"/>
        </w:rPr>
        <w:tab/>
      </w:r>
      <w:r>
        <w:rPr>
          <w:rFonts w:ascii="Arial" w:cs="Arial" w:eastAsia="Arial" w:hAnsi="Arial"/>
          <w:sz w:val="17"/>
          <w:szCs w:val="17"/>
          <w:color w:val="auto"/>
        </w:rPr>
        <w:t>1,120,999</w:t>
      </w:r>
    </w:p>
    <w:p>
      <w:pPr>
        <w:spacing w:after="0" w:line="88" w:lineRule="exact"/>
        <w:rPr>
          <w:sz w:val="20"/>
          <w:szCs w:val="20"/>
          <w:color w:val="auto"/>
        </w:rPr>
      </w:pPr>
    </w:p>
    <w:p>
      <w:pPr>
        <w:ind w:left="520"/>
        <w:spacing w:after="0"/>
        <w:tabs>
          <w:tab w:leader="none" w:pos="30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5</w:t>
      </w:r>
    </w:p>
    <w:p>
      <w:pPr>
        <w:spacing w:after="0" w:line="63" w:lineRule="exact"/>
        <w:rPr>
          <w:sz w:val="20"/>
          <w:szCs w:val="20"/>
          <w:color w:val="auto"/>
        </w:rPr>
      </w:pPr>
    </w:p>
    <w:p>
      <w:pPr>
        <w:spacing w:after="0"/>
        <w:tabs>
          <w:tab w:leader="none" w:pos="2340" w:val="left"/>
        </w:tabs>
        <w:rPr>
          <w:sz w:val="20"/>
          <w:szCs w:val="20"/>
          <w:color w:val="auto"/>
        </w:rPr>
      </w:pPr>
      <w:r>
        <w:rPr>
          <w:rFonts w:ascii="Arial" w:cs="Arial" w:eastAsia="Arial" w:hAnsi="Arial"/>
          <w:sz w:val="16"/>
          <w:szCs w:val="16"/>
          <w:color w:val="auto"/>
        </w:rPr>
        <w:t>(1,088,096)</w:t>
      </w:r>
      <w:r>
        <w:rPr>
          <w:sz w:val="20"/>
          <w:szCs w:val="20"/>
          <w:color w:val="auto"/>
        </w:rPr>
        <w:tab/>
      </w:r>
      <w:r>
        <w:rPr>
          <w:rFonts w:ascii="Arial" w:cs="Arial" w:eastAsia="Arial" w:hAnsi="Arial"/>
          <w:sz w:val="16"/>
          <w:szCs w:val="16"/>
          <w:color w:val="auto"/>
        </w:rPr>
        <w:t>(1,066,240)</w:t>
      </w:r>
    </w:p>
    <w:p>
      <w:pPr>
        <w:spacing w:after="0" w:line="52" w:lineRule="exact"/>
        <w:rPr>
          <w:sz w:val="20"/>
          <w:szCs w:val="20"/>
          <w:color w:val="auto"/>
        </w:rPr>
      </w:pPr>
    </w:p>
    <w:p>
      <w:pPr>
        <w:sectPr>
          <w:pgSz w:w="11900" w:h="16838" w:orient="portrait"/>
          <w:cols w:equalWidth="0" w:num="2">
            <w:col w:w="7200" w:space="720"/>
            <w:col w:w="332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2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stockholders’ equity</w:t>
            </w:r>
          </w:p>
        </w:tc>
        <w:tc>
          <w:tcPr>
            <w:tcW w:w="146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41,392</w:t>
            </w:r>
          </w:p>
        </w:tc>
        <w:tc>
          <w:tcPr>
            <w:tcW w:w="22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54,917</w:t>
            </w:r>
          </w:p>
        </w:tc>
      </w:tr>
      <w:tr>
        <w:trPr>
          <w:trHeight w:val="277"/>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2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213,648</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147,985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jc w:val="right"/>
        <w:ind w:right="246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020"/>
          </w:cols>
          <w:pgMar w:left="320" w:top="11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20"/>
        <w:spacing w:after="0" w:line="239" w:lineRule="auto"/>
        <w:rPr>
          <w:sz w:val="20"/>
          <w:szCs w:val="20"/>
          <w:color w:val="auto"/>
        </w:rPr>
      </w:pPr>
      <w:r>
        <w:rPr>
          <w:rFonts w:ascii="Arial" w:cs="Arial" w:eastAsia="Arial" w:hAnsi="Arial"/>
          <w:sz w:val="14"/>
          <w:szCs w:val="14"/>
          <w:b w:val="1"/>
          <w:bCs w:val="1"/>
          <w:u w:val="single" w:color="auto"/>
          <w:color w:val="auto"/>
        </w:rPr>
        <w:t>(in thousands, except per share amounts)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revenue $ Service and other revenue</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revenue</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 of revenue:</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Cost of product</w:t>
      </w:r>
    </w:p>
    <w:p>
      <w:pPr>
        <w:ind w:left="440"/>
        <w:spacing w:after="0" w:line="219" w:lineRule="auto"/>
        <w:rPr>
          <w:sz w:val="20"/>
          <w:szCs w:val="20"/>
          <w:color w:val="auto"/>
        </w:rPr>
      </w:pPr>
      <w:r>
        <w:rPr>
          <w:rFonts w:ascii="Arial" w:cs="Arial" w:eastAsia="Arial" w:hAnsi="Arial"/>
          <w:sz w:val="18"/>
          <w:szCs w:val="18"/>
          <w:color w:val="auto"/>
        </w:rPr>
        <w:t>revenue</w:t>
      </w:r>
    </w:p>
    <w:p>
      <w:pPr>
        <w:ind w:left="440"/>
        <w:spacing w:after="0" w:line="219" w:lineRule="auto"/>
        <w:rPr>
          <w:sz w:val="20"/>
          <w:szCs w:val="20"/>
          <w:color w:val="auto"/>
        </w:rPr>
      </w:pPr>
      <w:r>
        <w:rPr>
          <w:rFonts w:ascii="Arial" w:cs="Arial" w:eastAsia="Arial" w:hAnsi="Arial"/>
          <w:sz w:val="18"/>
          <w:szCs w:val="18"/>
          <w:color w:val="auto"/>
        </w:rPr>
        <w:t>Cost of service and</w:t>
      </w:r>
    </w:p>
    <w:p>
      <w:pPr>
        <w:ind w:left="440"/>
        <w:spacing w:after="0" w:line="219" w:lineRule="auto"/>
        <w:rPr>
          <w:sz w:val="20"/>
          <w:szCs w:val="20"/>
          <w:color w:val="auto"/>
        </w:rPr>
      </w:pPr>
      <w:r>
        <w:rPr>
          <w:rFonts w:ascii="Arial" w:cs="Arial" w:eastAsia="Arial" w:hAnsi="Arial"/>
          <w:sz w:val="18"/>
          <w:szCs w:val="18"/>
          <w:color w:val="auto"/>
        </w:rPr>
        <w:t>other revenue</w:t>
      </w:r>
    </w:p>
    <w:p>
      <w:pPr>
        <w:ind w:left="760"/>
        <w:spacing w:after="0" w:line="219" w:lineRule="auto"/>
        <w:rPr>
          <w:sz w:val="20"/>
          <w:szCs w:val="20"/>
          <w:color w:val="auto"/>
        </w:rPr>
      </w:pPr>
      <w:r>
        <w:rPr>
          <w:rFonts w:ascii="Arial" w:cs="Arial" w:eastAsia="Arial" w:hAnsi="Arial"/>
          <w:sz w:val="18"/>
          <w:szCs w:val="18"/>
          <w:color w:val="auto"/>
        </w:rPr>
        <w:t>Total cost of</w:t>
      </w:r>
    </w:p>
    <w:p>
      <w:pPr>
        <w:ind w:left="760"/>
        <w:spacing w:after="0" w:line="235" w:lineRule="auto"/>
        <w:rPr>
          <w:sz w:val="20"/>
          <w:szCs w:val="20"/>
          <w:color w:val="auto"/>
        </w:rPr>
      </w:pPr>
      <w:r>
        <w:rPr>
          <w:rFonts w:ascii="Arial" w:cs="Arial" w:eastAsia="Arial" w:hAnsi="Arial"/>
          <w:sz w:val="18"/>
          <w:szCs w:val="18"/>
          <w:color w:val="auto"/>
        </w:rPr>
        <w:t>revenue</w:t>
      </w:r>
    </w:p>
    <w:p>
      <w:pPr>
        <w:ind w:left="1200"/>
        <w:spacing w:after="0"/>
        <w:rPr>
          <w:sz w:val="20"/>
          <w:szCs w:val="20"/>
          <w:color w:val="auto"/>
        </w:rPr>
      </w:pPr>
      <w:r>
        <w:rPr>
          <w:rFonts w:ascii="Arial" w:cs="Arial" w:eastAsia="Arial" w:hAnsi="Arial"/>
          <w:sz w:val="18"/>
          <w:szCs w:val="18"/>
          <w:color w:val="auto"/>
        </w:rPr>
        <w:t>Gross profit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expense:</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w:t>
      </w:r>
    </w:p>
    <w:p>
      <w:pPr>
        <w:ind w:left="440"/>
        <w:spacing w:after="0" w:line="219" w:lineRule="auto"/>
        <w:rPr>
          <w:sz w:val="20"/>
          <w:szCs w:val="20"/>
          <w:color w:val="auto"/>
        </w:rPr>
      </w:pPr>
      <w:r>
        <w:rPr>
          <w:rFonts w:ascii="Arial" w:cs="Arial" w:eastAsia="Arial" w:hAnsi="Arial"/>
          <w:sz w:val="18"/>
          <w:szCs w:val="18"/>
          <w:color w:val="auto"/>
        </w:rPr>
        <w:t>development</w:t>
      </w:r>
    </w:p>
    <w:p>
      <w:pPr>
        <w:ind w:left="440"/>
        <w:spacing w:after="0" w:line="219" w:lineRule="auto"/>
        <w:rPr>
          <w:sz w:val="20"/>
          <w:szCs w:val="20"/>
          <w:color w:val="auto"/>
        </w:rPr>
      </w:pPr>
      <w:r>
        <w:rPr>
          <w:rFonts w:ascii="Arial" w:cs="Arial" w:eastAsia="Arial" w:hAnsi="Arial"/>
          <w:sz w:val="18"/>
          <w:szCs w:val="18"/>
          <w:color w:val="auto"/>
        </w:rPr>
        <w:t>Sales, general and</w:t>
      </w:r>
    </w:p>
    <w:p>
      <w:pPr>
        <w:ind w:left="440"/>
        <w:spacing w:after="0" w:line="219" w:lineRule="auto"/>
        <w:rPr>
          <w:sz w:val="20"/>
          <w:szCs w:val="20"/>
          <w:color w:val="auto"/>
        </w:rPr>
      </w:pPr>
      <w:r>
        <w:rPr>
          <w:rFonts w:ascii="Arial" w:cs="Arial" w:eastAsia="Arial" w:hAnsi="Arial"/>
          <w:sz w:val="18"/>
          <w:szCs w:val="18"/>
          <w:color w:val="auto"/>
        </w:rPr>
        <w:t>administrative</w:t>
      </w:r>
    </w:p>
    <w:p>
      <w:pPr>
        <w:ind w:left="760"/>
        <w:spacing w:after="0" w:line="219" w:lineRule="auto"/>
        <w:rPr>
          <w:sz w:val="20"/>
          <w:szCs w:val="20"/>
          <w:color w:val="auto"/>
        </w:rPr>
      </w:pPr>
      <w:r>
        <w:rPr>
          <w:rFonts w:ascii="Arial" w:cs="Arial" w:eastAsia="Arial" w:hAnsi="Arial"/>
          <w:sz w:val="18"/>
          <w:szCs w:val="18"/>
          <w:color w:val="auto"/>
        </w:rPr>
        <w:t>Total operating</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expense</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loss</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 from</w:t>
      </w:r>
    </w:p>
    <w:p>
      <w:pPr>
        <w:ind w:left="440"/>
        <w:spacing w:after="0"/>
        <w:rPr>
          <w:sz w:val="20"/>
          <w:szCs w:val="20"/>
          <w:color w:val="auto"/>
        </w:rPr>
      </w:pPr>
      <w:r>
        <w:rPr>
          <w:rFonts w:ascii="Arial" w:cs="Arial" w:eastAsia="Arial" w:hAnsi="Arial"/>
          <w:sz w:val="17"/>
          <w:szCs w:val="17"/>
          <w:color w:val="auto"/>
        </w:rPr>
        <w:t>Continuation Advances</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net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120" w:right="580"/>
        <w:spacing w:after="0" w:line="247" w:lineRule="auto"/>
        <w:rPr>
          <w:sz w:val="20"/>
          <w:szCs w:val="20"/>
          <w:color w:val="auto"/>
        </w:rPr>
      </w:pPr>
      <w:r>
        <w:rPr>
          <w:rFonts w:ascii="Arial" w:cs="Arial" w:eastAsia="Arial" w:hAnsi="Arial"/>
          <w:sz w:val="16"/>
          <w:szCs w:val="16"/>
          <w:color w:val="auto"/>
        </w:rPr>
        <w:t>Other comprehensive income (loss):</w:t>
      </w:r>
    </w:p>
    <w:p>
      <w:pPr>
        <w:spacing w:after="0" w:line="1" w:lineRule="exact"/>
        <w:rPr>
          <w:sz w:val="20"/>
          <w:szCs w:val="20"/>
          <w:color w:val="auto"/>
        </w:rPr>
      </w:pPr>
    </w:p>
    <w:p>
      <w:pPr>
        <w:ind w:left="440" w:right="220"/>
        <w:spacing w:after="0" w:line="233" w:lineRule="auto"/>
        <w:rPr>
          <w:sz w:val="20"/>
          <w:szCs w:val="20"/>
          <w:color w:val="auto"/>
        </w:rPr>
      </w:pPr>
      <w:r>
        <w:rPr>
          <w:rFonts w:ascii="Arial" w:cs="Arial" w:eastAsia="Arial" w:hAnsi="Arial"/>
          <w:sz w:val="18"/>
          <w:szCs w:val="18"/>
          <w:color w:val="auto"/>
        </w:rPr>
        <w:t>Unrealized income on investments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940" w:type="dxa"/>
            <w:vAlign w:val="bottom"/>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12"/>
        </w:trPr>
        <w:tc>
          <w:tcPr>
            <w:tcW w:w="1940" w:type="dxa"/>
            <w:vAlign w:val="bottom"/>
          </w:tcPr>
          <w:p>
            <w:pPr>
              <w:spacing w:after="0"/>
              <w:rPr>
                <w:sz w:val="20"/>
                <w:szCs w:val="20"/>
                <w:color w:val="auto"/>
              </w:rPr>
            </w:pPr>
            <w:r>
              <w:rPr>
                <w:rFonts w:ascii="Arial" w:cs="Arial" w:eastAsia="Arial" w:hAnsi="Arial"/>
                <w:sz w:val="18"/>
                <w:szCs w:val="18"/>
                <w:color w:val="auto"/>
              </w:rPr>
              <w:t>Net loss per share: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320"/>
              <w:spacing w:after="0" w:line="189" w:lineRule="exact"/>
              <w:rPr>
                <w:sz w:val="20"/>
                <w:szCs w:val="20"/>
                <w:color w:val="auto"/>
              </w:rPr>
            </w:pPr>
            <w:r>
              <w:rPr>
                <w:rFonts w:ascii="Arial" w:cs="Arial" w:eastAsia="Arial" w:hAnsi="Arial"/>
                <w:sz w:val="18"/>
                <w:szCs w:val="18"/>
                <w:color w:val="auto"/>
                <w:w w:val="95"/>
              </w:rPr>
              <w:t>Basic and diluted net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940" w:type="dxa"/>
            <w:vAlign w:val="bottom"/>
            <w:vMerge w:val="restart"/>
          </w:tcPr>
          <w:p>
            <w:pPr>
              <w:ind w:left="320"/>
              <w:spacing w:after="0" w:line="189" w:lineRule="exact"/>
              <w:rPr>
                <w:sz w:val="20"/>
                <w:szCs w:val="20"/>
                <w:color w:val="auto"/>
              </w:rPr>
            </w:pPr>
            <w:r>
              <w:rPr>
                <w:rFonts w:ascii="Arial" w:cs="Arial" w:eastAsia="Arial" w:hAnsi="Arial"/>
                <w:sz w:val="18"/>
                <w:szCs w:val="18"/>
                <w:color w:val="auto"/>
              </w:rPr>
              <w:t>loss per share</w:t>
            </w: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9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320"/>
              <w:spacing w:after="0" w:line="189" w:lineRule="exact"/>
              <w:rPr>
                <w:sz w:val="20"/>
                <w:szCs w:val="20"/>
                <w:color w:val="auto"/>
              </w:rPr>
            </w:pPr>
            <w:r>
              <w:rPr>
                <w:rFonts w:ascii="Arial" w:cs="Arial" w:eastAsia="Arial" w:hAnsi="Arial"/>
                <w:sz w:val="18"/>
                <w:szCs w:val="18"/>
                <w:color w:val="auto"/>
              </w:rPr>
              <w:t>Shares used in</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320"/>
              <w:spacing w:after="0" w:line="189" w:lineRule="exact"/>
              <w:rPr>
                <w:sz w:val="20"/>
                <w:szCs w:val="20"/>
                <w:color w:val="auto"/>
              </w:rPr>
            </w:pPr>
            <w:r>
              <w:rPr>
                <w:rFonts w:ascii="Arial" w:cs="Arial" w:eastAsia="Arial" w:hAnsi="Arial"/>
                <w:sz w:val="18"/>
                <w:szCs w:val="18"/>
                <w:color w:val="auto"/>
                <w:w w:val="96"/>
              </w:rPr>
              <w:t>computing basic and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320"/>
              <w:spacing w:after="0" w:line="189" w:lineRule="exact"/>
              <w:rPr>
                <w:sz w:val="20"/>
                <w:szCs w:val="20"/>
                <w:color w:val="auto"/>
              </w:rPr>
            </w:pPr>
            <w:r>
              <w:rPr>
                <w:rFonts w:ascii="Arial" w:cs="Arial" w:eastAsia="Arial" w:hAnsi="Arial"/>
                <w:sz w:val="18"/>
                <w:szCs w:val="18"/>
                <w:color w:val="auto"/>
              </w:rPr>
              <w:t>diluted net loss per</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2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71"/>
        </w:trPr>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80" w:type="dxa"/>
            <w:vAlign w:val="bottom"/>
          </w:tcPr>
          <w:p>
            <w:pPr>
              <w:jc w:val="right"/>
              <w:ind w:right="812"/>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ind w:right="85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ind w:right="8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jc w:val="right"/>
              <w:ind w:right="8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13,756</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21,250</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26,049</w:t>
            </w:r>
          </w:p>
        </w:tc>
        <w:tc>
          <w:tcPr>
            <w:tcW w:w="120" w:type="dxa"/>
            <w:vAlign w:val="bottom"/>
          </w:tcPr>
          <w:p>
            <w:pPr>
              <w:spacing w:after="0"/>
              <w:rPr>
                <w:sz w:val="24"/>
                <w:szCs w:val="24"/>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34,707</w:t>
            </w:r>
          </w:p>
        </w:tc>
        <w:tc>
          <w:tcPr>
            <w:tcW w:w="0" w:type="dxa"/>
            <w:vAlign w:val="bottom"/>
          </w:tcPr>
          <w:p>
            <w:pPr>
              <w:spacing w:after="0"/>
              <w:rPr>
                <w:sz w:val="1"/>
                <w:szCs w:val="1"/>
                <w:color w:val="auto"/>
              </w:rPr>
            </w:pPr>
          </w:p>
        </w:tc>
      </w:tr>
      <w:tr>
        <w:trPr>
          <w:trHeight w:val="284"/>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6,626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81"/>
        </w:trPr>
        <w:tc>
          <w:tcPr>
            <w:tcW w:w="1180" w:type="dxa"/>
            <w:vAlign w:val="bottom"/>
            <w:vMerge w:val="restart"/>
          </w:tcPr>
          <w:p>
            <w:pPr>
              <w:jc w:val="right"/>
              <w:ind w:right="72"/>
              <w:spacing w:after="0"/>
              <w:rPr>
                <w:sz w:val="20"/>
                <w:szCs w:val="20"/>
                <w:color w:val="auto"/>
              </w:rPr>
            </w:pPr>
            <w:r>
              <w:rPr>
                <w:rFonts w:ascii="Arial" w:cs="Arial" w:eastAsia="Arial" w:hAnsi="Arial"/>
                <w:sz w:val="18"/>
                <w:szCs w:val="18"/>
                <w:color w:val="auto"/>
              </w:rPr>
              <w:t>17,077</w:t>
            </w:r>
          </w:p>
        </w:tc>
        <w:tc>
          <w:tcPr>
            <w:tcW w:w="1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24,621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32,675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41,046</w:t>
            </w:r>
          </w:p>
        </w:tc>
        <w:tc>
          <w:tcPr>
            <w:tcW w:w="0" w:type="dxa"/>
            <w:vAlign w:val="bottom"/>
          </w:tcPr>
          <w:p>
            <w:pPr>
              <w:spacing w:after="0"/>
              <w:rPr>
                <w:sz w:val="1"/>
                <w:szCs w:val="1"/>
                <w:color w:val="auto"/>
              </w:rPr>
            </w:pPr>
          </w:p>
        </w:tc>
      </w:tr>
      <w:tr>
        <w:trPr>
          <w:trHeight w:val="512"/>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8,225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11,980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13,646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20,598</w:t>
            </w:r>
          </w:p>
        </w:tc>
        <w:tc>
          <w:tcPr>
            <w:tcW w:w="0" w:type="dxa"/>
            <w:vAlign w:val="bottom"/>
          </w:tcPr>
          <w:p>
            <w:pPr>
              <w:spacing w:after="0"/>
              <w:rPr>
                <w:sz w:val="1"/>
                <w:szCs w:val="1"/>
                <w:color w:val="auto"/>
              </w:rPr>
            </w:pPr>
          </w:p>
        </w:tc>
      </w:tr>
      <w:tr>
        <w:trPr>
          <w:trHeight w:val="378"/>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3,028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4,928</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10,464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15,008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18,574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26,316</w:t>
            </w:r>
          </w:p>
        </w:tc>
        <w:tc>
          <w:tcPr>
            <w:tcW w:w="0" w:type="dxa"/>
            <w:vAlign w:val="bottom"/>
          </w:tcPr>
          <w:p>
            <w:pPr>
              <w:spacing w:after="0"/>
              <w:rPr>
                <w:sz w:val="1"/>
                <w:szCs w:val="1"/>
                <w:color w:val="auto"/>
              </w:rPr>
            </w:pPr>
          </w:p>
        </w:tc>
      </w:tr>
      <w:tr>
        <w:trPr>
          <w:trHeight w:val="81"/>
        </w:trPr>
        <w:tc>
          <w:tcPr>
            <w:tcW w:w="1180" w:type="dxa"/>
            <w:vAlign w:val="bottom"/>
            <w:vMerge w:val="restart"/>
          </w:tcPr>
          <w:p>
            <w:pPr>
              <w:jc w:val="right"/>
              <w:ind w:right="72"/>
              <w:spacing w:after="0"/>
              <w:rPr>
                <w:sz w:val="20"/>
                <w:szCs w:val="20"/>
                <w:color w:val="auto"/>
              </w:rPr>
            </w:pPr>
            <w:r>
              <w:rPr>
                <w:rFonts w:ascii="Arial" w:cs="Arial" w:eastAsia="Arial" w:hAnsi="Arial"/>
                <w:sz w:val="18"/>
                <w:szCs w:val="18"/>
                <w:color w:val="auto"/>
              </w:rPr>
              <w:t>6,613</w:t>
            </w:r>
          </w:p>
        </w:tc>
        <w:tc>
          <w:tcPr>
            <w:tcW w:w="1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9,613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14,101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14,730</w:t>
            </w:r>
          </w:p>
        </w:tc>
        <w:tc>
          <w:tcPr>
            <w:tcW w:w="0" w:type="dxa"/>
            <w:vAlign w:val="bottom"/>
          </w:tcPr>
          <w:p>
            <w:pPr>
              <w:spacing w:after="0"/>
              <w:rPr>
                <w:sz w:val="1"/>
                <w:szCs w:val="1"/>
                <w:color w:val="auto"/>
              </w:rPr>
            </w:pPr>
          </w:p>
        </w:tc>
      </w:tr>
      <w:tr>
        <w:trPr>
          <w:trHeight w:val="512"/>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15,010</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14,910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30,260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30,395</w:t>
            </w:r>
          </w:p>
        </w:tc>
        <w:tc>
          <w:tcPr>
            <w:tcW w:w="0" w:type="dxa"/>
            <w:vAlign w:val="bottom"/>
          </w:tcPr>
          <w:p>
            <w:pPr>
              <w:spacing w:after="0"/>
              <w:rPr>
                <w:sz w:val="1"/>
                <w:szCs w:val="1"/>
                <w:color w:val="auto"/>
              </w:rPr>
            </w:pPr>
          </w:p>
        </w:tc>
      </w:tr>
      <w:tr>
        <w:trPr>
          <w:trHeight w:val="378"/>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15,127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19,083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40,074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38,849</w:t>
            </w: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30,137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33,993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70,334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69,244</w:t>
            </w:r>
          </w:p>
        </w:tc>
        <w:tc>
          <w:tcPr>
            <w:tcW w:w="0" w:type="dxa"/>
            <w:vAlign w:val="bottom"/>
          </w:tcPr>
          <w:p>
            <w:pPr>
              <w:spacing w:after="0"/>
              <w:rPr>
                <w:sz w:val="1"/>
                <w:szCs w:val="1"/>
                <w:color w:val="auto"/>
              </w:rPr>
            </w:pPr>
          </w:p>
        </w:tc>
      </w:tr>
      <w:tr>
        <w:trPr>
          <w:trHeight w:val="526"/>
        </w:trPr>
        <w:tc>
          <w:tcPr>
            <w:tcW w:w="1180" w:type="dxa"/>
            <w:vAlign w:val="bottom"/>
          </w:tcPr>
          <w:p>
            <w:pPr>
              <w:jc w:val="right"/>
              <w:ind w:right="12"/>
              <w:spacing w:after="0"/>
              <w:rPr>
                <w:sz w:val="20"/>
                <w:szCs w:val="20"/>
                <w:color w:val="auto"/>
              </w:rPr>
            </w:pPr>
            <w:r>
              <w:rPr>
                <w:rFonts w:ascii="Arial" w:cs="Arial" w:eastAsia="Arial" w:hAnsi="Arial"/>
                <w:sz w:val="18"/>
                <w:szCs w:val="18"/>
                <w:color w:val="auto"/>
              </w:rPr>
              <w:t>(23,524)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(24,380)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(56,233)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(54,514)</w:t>
            </w:r>
          </w:p>
        </w:tc>
        <w:tc>
          <w:tcPr>
            <w:tcW w:w="0" w:type="dxa"/>
            <w:vAlign w:val="bottom"/>
          </w:tcPr>
          <w:p>
            <w:pPr>
              <w:spacing w:after="0"/>
              <w:rPr>
                <w:sz w:val="1"/>
                <w:szCs w:val="1"/>
                <w:color w:val="auto"/>
              </w:rPr>
            </w:pPr>
          </w:p>
        </w:tc>
      </w:tr>
      <w:tr>
        <w:trPr>
          <w:trHeight w:val="310"/>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34,000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7"/>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1180" w:type="dxa"/>
            <w:vAlign w:val="bottom"/>
          </w:tcPr>
          <w:p>
            <w:pPr>
              <w:jc w:val="right"/>
              <w:ind w:right="12"/>
              <w:spacing w:after="0"/>
              <w:rPr>
                <w:sz w:val="20"/>
                <w:szCs w:val="20"/>
                <w:color w:val="auto"/>
              </w:rPr>
            </w:pPr>
            <w:r>
              <w:rPr>
                <w:rFonts w:ascii="Arial" w:cs="Arial" w:eastAsia="Arial" w:hAnsi="Arial"/>
                <w:sz w:val="18"/>
                <w:szCs w:val="18"/>
                <w:color w:val="auto"/>
              </w:rPr>
              <w:t>(23,086)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(24,596)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(21,824)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(54,920)</w:t>
            </w:r>
          </w:p>
        </w:tc>
        <w:tc>
          <w:tcPr>
            <w:tcW w:w="0" w:type="dxa"/>
            <w:vAlign w:val="bottom"/>
          </w:tcPr>
          <w:p>
            <w:pPr>
              <w:spacing w:after="0"/>
              <w:rPr>
                <w:sz w:val="1"/>
                <w:szCs w:val="1"/>
                <w:color w:val="auto"/>
              </w:rPr>
            </w:pPr>
          </w:p>
        </w:tc>
      </w:tr>
      <w:tr>
        <w:trPr>
          <w:trHeight w:val="661"/>
        </w:trPr>
        <w:tc>
          <w:tcPr>
            <w:tcW w:w="118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81"/>
        </w:trPr>
        <w:tc>
          <w:tcPr>
            <w:tcW w:w="1180" w:type="dxa"/>
            <w:vAlign w:val="bottom"/>
            <w:vMerge w:val="restart"/>
          </w:tcPr>
          <w:p>
            <w:pPr>
              <w:jc w:val="right"/>
              <w:ind w:right="12"/>
              <w:spacing w:after="0"/>
              <w:rPr>
                <w:sz w:val="20"/>
                <w:szCs w:val="20"/>
                <w:color w:val="auto"/>
              </w:rPr>
            </w:pPr>
            <w:r>
              <w:rPr>
                <w:rFonts w:ascii="Arial" w:cs="Arial" w:eastAsia="Arial" w:hAnsi="Arial"/>
                <w:sz w:val="18"/>
                <w:szCs w:val="18"/>
                <w:color w:val="auto"/>
              </w:rPr>
              <w:t>(22,873)</w:t>
            </w:r>
          </w:p>
        </w:tc>
        <w:tc>
          <w:tcPr>
            <w:tcW w:w="1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(24,585)</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(21,586)</w:t>
            </w:r>
          </w:p>
        </w:tc>
        <w:tc>
          <w:tcPr>
            <w:tcW w:w="12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(54,867)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18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(0.16)</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4"/>
                <w:szCs w:val="24"/>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180" w:type="dxa"/>
            <w:vAlign w:val="bottom"/>
            <w:vMerge w:val="restart"/>
          </w:tcPr>
          <w:p>
            <w:pPr>
              <w:jc w:val="right"/>
              <w:ind w:right="72"/>
              <w:spacing w:after="0"/>
              <w:rPr>
                <w:sz w:val="20"/>
                <w:szCs w:val="20"/>
                <w:color w:val="auto"/>
              </w:rPr>
            </w:pPr>
            <w:r>
              <w:rPr>
                <w:rFonts w:ascii="Arial" w:cs="Arial" w:eastAsia="Arial" w:hAnsi="Arial"/>
                <w:sz w:val="18"/>
                <w:szCs w:val="18"/>
                <w:color w:val="auto"/>
              </w:rPr>
              <w:t>154,172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152,776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153,229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152,029</w:t>
            </w:r>
          </w:p>
        </w:tc>
        <w:tc>
          <w:tcPr>
            <w:tcW w:w="0" w:type="dxa"/>
            <w:vAlign w:val="bottom"/>
          </w:tcPr>
          <w:p>
            <w:pPr>
              <w:spacing w:after="0"/>
              <w:rPr>
                <w:sz w:val="1"/>
                <w:szCs w:val="1"/>
                <w:color w:val="auto"/>
              </w:rPr>
            </w:pPr>
          </w:p>
        </w:tc>
      </w:tr>
      <w:tr>
        <w:trPr>
          <w:trHeight w:val="94"/>
        </w:trPr>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-5108575</wp:posOffset>
            </wp:positionV>
            <wp:extent cx="698627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6270" cy="14541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-4431030</wp:posOffset>
            </wp:positionV>
            <wp:extent cx="698627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6270" cy="24003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-3565525</wp:posOffset>
            </wp:positionV>
            <wp:extent cx="698627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6270" cy="1460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-3179445</wp:posOffset>
            </wp:positionV>
            <wp:extent cx="6986270" cy="3180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86270" cy="318008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-3950970</wp:posOffset>
            </wp:positionV>
            <wp:extent cx="6986270" cy="248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6270" cy="24892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-4722495</wp:posOffset>
            </wp:positionV>
            <wp:extent cx="698627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6270" cy="14541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-5253990</wp:posOffset>
            </wp:positionV>
            <wp:extent cx="13284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8420" cy="825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-5442585</wp:posOffset>
            </wp:positionV>
            <wp:extent cx="2768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357505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240" w:space="620"/>
            <w:col w:w="8160"/>
          </w:cols>
          <w:pgMar w:left="320" w:top="112" w:right="5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9"/>
                <w:szCs w:val="19"/>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15"/>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gridSpan w:val="3"/>
          </w:tcPr>
          <w:p>
            <w:pPr>
              <w:ind w:left="400"/>
              <w:spacing w:after="0"/>
              <w:rPr>
                <w:sz w:val="20"/>
                <w:szCs w:val="20"/>
                <w:color w:val="auto"/>
              </w:rPr>
            </w:pPr>
            <w:r>
              <w:rPr>
                <w:rFonts w:ascii="Arial" w:cs="Arial" w:eastAsia="Arial" w:hAnsi="Arial"/>
                <w:sz w:val="14"/>
                <w:szCs w:val="14"/>
                <w:b w:val="1"/>
                <w:bCs w:val="1"/>
                <w:color w:val="auto"/>
                <w:w w:val="91"/>
              </w:rPr>
              <w:t>Common Stock</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8"/>
                <w:szCs w:val="18"/>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i w:val="1"/>
                <w:iCs w:val="1"/>
                <w:color w:val="auto"/>
              </w:rPr>
              <w:t>For the three months ended June 30, 2020</w:t>
            </w: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Balance at March 31, 2020</w:t>
            </w:r>
          </w:p>
        </w:tc>
        <w:tc>
          <w:tcPr>
            <w:tcW w:w="12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ind w:left="300"/>
              <w:spacing w:after="0"/>
              <w:rPr>
                <w:sz w:val="20"/>
                <w:szCs w:val="20"/>
                <w:color w:val="auto"/>
              </w:rPr>
            </w:pPr>
            <w:r>
              <w:rPr>
                <w:rFonts w:ascii="Arial" w:cs="Arial" w:eastAsia="Arial" w:hAnsi="Arial"/>
                <w:sz w:val="16"/>
                <w:szCs w:val="16"/>
                <w:color w:val="auto"/>
                <w:w w:val="93"/>
              </w:rPr>
              <w:t>153,953</w:t>
            </w: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224"/>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CCEEFF"/>
            </w:tcBorders>
          </w:tcPr>
          <w:p>
            <w:pPr>
              <w:jc w:val="right"/>
              <w:ind w:right="59"/>
              <w:spacing w:after="0"/>
              <w:rPr>
                <w:sz w:val="20"/>
                <w:szCs w:val="20"/>
                <w:color w:val="auto"/>
              </w:rPr>
            </w:pPr>
            <w:r>
              <w:rPr>
                <w:rFonts w:ascii="Arial" w:cs="Arial" w:eastAsia="Arial" w:hAnsi="Arial"/>
                <w:sz w:val="16"/>
                <w:szCs w:val="16"/>
                <w:color w:val="auto"/>
                <w:w w:val="97"/>
              </w:rPr>
              <w:t>154</w:t>
            </w:r>
          </w:p>
        </w:tc>
        <w:tc>
          <w:tcPr>
            <w:tcW w:w="2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80"/>
              <w:spacing w:after="0"/>
              <w:rPr>
                <w:sz w:val="20"/>
                <w:szCs w:val="20"/>
                <w:color w:val="auto"/>
              </w:rPr>
            </w:pPr>
            <w:r>
              <w:rPr>
                <w:rFonts w:ascii="Arial" w:cs="Arial" w:eastAsia="Arial" w:hAnsi="Arial"/>
                <w:sz w:val="16"/>
                <w:szCs w:val="16"/>
                <w:color w:val="auto"/>
              </w:rPr>
              <w:t>1,125,229</w:t>
            </w: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rPr>
              <w:t>30</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(1,065,010)</w:t>
            </w: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rPr>
              <w:t>60,403</w:t>
            </w:r>
          </w:p>
        </w:tc>
        <w:tc>
          <w:tcPr>
            <w:tcW w:w="0" w:type="dxa"/>
            <w:vAlign w:val="bottom"/>
          </w:tcPr>
          <w:p>
            <w:pPr>
              <w:spacing w:after="0"/>
              <w:rPr>
                <w:sz w:val="1"/>
                <w:szCs w:val="1"/>
                <w:color w:val="auto"/>
              </w:rPr>
            </w:pPr>
          </w:p>
        </w:tc>
      </w:tr>
      <w:tr>
        <w:trPr>
          <w:trHeight w:val="229"/>
        </w:trPr>
        <w:tc>
          <w:tcPr>
            <w:tcW w:w="4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loss</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(23,086)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(23,086)</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6"/>
                <w:szCs w:val="16"/>
                <w:color w:val="auto"/>
              </w:rPr>
              <w:t>Other comprehensive income</w:t>
            </w: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345"/>
        </w:trPr>
        <w:tc>
          <w:tcPr>
            <w:tcW w:w="41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8"/>
              </w:rPr>
              <w:t>Issuance of common stock in conjunction with equity plans</w:t>
            </w:r>
          </w:p>
        </w:tc>
        <w:tc>
          <w:tcPr>
            <w:tcW w:w="8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vMerge w:val="restart"/>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4"/>
                <w:szCs w:val="24"/>
                <w:color w:val="auto"/>
              </w:rPr>
            </w:pP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154"/>
        </w:trPr>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3,234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2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196"/>
        </w:trPr>
        <w:tc>
          <w:tcPr>
            <w:tcW w:w="41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Balance at June 30, 2020</w:t>
            </w:r>
          </w:p>
        </w:tc>
        <w:tc>
          <w:tcPr>
            <w:tcW w:w="8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154,318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7"/>
              </w:rPr>
              <w:t>154</w:t>
            </w:r>
          </w:p>
        </w:tc>
        <w:tc>
          <w:tcPr>
            <w:tcW w:w="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1,129,091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(1,088,096)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41,392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i w:val="1"/>
                <w:iCs w:val="1"/>
                <w:color w:val="auto"/>
              </w:rPr>
              <w:t>For the three months ended June 30, 2019</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Balance at March 31, 2019</w:t>
            </w:r>
          </w:p>
        </w:tc>
        <w:tc>
          <w:tcPr>
            <w:tcW w:w="12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ind w:left="300"/>
              <w:spacing w:after="0"/>
              <w:rPr>
                <w:sz w:val="20"/>
                <w:szCs w:val="20"/>
                <w:color w:val="auto"/>
              </w:rPr>
            </w:pPr>
            <w:r>
              <w:rPr>
                <w:rFonts w:ascii="Arial" w:cs="Arial" w:eastAsia="Arial" w:hAnsi="Arial"/>
                <w:sz w:val="16"/>
                <w:szCs w:val="16"/>
                <w:color w:val="auto"/>
                <w:w w:val="93"/>
              </w:rPr>
              <w:t>152,672</w:t>
            </w:r>
          </w:p>
        </w:tc>
        <w:tc>
          <w:tcPr>
            <w:tcW w:w="12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224"/>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CCEEFF"/>
            </w:tcBorders>
          </w:tcPr>
          <w:p>
            <w:pPr>
              <w:jc w:val="right"/>
              <w:ind w:right="59"/>
              <w:spacing w:after="0"/>
              <w:rPr>
                <w:sz w:val="20"/>
                <w:szCs w:val="20"/>
                <w:color w:val="auto"/>
              </w:rPr>
            </w:pPr>
            <w:r>
              <w:rPr>
                <w:rFonts w:ascii="Arial" w:cs="Arial" w:eastAsia="Arial" w:hAnsi="Arial"/>
                <w:sz w:val="16"/>
                <w:szCs w:val="16"/>
                <w:color w:val="auto"/>
                <w:w w:val="97"/>
              </w:rPr>
              <w:t>153</w:t>
            </w:r>
          </w:p>
        </w:tc>
        <w:tc>
          <w:tcPr>
            <w:tcW w:w="2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80"/>
              <w:spacing w:after="0"/>
              <w:rPr>
                <w:sz w:val="20"/>
                <w:szCs w:val="20"/>
                <w:color w:val="auto"/>
              </w:rPr>
            </w:pPr>
            <w:r>
              <w:rPr>
                <w:rFonts w:ascii="Arial" w:cs="Arial" w:eastAsia="Arial" w:hAnsi="Arial"/>
                <w:sz w:val="16"/>
                <w:szCs w:val="16"/>
                <w:color w:val="auto"/>
              </w:rPr>
              <w:t>1,107,121</w:t>
            </w: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CCEEFF"/>
            </w:tcBorders>
          </w:tcPr>
          <w:p>
            <w:pPr>
              <w:jc w:val="center"/>
              <w:ind w:left="720"/>
              <w:spacing w:after="0"/>
              <w:rPr>
                <w:sz w:val="20"/>
                <w:szCs w:val="20"/>
                <w:color w:val="auto"/>
              </w:rPr>
            </w:pPr>
            <w:r>
              <w:rPr>
                <w:rFonts w:ascii="Arial" w:cs="Arial" w:eastAsia="Arial" w:hAnsi="Arial"/>
                <w:sz w:val="16"/>
                <w:szCs w:val="16"/>
                <w:color w:val="auto"/>
                <w:w w:val="89"/>
              </w:rPr>
              <w:t>6</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(1,012,430)</w:t>
            </w: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rPr>
              <w:t>94,850</w:t>
            </w:r>
          </w:p>
        </w:tc>
        <w:tc>
          <w:tcPr>
            <w:tcW w:w="0" w:type="dxa"/>
            <w:vAlign w:val="bottom"/>
          </w:tcPr>
          <w:p>
            <w:pPr>
              <w:spacing w:after="0"/>
              <w:rPr>
                <w:sz w:val="1"/>
                <w:szCs w:val="1"/>
                <w:color w:val="auto"/>
              </w:rPr>
            </w:pPr>
          </w:p>
        </w:tc>
      </w:tr>
      <w:tr>
        <w:trPr>
          <w:trHeight w:val="229"/>
        </w:trPr>
        <w:tc>
          <w:tcPr>
            <w:tcW w:w="4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loss</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(24,596)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(24,596)</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6"/>
                <w:szCs w:val="16"/>
                <w:color w:val="auto"/>
              </w:rPr>
              <w:t>Other comprehensive income</w:t>
            </w: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05"/>
        </w:trPr>
        <w:tc>
          <w:tcPr>
            <w:tcW w:w="41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8"/>
              </w:rPr>
              <w:t>Issuance of common stock in conjunction with equity plans</w:t>
            </w:r>
          </w:p>
        </w:tc>
        <w:tc>
          <w:tcPr>
            <w:tcW w:w="8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1,400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vMerge w:val="restart"/>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4"/>
                <w:szCs w:val="24"/>
                <w:color w:val="auto"/>
              </w:rPr>
            </w:pP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114"/>
        </w:trPr>
        <w:tc>
          <w:tcPr>
            <w:tcW w:w="2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4,089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2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4,089</w:t>
            </w:r>
          </w:p>
        </w:tc>
        <w:tc>
          <w:tcPr>
            <w:tcW w:w="0" w:type="dxa"/>
            <w:vAlign w:val="bottom"/>
          </w:tcPr>
          <w:p>
            <w:pPr>
              <w:spacing w:after="0"/>
              <w:rPr>
                <w:sz w:val="1"/>
                <w:szCs w:val="1"/>
                <w:color w:val="auto"/>
              </w:rPr>
            </w:pPr>
          </w:p>
        </w:tc>
      </w:tr>
      <w:tr>
        <w:trPr>
          <w:trHeight w:val="196"/>
        </w:trPr>
        <w:tc>
          <w:tcPr>
            <w:tcW w:w="41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Balance at June 30, 2019</w:t>
            </w:r>
          </w:p>
        </w:tc>
        <w:tc>
          <w:tcPr>
            <w:tcW w:w="8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152,959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1,112,610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(1,037,026)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75,754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w w:val="88"/>
              </w:rPr>
              <w:t>For the six months ended June 30, 2020</w:t>
            </w:r>
          </w:p>
        </w:tc>
        <w:tc>
          <w:tcPr>
            <w:tcW w:w="1400" w:type="dxa"/>
            <w:vAlign w:val="bottom"/>
            <w:tcBorders>
              <w:bottom w:val="single" w:sz="8" w:color="CCEEFF"/>
            </w:tcBorders>
            <w:gridSpan w:val="2"/>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00" w:type="dxa"/>
            <w:vAlign w:val="bottom"/>
            <w:gridSpan w:val="3"/>
          </w:tcPr>
          <w:p>
            <w:pPr>
              <w:spacing w:after="0"/>
              <w:rPr>
                <w:sz w:val="20"/>
                <w:szCs w:val="20"/>
                <w:color w:val="auto"/>
              </w:rPr>
            </w:pPr>
            <w:r>
              <w:rPr>
                <w:rFonts w:ascii="Arial" w:cs="Arial" w:eastAsia="Arial" w:hAnsi="Arial"/>
                <w:sz w:val="16"/>
                <w:szCs w:val="16"/>
                <w:b w:val="1"/>
                <w:bCs w:val="1"/>
                <w:color w:val="auto"/>
              </w:rPr>
              <w:t>Balance at December 31, 2019</w:t>
            </w:r>
          </w:p>
        </w:tc>
        <w:tc>
          <w:tcPr>
            <w:tcW w:w="860" w:type="dxa"/>
            <w:vAlign w:val="bottom"/>
          </w:tcPr>
          <w:p>
            <w:pPr>
              <w:ind w:left="300"/>
              <w:spacing w:after="0"/>
              <w:rPr>
                <w:sz w:val="20"/>
                <w:szCs w:val="20"/>
                <w:color w:val="auto"/>
              </w:rPr>
            </w:pPr>
            <w:r>
              <w:rPr>
                <w:rFonts w:ascii="Arial" w:cs="Arial" w:eastAsia="Arial" w:hAnsi="Arial"/>
                <w:sz w:val="16"/>
                <w:szCs w:val="16"/>
                <w:color w:val="auto"/>
                <w:w w:val="93"/>
              </w:rPr>
              <w:t>153,119</w:t>
            </w:r>
          </w:p>
        </w:tc>
        <w:tc>
          <w:tcPr>
            <w:tcW w:w="120" w:type="dxa"/>
            <w:vAlign w:val="bottom"/>
          </w:tcPr>
          <w:p>
            <w:pPr>
              <w:spacing w:after="0"/>
              <w:rPr>
                <w:sz w:val="22"/>
                <w:szCs w:val="22"/>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w w:val="97"/>
              </w:rPr>
              <w:t>153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1,120,999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720"/>
              <w:spacing w:after="0"/>
              <w:rPr>
                <w:sz w:val="20"/>
                <w:szCs w:val="20"/>
                <w:color w:val="auto"/>
              </w:rPr>
            </w:pPr>
            <w:r>
              <w:rPr>
                <w:rFonts w:ascii="Arial" w:cs="Arial" w:eastAsia="Arial" w:hAnsi="Arial"/>
                <w:sz w:val="16"/>
                <w:szCs w:val="16"/>
                <w:color w:val="auto"/>
                <w:w w:val="89"/>
              </w:rPr>
              <w:t>5</w:t>
            </w:r>
          </w:p>
        </w:tc>
        <w:tc>
          <w:tcPr>
            <w:tcW w:w="80" w:type="dxa"/>
            <w:vAlign w:val="bottom"/>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(1,066,240)</w:t>
            </w: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54,917</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(21,824)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(21,824)</w:t>
            </w:r>
          </w:p>
        </w:tc>
        <w:tc>
          <w:tcPr>
            <w:tcW w:w="0" w:type="dxa"/>
            <w:vAlign w:val="bottom"/>
          </w:tcPr>
          <w:p>
            <w:pPr>
              <w:spacing w:after="0"/>
              <w:rPr>
                <w:sz w:val="1"/>
                <w:szCs w:val="1"/>
                <w:color w:val="auto"/>
              </w:rPr>
            </w:pPr>
          </w:p>
        </w:tc>
      </w:tr>
      <w:tr>
        <w:trPr>
          <w:trHeight w:val="237"/>
        </w:trPr>
        <w:tc>
          <w:tcPr>
            <w:tcW w:w="4100" w:type="dxa"/>
            <w:vAlign w:val="bottom"/>
            <w:gridSpan w:val="3"/>
          </w:tcPr>
          <w:p>
            <w:pPr>
              <w:spacing w:after="0"/>
              <w:rPr>
                <w:sz w:val="20"/>
                <w:szCs w:val="20"/>
                <w:color w:val="auto"/>
              </w:rPr>
            </w:pPr>
            <w:r>
              <w:rPr>
                <w:rFonts w:ascii="Arial" w:cs="Arial" w:eastAsia="Arial" w:hAnsi="Arial"/>
                <w:sz w:val="16"/>
                <w:szCs w:val="16"/>
                <w:color w:val="auto"/>
              </w:rPr>
              <w:t>Other comprehensive income</w:t>
            </w:r>
          </w:p>
        </w:tc>
        <w:tc>
          <w:tcPr>
            <w:tcW w:w="98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restart"/>
          </w:tcPr>
          <w:p>
            <w:pPr>
              <w:jc w:val="right"/>
              <w:ind w:right="60"/>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vMerge w:val="restart"/>
          </w:tcPr>
          <w:p>
            <w:pPr>
              <w:jc w:val="right"/>
              <w:ind w:right="6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Adoption effect of Topic 326</w:t>
            </w: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18"/>
        </w:trPr>
        <w:tc>
          <w:tcPr>
            <w:tcW w:w="4100" w:type="dxa"/>
            <w:vAlign w:val="bottom"/>
            <w:gridSpan w:val="3"/>
          </w:tcPr>
          <w:p>
            <w:pPr>
              <w:spacing w:after="0"/>
              <w:rPr>
                <w:sz w:val="20"/>
                <w:szCs w:val="20"/>
                <w:color w:val="auto"/>
              </w:rPr>
            </w:pPr>
            <w:r>
              <w:rPr>
                <w:rFonts w:ascii="Arial" w:cs="Arial" w:eastAsia="Arial" w:hAnsi="Arial"/>
                <w:sz w:val="16"/>
                <w:szCs w:val="16"/>
                <w:color w:val="auto"/>
                <w:w w:val="98"/>
              </w:rPr>
              <w:t>Issuance of common stock in conjunction with equity plans</w:t>
            </w: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restart"/>
          </w:tcPr>
          <w:p>
            <w:pPr>
              <w:jc w:val="right"/>
              <w:ind w:right="80"/>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center"/>
              <w:ind w:left="6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60" w:type="dxa"/>
            <w:vAlign w:val="bottom"/>
            <w:vMerge w:val="restart"/>
          </w:tcPr>
          <w:p>
            <w:pPr>
              <w:jc w:val="right"/>
              <w:ind w:right="60"/>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114"/>
        </w:trPr>
        <w:tc>
          <w:tcPr>
            <w:tcW w:w="2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7,266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00" w:type="dxa"/>
            <w:vAlign w:val="bottom"/>
            <w:gridSpan w:val="3"/>
          </w:tcPr>
          <w:p>
            <w:pPr>
              <w:spacing w:after="0"/>
              <w:rPr>
                <w:sz w:val="20"/>
                <w:szCs w:val="20"/>
                <w:color w:val="auto"/>
              </w:rPr>
            </w:pPr>
            <w:r>
              <w:rPr>
                <w:rFonts w:ascii="Arial" w:cs="Arial" w:eastAsia="Arial" w:hAnsi="Arial"/>
                <w:sz w:val="16"/>
                <w:szCs w:val="16"/>
                <w:b w:val="1"/>
                <w:bCs w:val="1"/>
                <w:color w:val="auto"/>
              </w:rPr>
              <w:t>Balance at June 30, 2020</w:t>
            </w:r>
          </w:p>
        </w:tc>
        <w:tc>
          <w:tcPr>
            <w:tcW w:w="860" w:type="dxa"/>
            <w:vAlign w:val="bottom"/>
          </w:tcPr>
          <w:p>
            <w:pPr>
              <w:ind w:left="300"/>
              <w:spacing w:after="0"/>
              <w:rPr>
                <w:sz w:val="20"/>
                <w:szCs w:val="20"/>
                <w:color w:val="auto"/>
              </w:rPr>
            </w:pPr>
            <w:r>
              <w:rPr>
                <w:rFonts w:ascii="Arial" w:cs="Arial" w:eastAsia="Arial" w:hAnsi="Arial"/>
                <w:sz w:val="16"/>
                <w:szCs w:val="16"/>
                <w:color w:val="auto"/>
                <w:w w:val="93"/>
              </w:rPr>
              <w:t>154,318</w:t>
            </w:r>
          </w:p>
        </w:tc>
        <w:tc>
          <w:tcPr>
            <w:tcW w:w="12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w w:val="97"/>
              </w:rPr>
              <w:t>154</w:t>
            </w:r>
          </w:p>
        </w:tc>
        <w:tc>
          <w:tcPr>
            <w:tcW w:w="280" w:type="dxa"/>
            <w:vAlign w:val="bottom"/>
            <w:gridSpan w:val="2"/>
            <w:vMerge w:val="continue"/>
          </w:tcPr>
          <w:p>
            <w:pPr>
              <w:spacing w:after="0"/>
              <w:rPr>
                <w:sz w:val="24"/>
                <w:szCs w:val="24"/>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1,129,091</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(1,088,096)</w:t>
            </w: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41,392</w:t>
            </w:r>
          </w:p>
        </w:tc>
        <w:tc>
          <w:tcPr>
            <w:tcW w:w="0" w:type="dxa"/>
            <w:vAlign w:val="bottom"/>
          </w:tcPr>
          <w:p>
            <w:pPr>
              <w:spacing w:after="0"/>
              <w:rPr>
                <w:sz w:val="1"/>
                <w:szCs w:val="1"/>
                <w:color w:val="auto"/>
              </w:rPr>
            </w:pPr>
          </w:p>
        </w:tc>
      </w:tr>
      <w:tr>
        <w:trPr>
          <w:trHeight w:val="183"/>
        </w:trPr>
        <w:tc>
          <w:tcPr>
            <w:tcW w:w="27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8"/>
              </w:rPr>
              <w:t>For the six months ended June 30, 2019</w:t>
            </w:r>
          </w:p>
        </w:tc>
        <w:tc>
          <w:tcPr>
            <w:tcW w:w="140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1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8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150,244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7"/>
              </w:rPr>
              <w:t>150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1,096,053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(982,106)</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114,061</w:t>
            </w:r>
          </w:p>
        </w:tc>
        <w:tc>
          <w:tcPr>
            <w:tcW w:w="0" w:type="dxa"/>
            <w:vAlign w:val="bottom"/>
          </w:tcPr>
          <w:p>
            <w:pPr>
              <w:spacing w:after="0"/>
              <w:rPr>
                <w:sz w:val="1"/>
                <w:szCs w:val="1"/>
                <w:color w:val="auto"/>
              </w:rPr>
            </w:pPr>
          </w:p>
        </w:tc>
      </w:tr>
      <w:tr>
        <w:trPr>
          <w:trHeight w:val="237"/>
        </w:trPr>
        <w:tc>
          <w:tcPr>
            <w:tcW w:w="4100" w:type="dxa"/>
            <w:vAlign w:val="bottom"/>
            <w:gridSpan w:val="3"/>
          </w:tcPr>
          <w:p>
            <w:pPr>
              <w:spacing w:after="0"/>
              <w:rPr>
                <w:sz w:val="20"/>
                <w:szCs w:val="20"/>
                <w:color w:val="auto"/>
              </w:rPr>
            </w:pPr>
            <w:r>
              <w:rPr>
                <w:rFonts w:ascii="Arial" w:cs="Arial" w:eastAsia="Arial" w:hAnsi="Arial"/>
                <w:sz w:val="16"/>
                <w:szCs w:val="16"/>
                <w:color w:val="auto"/>
              </w:rPr>
              <w:t>Net loss</w:t>
            </w:r>
          </w:p>
        </w:tc>
        <w:tc>
          <w:tcPr>
            <w:tcW w:w="98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vMerge w:val="restart"/>
          </w:tcPr>
          <w:p>
            <w:pPr>
              <w:jc w:val="center"/>
              <w:ind w:left="6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0"/>
                <w:szCs w:val="20"/>
                <w:color w:val="auto"/>
              </w:rPr>
            </w:pPr>
          </w:p>
        </w:tc>
        <w:tc>
          <w:tcPr>
            <w:tcW w:w="1200" w:type="dxa"/>
            <w:vAlign w:val="bottom"/>
            <w:vMerge w:val="restart"/>
          </w:tcPr>
          <w:p>
            <w:pPr>
              <w:jc w:val="right"/>
              <w:ind w:right="20"/>
              <w:spacing w:after="0"/>
              <w:rPr>
                <w:sz w:val="20"/>
                <w:szCs w:val="20"/>
                <w:color w:val="auto"/>
              </w:rPr>
            </w:pPr>
            <w:r>
              <w:rPr>
                <w:rFonts w:ascii="Arial" w:cs="Arial" w:eastAsia="Arial" w:hAnsi="Arial"/>
                <w:sz w:val="16"/>
                <w:szCs w:val="16"/>
                <w:color w:val="auto"/>
              </w:rPr>
              <w:t>(54,920)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vMerge w:val="restart"/>
          </w:tcPr>
          <w:p>
            <w:pPr>
              <w:jc w:val="right"/>
              <w:ind w:right="20"/>
              <w:spacing w:after="0"/>
              <w:rPr>
                <w:sz w:val="20"/>
                <w:szCs w:val="20"/>
                <w:color w:val="auto"/>
              </w:rPr>
            </w:pPr>
            <w:r>
              <w:rPr>
                <w:rFonts w:ascii="Arial" w:cs="Arial" w:eastAsia="Arial" w:hAnsi="Arial"/>
                <w:sz w:val="16"/>
                <w:szCs w:val="16"/>
                <w:color w:val="auto"/>
              </w:rPr>
              <w:t>(54,920)</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1"/>
        </w:trPr>
        <w:tc>
          <w:tcPr>
            <w:tcW w:w="4100" w:type="dxa"/>
            <w:vAlign w:val="bottom"/>
            <w:gridSpan w:val="3"/>
          </w:tcPr>
          <w:p>
            <w:pPr>
              <w:spacing w:after="0"/>
              <w:rPr>
                <w:sz w:val="20"/>
                <w:szCs w:val="20"/>
                <w:color w:val="auto"/>
              </w:rPr>
            </w:pPr>
            <w:r>
              <w:rPr>
                <w:rFonts w:ascii="Arial" w:cs="Arial" w:eastAsia="Arial" w:hAnsi="Arial"/>
                <w:sz w:val="16"/>
                <w:szCs w:val="16"/>
                <w:color w:val="auto"/>
                <w:w w:val="98"/>
              </w:rPr>
              <w:t>Issuance of common stock in conjunction with equity plans</w:t>
            </w: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2,715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restart"/>
          </w:tcPr>
          <w:p>
            <w:pPr>
              <w:jc w:val="right"/>
              <w:ind w:right="80"/>
              <w:spacing w:after="0"/>
              <w:rPr>
                <w:sz w:val="20"/>
                <w:szCs w:val="20"/>
                <w:color w:val="auto"/>
              </w:rPr>
            </w:pPr>
            <w:r>
              <w:rPr>
                <w:rFonts w:ascii="Arial" w:cs="Arial" w:eastAsia="Arial" w:hAnsi="Arial"/>
                <w:sz w:val="16"/>
                <w:szCs w:val="16"/>
                <w:color w:val="auto"/>
              </w:rPr>
              <w:t>8,087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center"/>
              <w:ind w:left="6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60" w:type="dxa"/>
            <w:vAlign w:val="bottom"/>
            <w:vMerge w:val="restart"/>
          </w:tcPr>
          <w:p>
            <w:pPr>
              <w:jc w:val="right"/>
              <w:ind w:right="60"/>
              <w:spacing w:after="0"/>
              <w:rPr>
                <w:sz w:val="20"/>
                <w:szCs w:val="20"/>
                <w:color w:val="auto"/>
              </w:rPr>
            </w:pPr>
            <w:r>
              <w:rPr>
                <w:rFonts w:ascii="Arial" w:cs="Arial" w:eastAsia="Arial" w:hAnsi="Arial"/>
                <w:sz w:val="16"/>
                <w:szCs w:val="16"/>
                <w:color w:val="auto"/>
              </w:rPr>
              <w:t>8,090</w:t>
            </w: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8,470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left="640"/>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8,470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gridSpan w:val="3"/>
          </w:tcPr>
          <w:p>
            <w:pPr>
              <w:spacing w:after="0"/>
              <w:rPr>
                <w:sz w:val="20"/>
                <w:szCs w:val="20"/>
                <w:color w:val="auto"/>
              </w:rPr>
            </w:pPr>
            <w:r>
              <w:rPr>
                <w:rFonts w:ascii="Arial" w:cs="Arial" w:eastAsia="Arial" w:hAnsi="Arial"/>
                <w:sz w:val="16"/>
                <w:szCs w:val="16"/>
                <w:b w:val="1"/>
                <w:bCs w:val="1"/>
                <w:color w:val="auto"/>
              </w:rPr>
              <w:t>Balance at June 30, 2019</w:t>
            </w:r>
          </w:p>
        </w:tc>
        <w:tc>
          <w:tcPr>
            <w:tcW w:w="860" w:type="dxa"/>
            <w:vAlign w:val="bottom"/>
          </w:tcPr>
          <w:p>
            <w:pPr>
              <w:ind w:left="300"/>
              <w:spacing w:after="0"/>
              <w:rPr>
                <w:sz w:val="20"/>
                <w:szCs w:val="20"/>
                <w:color w:val="auto"/>
              </w:rPr>
            </w:pPr>
            <w:r>
              <w:rPr>
                <w:rFonts w:ascii="Arial" w:cs="Arial" w:eastAsia="Arial" w:hAnsi="Arial"/>
                <w:sz w:val="16"/>
                <w:szCs w:val="16"/>
                <w:color w:val="auto"/>
                <w:w w:val="93"/>
              </w:rPr>
              <w:t>152,959</w:t>
            </w:r>
          </w:p>
        </w:tc>
        <w:tc>
          <w:tcPr>
            <w:tcW w:w="120" w:type="dxa"/>
            <w:vAlign w:val="bottom"/>
          </w:tcPr>
          <w:p>
            <w:pPr>
              <w:spacing w:after="0"/>
              <w:rPr>
                <w:sz w:val="21"/>
                <w:szCs w:val="21"/>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w w:val="97"/>
              </w:rPr>
              <w:t>153</w:t>
            </w:r>
          </w:p>
        </w:tc>
        <w:tc>
          <w:tcPr>
            <w:tcW w:w="280" w:type="dxa"/>
            <w:vAlign w:val="bottom"/>
            <w:gridSpan w:val="2"/>
            <w:vMerge w:val="continue"/>
          </w:tcPr>
          <w:p>
            <w:pPr>
              <w:spacing w:after="0"/>
              <w:rPr>
                <w:sz w:val="21"/>
                <w:szCs w:val="21"/>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1,112,610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(1,037,026)</w:t>
            </w: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75,754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040" w:type="dxa"/>
            <w:vAlign w:val="bottom"/>
            <w:gridSpan w:val="6"/>
          </w:tcPr>
          <w:p>
            <w:pPr>
              <w:ind w:lef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860" w:type="dxa"/>
            <w:vAlign w:val="bottom"/>
            <w:gridSpan w:val="2"/>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3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59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8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(21,824)</w:t>
            </w:r>
          </w:p>
        </w:tc>
        <w:tc>
          <w:tcPr>
            <w:tcW w:w="4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from Continuation Advances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operating lease right-of-use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Amortization of debt discount and financing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on derivative</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(accretion) from investment premium (discount)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Deferred gain from Reverse Termination Fee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Borders>
              <w:bottom w:val="single" w:sz="8" w:color="CCEEFF"/>
            </w:tcBorders>
          </w:tcPr>
          <w:p>
            <w:pPr>
              <w:spacing w:after="0"/>
              <w:rPr>
                <w:sz w:val="18"/>
                <w:szCs w:val="18"/>
                <w:color w:val="auto"/>
              </w:rPr>
            </w:pPr>
          </w:p>
        </w:tc>
        <w:tc>
          <w:tcPr>
            <w:tcW w:w="69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of investments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Maturities of investments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shd w:val="clear" w:color="auto" w:fill="CCEEFF"/>
          </w:tcPr>
          <w:p>
            <w:pPr>
              <w:spacing w:after="0"/>
              <w:rPr>
                <w:sz w:val="18"/>
                <w:szCs w:val="18"/>
                <w:color w:val="auto"/>
              </w:rPr>
            </w:pP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Continuation Advances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Notes payable principal payoff</w:t>
            </w: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from equity plans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80" w:type="dxa"/>
            <w:vAlign w:val="bottom"/>
            <w:tcBorders>
              <w:bottom w:val="single" w:sz="8" w:color="CCEEFF"/>
            </w:tcBorders>
          </w:tcPr>
          <w:p>
            <w:pPr>
              <w:spacing w:after="0"/>
              <w:rPr>
                <w:sz w:val="20"/>
                <w:szCs w:val="20"/>
                <w:color w:val="auto"/>
              </w:rPr>
            </w:pPr>
          </w:p>
        </w:tc>
        <w:tc>
          <w:tcPr>
            <w:tcW w:w="69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18,827</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increase in cash and cash equivalents and restricted cash</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33,627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 and restricted cash at end of period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46,842</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Restricted cash at end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CCEEFF"/>
            </w:tcBorders>
            <w:gridSpan w:val="2"/>
          </w:tcPr>
          <w:p>
            <w:pPr>
              <w:ind w:left="120"/>
              <w:spacing w:after="0" w:line="196" w:lineRule="exact"/>
              <w:rPr>
                <w:sz w:val="20"/>
                <w:szCs w:val="20"/>
                <w:color w:val="auto"/>
              </w:rPr>
            </w:pPr>
            <w:r>
              <w:rPr>
                <w:rFonts w:ascii="Arial" w:cs="Arial" w:eastAsia="Arial" w:hAnsi="Arial"/>
                <w:sz w:val="18"/>
                <w:szCs w:val="18"/>
                <w:color w:val="auto"/>
              </w:rPr>
              <w:t>Cash and cash equivalents and restricted cash at end of period</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46,842</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86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Inventory transferred to property and equipment</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337" w:lineRule="exact"/>
        <w:rPr>
          <w:sz w:val="20"/>
          <w:szCs w:val="20"/>
          <w:color w:val="auto"/>
        </w:rPr>
      </w:pPr>
    </w:p>
    <w:p>
      <w:pPr>
        <w:ind w:right="180" w:firstLine="440"/>
        <w:spacing w:after="0" w:line="225" w:lineRule="auto"/>
        <w:rPr>
          <w:sz w:val="20"/>
          <w:szCs w:val="20"/>
          <w:color w:val="auto"/>
        </w:rPr>
      </w:pPr>
      <w:r>
        <w:rPr>
          <w:rFonts w:ascii="Arial" w:cs="Arial" w:eastAsia="Arial" w:hAnsi="Arial"/>
          <w:sz w:val="18"/>
          <w:szCs w:val="18"/>
          <w:color w:val="auto"/>
        </w:rPr>
        <w:t xml:space="preserve">We design, develop and manufacture sequencing systems to help scientists resolve genetically complex problems. Based on our novel Single Molecule, Real-Time (SMRT®) sequencing technology, our products enable: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46" w:lineRule="exact"/>
        <w:rPr>
          <w:sz w:val="20"/>
          <w:szCs w:val="20"/>
          <w:color w:val="auto"/>
        </w:rPr>
      </w:pPr>
    </w:p>
    <w:p>
      <w:pPr>
        <w:ind w:right="500" w:firstLine="440"/>
        <w:spacing w:after="0" w:line="235" w:lineRule="auto"/>
        <w:rPr>
          <w:sz w:val="20"/>
          <w:szCs w:val="20"/>
          <w:color w:val="auto"/>
        </w:rPr>
      </w:pPr>
      <w:r>
        <w:rPr>
          <w:rFonts w:ascii="Arial" w:cs="Arial" w:eastAsia="Arial" w:hAnsi="Arial"/>
          <w:sz w:val="18"/>
          <w:szCs w:val="18"/>
          <w:color w:val="auto"/>
        </w:rPr>
        <w:t>Our current products include the Sequel II instrument and SMRT Cell 8M, which together are capable of sequencing up to approximately eight million DNA molecules simultaneously, and the previous generation Sequel instrument and Sequel SMRT Cell 1M, which together are capable of sequencing up to approximately one million DNA molecules simultaneously.</w:t>
      </w:r>
    </w:p>
    <w:p>
      <w:pPr>
        <w:spacing w:after="0" w:line="40" w:lineRule="exact"/>
        <w:rPr>
          <w:sz w:val="20"/>
          <w:szCs w:val="20"/>
          <w:color w:val="auto"/>
        </w:rPr>
      </w:pPr>
    </w:p>
    <w:p>
      <w:pPr>
        <w:ind w:right="120" w:firstLine="440"/>
        <w:spacing w:after="0" w:line="258" w:lineRule="auto"/>
        <w:rPr>
          <w:sz w:val="20"/>
          <w:szCs w:val="20"/>
          <w:color w:val="auto"/>
        </w:rPr>
      </w:pPr>
      <w:r>
        <w:rPr>
          <w:rFonts w:ascii="Arial" w:cs="Arial" w:eastAsia="Arial" w:hAnsi="Arial"/>
          <w:sz w:val="16"/>
          <w:szCs w:val="16"/>
          <w:color w:val="auto"/>
        </w:rPr>
        <w:t>Our customers and our scientific collaborators have published numerous peer-reviewed articles in journals including Nature, Science, Cell, PNAS and The New England Journal of Medicine highlighting the power and applications of SMRT sequencing in projects such as finishing genomes, structural variation discovery, isoform transcriptome characterization, rare mutation discovery and the identification of chemical modifications of DNA related to virulence and pathogenicity. 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names “Pacific Biosciences,” “PacBio,” “SMRT,” “SMRTbell,” “Sequel” and our logo are our trademarks.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TERMINATION OF MERGER WITH ILLUMINA</w:t>
      </w:r>
    </w:p>
    <w:p>
      <w:pPr>
        <w:spacing w:after="0" w:line="337" w:lineRule="exact"/>
        <w:rPr>
          <w:sz w:val="20"/>
          <w:szCs w:val="20"/>
          <w:color w:val="auto"/>
        </w:rPr>
      </w:pPr>
    </w:p>
    <w:p>
      <w:pPr>
        <w:ind w:right="40" w:firstLine="440"/>
        <w:spacing w:after="0" w:line="261" w:lineRule="auto"/>
        <w:rPr>
          <w:sz w:val="20"/>
          <w:szCs w:val="20"/>
          <w:color w:val="auto"/>
        </w:rPr>
      </w:pPr>
      <w:r>
        <w:rPr>
          <w:rFonts w:ascii="Arial" w:cs="Arial" w:eastAsia="Arial" w:hAnsi="Arial"/>
          <w:sz w:val="16"/>
          <w:szCs w:val="16"/>
          <w:color w:val="auto"/>
        </w:rPr>
        <w:t>On November 1, 2018, we entered into an Agreement and Plan of Merger (as amended, the “Merger Agreement”) with Illumina, Inc. (“Illumina”) and FC Ops Corp., a wholly owned subsidiary of Illumina (“Merger Subsidiary”). On January 2, 2020, we, Illumina and Merger Subsidiary, entered into an agreement to terminate the Merger Agreement (the “Termination Agreement”). As part of the Termination Agreement, Illumina paid us a $98.0 million termination fee (the “Reverse Termination Fee”), from which we paid our financial advisor associated fees of $6.0 million in April 2020, which is less than the amount we initially expected. In addition, Illumina paid us cash payments (“Continuation Advances”) of $34.0 million during the first quarter of 2020.</w:t>
      </w:r>
    </w:p>
    <w:p>
      <w:pPr>
        <w:spacing w:after="0" w:line="26" w:lineRule="exact"/>
        <w:rPr>
          <w:sz w:val="20"/>
          <w:szCs w:val="20"/>
          <w:color w:val="auto"/>
        </w:rPr>
      </w:pPr>
    </w:p>
    <w:p>
      <w:pPr>
        <w:ind w:firstLine="440"/>
        <w:spacing w:after="0"/>
        <w:rPr>
          <w:sz w:val="20"/>
          <w:szCs w:val="20"/>
          <w:color w:val="auto"/>
        </w:rPr>
      </w:pPr>
      <w:r>
        <w:rPr>
          <w:rFonts w:ascii="Arial" w:cs="Arial" w:eastAsia="Arial" w:hAnsi="Arial"/>
          <w:sz w:val="17"/>
          <w:szCs w:val="17"/>
          <w:color w:val="auto"/>
        </w:rPr>
        <w:t>However, pursuant to the Termination Agreement, in the event that, on or prior to September 30, 2020, we enter into a definitive agreement providing for, or consummate, a Change of Control Transaction (as defined in the Termination Agreement) (“Change of Control Transaction”), then we may be required to repay the Reverse Termination Fee (without interest) to Illumina in connection with the consummation of such Change of Control Transaction. If such Change of Control Transaction is not consummated by the two-year anniversary of the execution of the definitive agreement for such Change of Control Transaction, then we will not be required to repay the Reverse Termination Fee. Please refer to “Note 5. Balance Sheet Components” for the accounting treatment of the Reverse Termination Fee.</w:t>
      </w:r>
    </w:p>
    <w:p>
      <w:pPr>
        <w:spacing w:after="0" w:line="42" w:lineRule="exact"/>
        <w:rPr>
          <w:sz w:val="20"/>
          <w:szCs w:val="20"/>
          <w:color w:val="auto"/>
        </w:rPr>
      </w:pPr>
    </w:p>
    <w:p>
      <w:pPr>
        <w:ind w:right="120" w:firstLine="485"/>
        <w:spacing w:after="0" w:line="231" w:lineRule="auto"/>
        <w:rPr>
          <w:sz w:val="20"/>
          <w:szCs w:val="20"/>
          <w:color w:val="auto"/>
        </w:rPr>
      </w:pPr>
      <w:r>
        <w:rPr>
          <w:rFonts w:ascii="Arial" w:cs="Arial" w:eastAsia="Arial" w:hAnsi="Arial"/>
          <w:sz w:val="18"/>
          <w:szCs w:val="18"/>
          <w:color w:val="auto"/>
        </w:rPr>
        <w:t>In addition, up to the $52.0 million of the Continuation Advances paid to us are repayable without interest to Illumina if, within two years of March 31, 2020, we enter into, or consummate a Change of Control Transaction or raise at least $100 million in equity in a single transaction or debt financing (that may have multiple closings), with the amount repayable dependent on the amount raised by us. Please refer to “Note 3. Summary of Significant Accounting Policies” for the accounting treatment of the Continuation Advances.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63" w:lineRule="exact"/>
        <w:rPr>
          <w:sz w:val="20"/>
          <w:szCs w:val="20"/>
          <w:color w:val="auto"/>
        </w:rPr>
      </w:pPr>
    </w:p>
    <w:p>
      <w:pPr>
        <w:ind w:firstLine="440"/>
        <w:spacing w:after="0" w:line="238" w:lineRule="auto"/>
        <w:rPr>
          <w:sz w:val="20"/>
          <w:szCs w:val="20"/>
          <w:color w:val="auto"/>
        </w:rPr>
      </w:pPr>
      <w:r>
        <w:rPr>
          <w:rFonts w:ascii="Arial" w:cs="Arial" w:eastAsia="Arial" w:hAnsi="Arial"/>
          <w:sz w:val="17"/>
          <w:szCs w:val="17"/>
          <w:color w:val="auto"/>
        </w:rPr>
        <w:t>In the opinion of management, our accompanying unaudited condensed consolidated financial statements (“Financial Statements”) have been prepared on a consistent basis with our December 31, 2019 audited consolidated financial statements and include all adjustments, consisting of only normal recurring adjustments, necessary to fairly state the information set forth herein. The Financial Statements have been prepared in accordance with the rules and regulations of the Securities and Exchange Commission (“SEC”) and, as permitted by such rules and regulations, omit certain information and footnote disclosures necessary to present the statements in accordance with accounting principles generally accepted in the United States (“U.S. GAAP”). These Financial Statements should be read in conjunction with the audited consolidated financial statements and notes thereto included in our Annual Report on Form 10-K for the year ended December 31, 2019. The results of operations for the three and six months ended June 30, 2020 are not necessarily indicative of the results to be expected for the entire year or any future periods.</w:t>
      </w:r>
    </w:p>
    <w:p>
      <w:pPr>
        <w:spacing w:after="0" w:line="42" w:lineRule="exact"/>
        <w:rPr>
          <w:sz w:val="20"/>
          <w:szCs w:val="20"/>
          <w:color w:val="auto"/>
        </w:rPr>
      </w:pPr>
    </w:p>
    <w:p>
      <w:pPr>
        <w:ind w:right="180" w:firstLine="440"/>
        <w:spacing w:after="0" w:line="246" w:lineRule="auto"/>
        <w:rPr>
          <w:sz w:val="20"/>
          <w:szCs w:val="20"/>
          <w:color w:val="auto"/>
        </w:rPr>
      </w:pPr>
      <w:r>
        <w:rPr>
          <w:rFonts w:ascii="Arial" w:cs="Arial" w:eastAsia="Arial" w:hAnsi="Arial"/>
          <w:sz w:val="18"/>
          <w:szCs w:val="18"/>
          <w:color w:val="auto"/>
        </w:rPr>
        <w:t>The condensed consolidated financial statements include the accounts of Pacific Biosciences and our wholly-owned subsidiaries. All intercompany transactions and balances have been eliminated.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63" w:lineRule="exact"/>
        <w:rPr>
          <w:sz w:val="20"/>
          <w:szCs w:val="20"/>
          <w:color w:val="auto"/>
        </w:rPr>
      </w:pPr>
    </w:p>
    <w:p>
      <w:pPr>
        <w:jc w:val="both"/>
        <w:ind w:right="380" w:firstLine="440"/>
        <w:spacing w:after="0" w:line="276" w:lineRule="auto"/>
        <w:rPr>
          <w:sz w:val="20"/>
          <w:szCs w:val="20"/>
          <w:color w:val="auto"/>
        </w:rPr>
      </w:pPr>
      <w:r>
        <w:rPr>
          <w:rFonts w:ascii="Arial" w:cs="Arial" w:eastAsia="Arial" w:hAnsi="Arial"/>
          <w:sz w:val="16"/>
          <w:szCs w:val="16"/>
          <w:color w:val="auto"/>
        </w:rPr>
        <w:t>We are subject to risks and uncertainties as a result of the novel coronavirus pandemic (COVID-19). The extent of the impact of the COVID-19 pandemic on our business is highly uncertain as responses to the pandemic can change quickly and information is rapidly evolving. We considered the impact of COVID-19 on the assumptions and estimates used to determine the results reported and asset valuations as of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63" w:lineRule="exact"/>
        <w:rPr>
          <w:sz w:val="20"/>
          <w:szCs w:val="20"/>
          <w:color w:val="auto"/>
        </w:rPr>
      </w:pPr>
    </w:p>
    <w:p>
      <w:pPr>
        <w:ind w:right="80" w:firstLine="440"/>
        <w:spacing w:after="0" w:line="239"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amounts reported in the financial statements and accompanying notes to the financial statements. Our estimates include, but are not limited to, the valuation of inventory, the determination of stand-alone selling prices for revenue recognition, the valuation of a financing derivative and long-term notes, the probability of repaying the Continuation Advances and Reverse Termination Fee to Illumina, the valuation and recognition of share-based compensation, the expected renewal period for service contracts to derive the amortization period for capitalized commissions, the useful lives assigned to long-lived assets, the computation of provisions for income taxes and the determination of the internal borrowing rate used in calculating the operating lease right-of-use assets and operating lease liabilities. Actual results could differ materially from these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63" w:lineRule="exact"/>
        <w:rPr>
          <w:sz w:val="20"/>
          <w:szCs w:val="20"/>
          <w:color w:val="auto"/>
        </w:rPr>
      </w:pPr>
    </w:p>
    <w:p>
      <w:pPr>
        <w:ind w:right="380" w:firstLine="440"/>
        <w:spacing w:after="0" w:line="246" w:lineRule="auto"/>
        <w:rPr>
          <w:sz w:val="20"/>
          <w:szCs w:val="20"/>
          <w:color w:val="auto"/>
        </w:rPr>
      </w:pPr>
      <w:r>
        <w:rPr>
          <w:rFonts w:ascii="Arial" w:cs="Arial" w:eastAsia="Arial" w:hAnsi="Arial"/>
          <w:sz w:val="18"/>
          <w:szCs w:val="18"/>
          <w:color w:val="auto"/>
        </w:rPr>
        <w:t>The carrying amount of our accounts receivable, prepaid expenses, other current assets, accounts payable, accrued expenses and other liabilities, current, approximate fair value due to their short maturities.</w:t>
      </w:r>
    </w:p>
    <w:p>
      <w:pPr>
        <w:spacing w:after="0" w:line="35" w:lineRule="exact"/>
        <w:rPr>
          <w:sz w:val="20"/>
          <w:szCs w:val="20"/>
          <w:color w:val="auto"/>
        </w:rPr>
      </w:pPr>
    </w:p>
    <w:p>
      <w:pPr>
        <w:ind w:right="780" w:firstLine="440"/>
        <w:spacing w:after="0" w:line="274" w:lineRule="auto"/>
        <w:rPr>
          <w:sz w:val="20"/>
          <w:szCs w:val="20"/>
          <w:color w:val="auto"/>
        </w:rPr>
      </w:pPr>
      <w:r>
        <w:rPr>
          <w:rFonts w:ascii="Arial" w:cs="Arial" w:eastAsia="Arial" w:hAnsi="Arial"/>
          <w:sz w:val="17"/>
          <w:szCs w:val="17"/>
          <w:color w:val="auto"/>
        </w:rPr>
        <w:t>The fair value hierarchy established under U.S. GAAP requires an entity to maximize the use of observable inputs and minimize the use of unobservable inputs when measuring fair value. The three levels of inputs that may be used to measure fair value are as follows:</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90" w:lineRule="exact"/>
        <w:rPr>
          <w:sz w:val="20"/>
          <w:szCs w:val="20"/>
          <w:color w:val="auto"/>
        </w:rPr>
      </w:pPr>
    </w:p>
    <w:p>
      <w:pPr>
        <w:ind w:left="1100" w:right="20"/>
        <w:spacing w:after="0" w:line="253" w:lineRule="auto"/>
        <w:rPr>
          <w:sz w:val="20"/>
          <w:szCs w:val="20"/>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57" w:lineRule="exact"/>
        <w:rPr>
          <w:sz w:val="20"/>
          <w:szCs w:val="20"/>
          <w:color w:val="auto"/>
        </w:rPr>
      </w:pPr>
    </w:p>
    <w:p>
      <w:pPr>
        <w:ind w:left="1100" w:right="580"/>
        <w:spacing w:after="0" w:line="246"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35" w:lineRule="exact"/>
        <w:rPr>
          <w:sz w:val="20"/>
          <w:szCs w:val="20"/>
          <w:color w:val="auto"/>
        </w:rPr>
      </w:pPr>
    </w:p>
    <w:p>
      <w:pPr>
        <w:ind w:right="100" w:firstLine="482"/>
        <w:spacing w:after="0" w:line="246" w:lineRule="auto"/>
        <w:rPr>
          <w:sz w:val="20"/>
          <w:szCs w:val="20"/>
          <w:color w:val="auto"/>
        </w:rPr>
      </w:pPr>
      <w:r>
        <w:rPr>
          <w:rFonts w:ascii="Arial" w:cs="Arial" w:eastAsia="Arial" w:hAnsi="Arial"/>
          <w:sz w:val="17"/>
          <w:szCs w:val="17"/>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36" w:lineRule="exact"/>
        <w:rPr>
          <w:sz w:val="20"/>
          <w:szCs w:val="20"/>
          <w:color w:val="auto"/>
        </w:rPr>
      </w:pPr>
    </w:p>
    <w:p>
      <w:pPr>
        <w:ind w:right="140" w:firstLine="440"/>
        <w:spacing w:after="0" w:line="225" w:lineRule="auto"/>
        <w:rPr>
          <w:sz w:val="20"/>
          <w:szCs w:val="20"/>
          <w:color w:val="auto"/>
        </w:rPr>
      </w:pPr>
      <w:r>
        <w:rPr>
          <w:rFonts w:ascii="Arial" w:cs="Arial" w:eastAsia="Arial" w:hAnsi="Arial"/>
          <w:sz w:val="18"/>
          <w:szCs w:val="18"/>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80" w:firstLine="440"/>
        <w:spacing w:after="0" w:line="235"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fair value of our financial assets and liabilities that were measured on a recurring basis as of June 30, 2020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June 30, 2020</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3"/>
                <w:szCs w:val="13"/>
                <w:b w:val="1"/>
                <w:bCs w:val="1"/>
                <w:color w:val="auto"/>
              </w:rPr>
              <w:t>December 31, 2019</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83"/>
        </w:trPr>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760" w:type="dxa"/>
            <w:vAlign w:val="bottom"/>
          </w:tcPr>
          <w:p>
            <w:pPr>
              <w:jc w:val="right"/>
              <w:ind w:right="209"/>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Level 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1"/>
        </w:trPr>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01"/>
        </w:trPr>
        <w:tc>
          <w:tcPr>
            <w:tcW w:w="290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2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Cash and money market funds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33,294</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33,294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left w:val="single" w:sz="8" w:color="CCEEFF"/>
            </w:tcBorders>
            <w:gridSpan w:val="2"/>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18,644</w:t>
            </w:r>
          </w:p>
        </w:tc>
      </w:tr>
      <w:tr>
        <w:trPr>
          <w:trHeight w:val="229"/>
        </w:trPr>
        <w:tc>
          <w:tcPr>
            <w:tcW w:w="2900" w:type="dxa"/>
            <w:vAlign w:val="bottom"/>
            <w:gridSpan w:val="3"/>
          </w:tcPr>
          <w:p>
            <w:pPr>
              <w:spacing w:after="0"/>
              <w:rPr>
                <w:sz w:val="20"/>
                <w:szCs w:val="20"/>
                <w:color w:val="auto"/>
              </w:rPr>
            </w:pPr>
            <w:r>
              <w:rPr>
                <w:rFonts w:ascii="Arial" w:cs="Arial" w:eastAsia="Arial" w:hAnsi="Arial"/>
                <w:sz w:val="14"/>
                <w:szCs w:val="14"/>
                <w:color w:val="auto"/>
              </w:rPr>
              <w:t>Commercial paper</w:t>
            </w:r>
          </w:p>
        </w:tc>
        <w:tc>
          <w:tcPr>
            <w:tcW w:w="160" w:type="dxa"/>
            <w:vAlign w:val="bottom"/>
          </w:tcPr>
          <w:p>
            <w:pPr>
              <w:spacing w:after="0"/>
              <w:rPr>
                <w:sz w:val="19"/>
                <w:szCs w:val="19"/>
                <w:color w:val="auto"/>
              </w:rPr>
            </w:pPr>
          </w:p>
        </w:tc>
        <w:tc>
          <w:tcPr>
            <w:tcW w:w="8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10,983</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10,983</w:t>
            </w:r>
          </w:p>
        </w:tc>
      </w:tr>
      <w:tr>
        <w:trPr>
          <w:trHeight w:val="20"/>
        </w:trPr>
        <w:tc>
          <w:tcPr>
            <w:tcW w:w="74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23"/>
        </w:trPr>
        <w:tc>
          <w:tcPr>
            <w:tcW w:w="2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cash and cash equivalents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33,294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43,342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10,983</w:t>
            </w:r>
          </w:p>
        </w:tc>
        <w:tc>
          <w:tcPr>
            <w:tcW w:w="140" w:type="dxa"/>
            <w:vAlign w:val="bottom"/>
            <w:tcBorders>
              <w:lef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29,627</w:t>
            </w:r>
          </w:p>
        </w:tc>
      </w:tr>
      <w:tr>
        <w:trPr>
          <w:trHeight w:val="216"/>
        </w:trPr>
        <w:tc>
          <w:tcPr>
            <w:tcW w:w="2900" w:type="dxa"/>
            <w:vAlign w:val="bottom"/>
            <w:gridSpan w:val="3"/>
          </w:tcPr>
          <w:p>
            <w:pPr>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2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51,929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51,929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16,971</w:t>
            </w:r>
          </w:p>
        </w:tc>
        <w:tc>
          <w:tcPr>
            <w:tcW w:w="140" w:type="dxa"/>
            <w:vAlign w:val="bottom"/>
            <w:tcBorders>
              <w:lef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16,971</w:t>
            </w:r>
          </w:p>
        </w:tc>
      </w:tr>
      <w:tr>
        <w:trPr>
          <w:trHeight w:val="229"/>
        </w:trPr>
        <w:tc>
          <w:tcPr>
            <w:tcW w:w="2900" w:type="dxa"/>
            <w:vAlign w:val="bottom"/>
            <w:gridSpan w:val="3"/>
          </w:tcPr>
          <w:p>
            <w:pPr>
              <w:spacing w:after="0"/>
              <w:rPr>
                <w:sz w:val="20"/>
                <w:szCs w:val="20"/>
                <w:color w:val="auto"/>
              </w:rPr>
            </w:pPr>
            <w:r>
              <w:rPr>
                <w:rFonts w:ascii="Arial" w:cs="Arial" w:eastAsia="Arial" w:hAnsi="Arial"/>
                <w:sz w:val="14"/>
                <w:szCs w:val="14"/>
                <w:color w:val="auto"/>
              </w:rPr>
              <w:t>Corporate debt securities</w:t>
            </w:r>
          </w:p>
        </w:tc>
        <w:tc>
          <w:tcPr>
            <w:tcW w:w="160" w:type="dxa"/>
            <w:vAlign w:val="bottom"/>
          </w:tcPr>
          <w:p>
            <w:pPr>
              <w:spacing w:after="0"/>
              <w:rPr>
                <w:sz w:val="19"/>
                <w:szCs w:val="19"/>
                <w:color w:val="auto"/>
              </w:rPr>
            </w:pPr>
          </w:p>
        </w:tc>
        <w:tc>
          <w:tcPr>
            <w:tcW w:w="8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2,501</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2,501</w:t>
            </w:r>
          </w:p>
        </w:tc>
      </w:tr>
      <w:tr>
        <w:trPr>
          <w:trHeight w:val="229"/>
        </w:trPr>
        <w:tc>
          <w:tcPr>
            <w:tcW w:w="2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US government &amp; agency securities</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10"/>
        </w:trPr>
        <w:tc>
          <w:tcPr>
            <w:tcW w:w="2900" w:type="dxa"/>
            <w:vAlign w:val="bottom"/>
            <w:gridSpan w:val="3"/>
          </w:tcPr>
          <w:p>
            <w:pPr>
              <w:spacing w:after="0"/>
              <w:rPr>
                <w:sz w:val="20"/>
                <w:szCs w:val="20"/>
                <w:color w:val="auto"/>
              </w:rPr>
            </w:pPr>
            <w:r>
              <w:rPr>
                <w:rFonts w:ascii="Arial" w:cs="Arial" w:eastAsia="Arial" w:hAnsi="Arial"/>
                <w:sz w:val="14"/>
                <w:szCs w:val="14"/>
                <w:color w:val="auto"/>
              </w:rPr>
              <w:t>Total investments</w:t>
            </w:r>
          </w:p>
        </w:tc>
        <w:tc>
          <w:tcPr>
            <w:tcW w:w="160" w:type="dxa"/>
            <w:vAlign w:val="bottom"/>
          </w:tcPr>
          <w:p>
            <w:pPr>
              <w:spacing w:after="0"/>
              <w:rPr>
                <w:sz w:val="18"/>
                <w:szCs w:val="18"/>
                <w:color w:val="auto"/>
              </w:rPr>
            </w:pPr>
          </w:p>
        </w:tc>
        <w:tc>
          <w:tcPr>
            <w:tcW w:w="8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76,621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76,621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19,472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19,472</w:t>
            </w:r>
          </w:p>
        </w:tc>
      </w:tr>
      <w:tr>
        <w:trPr>
          <w:trHeight w:val="216"/>
        </w:trPr>
        <w:tc>
          <w:tcPr>
            <w:tcW w:w="2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Long-term restricted cash:</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3"/>
        </w:trPr>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Cash</w:t>
            </w:r>
          </w:p>
        </w:tc>
        <w:tc>
          <w:tcPr>
            <w:tcW w:w="13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3,500</w:t>
            </w: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3,500</w:t>
            </w: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4,000</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4,000</w:t>
            </w:r>
          </w:p>
        </w:tc>
      </w:tr>
      <w:tr>
        <w:trPr>
          <w:trHeight w:val="20"/>
        </w:trPr>
        <w:tc>
          <w:tcPr>
            <w:tcW w:w="74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96"/>
        </w:trPr>
        <w:tc>
          <w:tcPr>
            <w:tcW w:w="2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assets measured at fair value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36,794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86,669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30,455</w:t>
            </w:r>
          </w:p>
        </w:tc>
        <w:tc>
          <w:tcPr>
            <w:tcW w:w="820" w:type="dxa"/>
            <w:vAlign w:val="bottom"/>
            <w:tcBorders>
              <w:left w:val="single" w:sz="8" w:color="CCEEFF"/>
            </w:tcBorders>
            <w:gridSpan w:val="2"/>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53,099</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70"/>
        </w:trPr>
        <w:tc>
          <w:tcPr>
            <w:tcW w:w="29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tcBorders>
              <w:lef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70"/>
        </w:trPr>
        <w:tc>
          <w:tcPr>
            <w:tcW w:w="2900" w:type="dxa"/>
            <w:vAlign w:val="bottom"/>
            <w:gridSpan w:val="3"/>
          </w:tcPr>
          <w:p>
            <w:pPr>
              <w:spacing w:after="0"/>
              <w:rPr>
                <w:sz w:val="20"/>
                <w:szCs w:val="20"/>
                <w:color w:val="auto"/>
              </w:rPr>
            </w:pPr>
            <w:r>
              <w:rPr>
                <w:rFonts w:ascii="Arial" w:cs="Arial" w:eastAsia="Arial" w:hAnsi="Arial"/>
                <w:sz w:val="14"/>
                <w:szCs w:val="14"/>
                <w:color w:val="auto"/>
              </w:rPr>
              <w:t>Financing Derivative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557"/>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2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Continuation Advances</w:t>
            </w:r>
          </w:p>
        </w:tc>
        <w:tc>
          <w:tcPr>
            <w:tcW w:w="1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37"/>
        </w:trPr>
        <w:tc>
          <w:tcPr>
            <w:tcW w:w="2900" w:type="dxa"/>
            <w:vAlign w:val="bottom"/>
            <w:gridSpan w:val="3"/>
          </w:tcPr>
          <w:p>
            <w:pPr>
              <w:spacing w:after="0"/>
              <w:rPr>
                <w:sz w:val="20"/>
                <w:szCs w:val="20"/>
                <w:color w:val="auto"/>
              </w:rPr>
            </w:pPr>
            <w:r>
              <w:rPr>
                <w:rFonts w:ascii="Arial" w:cs="Arial" w:eastAsia="Arial" w:hAnsi="Arial"/>
                <w:sz w:val="14"/>
                <w:szCs w:val="14"/>
                <w:color w:val="auto"/>
              </w:rPr>
              <w:t>Total liabilities measured at fair value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557"/>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fair value of the financing derivative liability</w:t>
      </w:r>
    </w:p>
    <w:p>
      <w:pPr>
        <w:spacing w:after="0" w:line="63" w:lineRule="exact"/>
        <w:rPr>
          <w:sz w:val="20"/>
          <w:szCs w:val="20"/>
          <w:color w:val="auto"/>
        </w:rPr>
      </w:pPr>
    </w:p>
    <w:p>
      <w:pPr>
        <w:ind w:right="40" w:firstLine="440"/>
        <w:spacing w:after="0" w:line="235" w:lineRule="auto"/>
        <w:rPr>
          <w:sz w:val="20"/>
          <w:szCs w:val="20"/>
          <w:color w:val="auto"/>
        </w:rPr>
      </w:pPr>
      <w:r>
        <w:rPr>
          <w:rFonts w:ascii="Arial" w:cs="Arial" w:eastAsia="Arial" w:hAnsi="Arial"/>
          <w:sz w:val="18"/>
          <w:szCs w:val="18"/>
          <w:color w:val="auto"/>
        </w:rPr>
        <w:t>The estimated fair value of the Financing Derivative liability (as defined in the “Notes payable, current” section in “Note 5. Balance Sheet Components”) was determined using Level 3 inputs, or significant unobservable inputs. Changes to the estimated fair value of the Financing Derivative are recorded in “Other income, net” in the consolidated statements of operations and comprehensive loss.</w:t>
      </w:r>
    </w:p>
    <w:p>
      <w:pPr>
        <w:spacing w:after="0" w:line="67" w:lineRule="exact"/>
        <w:rPr>
          <w:sz w:val="20"/>
          <w:szCs w:val="20"/>
          <w:color w:val="auto"/>
        </w:rPr>
      </w:pPr>
    </w:p>
    <w:p>
      <w:pPr>
        <w:jc w:val="both"/>
        <w:ind w:right="180" w:firstLine="440"/>
        <w:spacing w:after="0" w:line="280" w:lineRule="auto"/>
        <w:rPr>
          <w:sz w:val="20"/>
          <w:szCs w:val="20"/>
          <w:color w:val="auto"/>
        </w:rPr>
      </w:pPr>
      <w:r>
        <w:rPr>
          <w:rFonts w:ascii="Arial" w:cs="Arial" w:eastAsia="Arial" w:hAnsi="Arial"/>
          <w:sz w:val="18"/>
          <w:szCs w:val="18"/>
          <w:color w:val="auto"/>
        </w:rPr>
        <w:t>The estimated fair value of the Financing Derivative was determined by comparing the difference between the fair value of the Notes from the debt facility that we entered into during the first quarter of 2013 (the “Notes”) with and without the Financing Derivative by calculating the respective present values from future cash flows using a 6.5% discount rate at December 31, 2019. The estimated fair value of the Financing Derivative as of December 31, 2019 was $0.</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February 2020, upon maturity of the Notes, the Financing Derivative was extinguished. Refer to the “Notes payable, current” section in “Note 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Balance Sheet Components” for a detailed description and valuation approach.</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fair value of the Continuation Advances liability</w:t>
      </w:r>
    </w:p>
    <w:p>
      <w:pPr>
        <w:spacing w:after="0" w:line="63"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In accordance with the terms of the Merger Agreement, we received Continuation Advances of $18.0 million and $34.0 million from Illumina during the fourth quarter of 2019 and the first quarter of 2020, respectively.</w:t>
      </w:r>
    </w:p>
    <w:p>
      <w:pPr>
        <w:spacing w:after="0" w:line="35"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We determined that the Continuation Advances, which are subject to repayment under certain circumstances as discussed below, constitute a financial liability.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60" w:firstLine="440"/>
        <w:spacing w:after="0" w:line="227" w:lineRule="auto"/>
        <w:rPr>
          <w:sz w:val="20"/>
          <w:szCs w:val="20"/>
          <w:color w:val="auto"/>
        </w:rPr>
      </w:pPr>
      <w:r>
        <w:rPr>
          <w:rFonts w:ascii="Arial" w:cs="Arial" w:eastAsia="Arial" w:hAnsi="Arial"/>
          <w:sz w:val="18"/>
          <w:szCs w:val="18"/>
          <w:color w:val="auto"/>
        </w:rPr>
        <w:t xml:space="preserve">The fair value option was elected for the financial liability because management believes that among all measurement methods allowed by Accounting Standards Codification, or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fair value option would most fairly represent the value of such a financial liability. Management applied the income approach to estimate the fair value of this financial liability. The estimated fair value of the liability related to the Continuation Advances was determined using Level 3 inputs, or significant unobservable inputs. Management estimated that there would be no future cash outflows associated with this financial instrument because the probabilities of either of the following events occurring and requiring repayment to Illumina were evaluated as being remote as of June 30 2020:</w:t>
      </w:r>
    </w:p>
    <w:p>
      <w:pPr>
        <w:spacing w:after="0" w:line="6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enter into a Change of Control Transaction within two years following March 31, 2020; or</w:t>
      </w:r>
    </w:p>
    <w:p>
      <w:pPr>
        <w:spacing w:after="0" w:line="90" w:lineRule="exact"/>
        <w:rPr>
          <w:sz w:val="20"/>
          <w:szCs w:val="20"/>
          <w:color w:val="auto"/>
        </w:rPr>
      </w:pPr>
    </w:p>
    <w:p>
      <w:pPr>
        <w:ind w:left="1100" w:right="180"/>
        <w:spacing w:after="0" w:line="246" w:lineRule="auto"/>
        <w:rPr>
          <w:sz w:val="20"/>
          <w:szCs w:val="20"/>
          <w:color w:val="auto"/>
        </w:rPr>
      </w:pPr>
      <w:r>
        <w:rPr>
          <w:rFonts w:ascii="Arial" w:cs="Arial" w:eastAsia="Arial" w:hAnsi="Arial"/>
          <w:sz w:val="18"/>
          <w:szCs w:val="18"/>
          <w:color w:val="auto"/>
        </w:rPr>
        <w:t>we raise $100 million or more in a single equity or debt financing (that may have multiple closings) within two years following March 31, 2020.</w:t>
      </w:r>
    </w:p>
    <w:p>
      <w:pPr>
        <w:spacing w:after="0" w:line="35" w:lineRule="exact"/>
        <w:rPr>
          <w:sz w:val="20"/>
          <w:szCs w:val="20"/>
          <w:color w:val="auto"/>
        </w:rPr>
      </w:pPr>
    </w:p>
    <w:p>
      <w:pPr>
        <w:ind w:right="400" w:firstLine="440"/>
        <w:spacing w:after="0" w:line="231" w:lineRule="auto"/>
        <w:rPr>
          <w:sz w:val="20"/>
          <w:szCs w:val="20"/>
          <w:color w:val="auto"/>
        </w:rPr>
      </w:pPr>
      <w:r>
        <w:rPr>
          <w:rFonts w:ascii="Arial" w:cs="Arial" w:eastAsia="Arial" w:hAnsi="Arial"/>
          <w:sz w:val="18"/>
          <w:szCs w:val="18"/>
          <w:color w:val="auto"/>
        </w:rPr>
        <w:t>As a result, the estimated fair value of the liability associated with the contingent repayment of the Continuation Advances received in the first quarter of 2020 was assessed to be zero as of both March 31, 2020 and June 30, 2020, with a resulting non-operating gain of $34.0 million recorded as “Gain from Continuation Advances from Illumina” for the quarter ended March 31, 2020. We recorded a similar gain of $18.0 million in 2019 for the Continuation Advances received during the fourth quarter of 2019.</w:t>
      </w:r>
    </w:p>
    <w:p>
      <w:pPr>
        <w:spacing w:after="0" w:line="40" w:lineRule="exact"/>
        <w:rPr>
          <w:sz w:val="20"/>
          <w:szCs w:val="20"/>
          <w:color w:val="auto"/>
        </w:rPr>
      </w:pPr>
    </w:p>
    <w:p>
      <w:pPr>
        <w:ind w:right="500" w:firstLine="440"/>
        <w:spacing w:after="0" w:line="246" w:lineRule="auto"/>
        <w:rPr>
          <w:sz w:val="20"/>
          <w:szCs w:val="20"/>
          <w:color w:val="auto"/>
        </w:rPr>
      </w:pPr>
      <w:r>
        <w:rPr>
          <w:rFonts w:ascii="Arial" w:cs="Arial" w:eastAsia="Arial" w:hAnsi="Arial"/>
          <w:sz w:val="18"/>
          <w:szCs w:val="18"/>
          <w:color w:val="auto"/>
        </w:rPr>
        <w:t>For the quarter ended June 30, 2020, there were no transfers between Level 1, Level 2, or Level 3 assets or liabilities reported at fair value on a recurring basis and our valuation techniques did not change compared to the prior year.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ind w:right="40" w:firstLine="440"/>
        <w:spacing w:after="0" w:line="276" w:lineRule="auto"/>
        <w:rPr>
          <w:sz w:val="20"/>
          <w:szCs w:val="20"/>
          <w:color w:val="auto"/>
        </w:rPr>
      </w:pPr>
      <w:r>
        <w:rPr>
          <w:rFonts w:ascii="Arial" w:cs="Arial" w:eastAsia="Arial" w:hAnsi="Arial"/>
          <w:sz w:val="16"/>
          <w:szCs w:val="16"/>
          <w:color w:val="auto"/>
        </w:rPr>
        <w:t xml:space="preserve">The following outstanding common stock options, restricted stock units (“RSUs”), with time-based vesting and RSUs with performance-based vesting, were excluded from the computation of diluted net loss per share for the periods presented because including them would have had an anti-dilutive effect. See </w:t>
      </w:r>
      <w:r>
        <w:rPr>
          <w:rFonts w:ascii="Arial" w:cs="Arial" w:eastAsia="Arial" w:hAnsi="Arial"/>
          <w:sz w:val="16"/>
          <w:szCs w:val="16"/>
          <w:i w:val="1"/>
          <w:iCs w:val="1"/>
          <w:color w:val="auto"/>
        </w:rPr>
        <w:t>Note 7. Stockholders’ Equity</w:t>
      </w:r>
      <w:r>
        <w:rPr>
          <w:rFonts w:ascii="Arial" w:cs="Arial" w:eastAsia="Arial" w:hAnsi="Arial"/>
          <w:sz w:val="16"/>
          <w:szCs w:val="16"/>
          <w:color w:val="auto"/>
        </w:rPr>
        <w:t xml:space="preserve"> for detailed information on RSUs with time-based vesting and RSUs with performance-based vesting.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400" w:type="dxa"/>
            <w:vAlign w:val="bottom"/>
            <w:gridSpan w:val="3"/>
          </w:tcPr>
          <w:p>
            <w:pPr>
              <w:ind w:left="1600"/>
              <w:spacing w:after="0"/>
              <w:rPr>
                <w:sz w:val="20"/>
                <w:szCs w:val="20"/>
                <w:color w:val="auto"/>
              </w:rPr>
            </w:pPr>
            <w:r>
              <w:rPr>
                <w:rFonts w:ascii="Arial" w:cs="Arial" w:eastAsia="Arial" w:hAnsi="Arial"/>
                <w:sz w:val="14"/>
                <w:szCs w:val="14"/>
                <w:b w:val="1"/>
                <w:bCs w:val="1"/>
                <w:color w:val="auto"/>
                <w:w w:val="98"/>
              </w:rPr>
              <w:t>Six Months Ended June 30,</w:t>
            </w:r>
          </w:p>
        </w:tc>
        <w:tc>
          <w:tcPr>
            <w:tcW w:w="1480" w:type="dxa"/>
            <w:vAlign w:val="bottom"/>
          </w:tcPr>
          <w:p>
            <w:pPr>
              <w:spacing w:after="0"/>
              <w:rPr>
                <w:sz w:val="16"/>
                <w:szCs w:val="16"/>
                <w:color w:val="auto"/>
              </w:rPr>
            </w:pPr>
          </w:p>
        </w:tc>
      </w:tr>
      <w:tr>
        <w:trPr>
          <w:trHeight w:val="222"/>
        </w:trPr>
        <w:tc>
          <w:tcPr>
            <w:tcW w:w="6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Borders>
              <w:bottom w:val="single" w:sz="8" w:color="auto"/>
            </w:tcBorders>
          </w:tcPr>
          <w:p>
            <w:pPr>
              <w:jc w:val="right"/>
              <w:ind w:right="877"/>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75"/>
              <w:spacing w:after="0"/>
              <w:rPr>
                <w:sz w:val="20"/>
                <w:szCs w:val="20"/>
                <w:color w:val="auto"/>
              </w:rPr>
            </w:pPr>
            <w:r>
              <w:rPr>
                <w:rFonts w:ascii="Arial" w:cs="Arial" w:eastAsia="Arial" w:hAnsi="Arial"/>
                <w:sz w:val="14"/>
                <w:szCs w:val="14"/>
                <w:b w:val="1"/>
                <w:bCs w:val="1"/>
                <w:color w:val="auto"/>
              </w:rPr>
              <w:t>2019</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2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20,485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23,414</w:t>
            </w: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RSUs with time-based vesting</w:t>
            </w:r>
          </w:p>
        </w:tc>
        <w:tc>
          <w:tcPr>
            <w:tcW w:w="2200" w:type="dxa"/>
            <w:vAlign w:val="bottom"/>
          </w:tcPr>
          <w:p>
            <w:pPr>
              <w:jc w:val="right"/>
              <w:ind w:right="97"/>
              <w:spacing w:after="0"/>
              <w:rPr>
                <w:sz w:val="20"/>
                <w:szCs w:val="20"/>
                <w:color w:val="auto"/>
              </w:rPr>
            </w:pPr>
            <w:r>
              <w:rPr>
                <w:rFonts w:ascii="Arial" w:cs="Arial" w:eastAsia="Arial" w:hAnsi="Arial"/>
                <w:sz w:val="18"/>
                <w:szCs w:val="18"/>
                <w:color w:val="auto"/>
              </w:rPr>
              <w:t>5,109</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1,121</w:t>
            </w:r>
          </w:p>
        </w:tc>
      </w:tr>
      <w:tr>
        <w:trPr>
          <w:trHeight w:val="23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RSUs with performance-based vesting</w:t>
            </w:r>
          </w:p>
        </w:tc>
        <w:tc>
          <w:tcPr>
            <w:tcW w:w="2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138</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and Other Risks</w:t>
      </w:r>
    </w:p>
    <w:p>
      <w:pPr>
        <w:spacing w:after="0" w:line="63" w:lineRule="exact"/>
        <w:rPr>
          <w:sz w:val="20"/>
          <w:szCs w:val="20"/>
          <w:color w:val="auto"/>
        </w:rPr>
      </w:pPr>
    </w:p>
    <w:p>
      <w:pPr>
        <w:ind w:right="120" w:firstLine="570"/>
        <w:spacing w:after="0" w:line="231" w:lineRule="auto"/>
        <w:rPr>
          <w:sz w:val="20"/>
          <w:szCs w:val="20"/>
          <w:color w:val="auto"/>
        </w:rPr>
      </w:pPr>
      <w:r>
        <w:rPr>
          <w:rFonts w:ascii="Arial" w:cs="Arial" w:eastAsia="Arial" w:hAnsi="Arial"/>
          <w:sz w:val="18"/>
          <w:szCs w:val="18"/>
          <w:color w:val="auto"/>
        </w:rPr>
        <w:t>For the three and six months ended June 30, 2020, Gene Company Limited accounted for approximately 15% and 11%, respectively, of our total revenue during the period with no other customer exceeding 10% during those periods. For the three and six months ended June 30, 2019, Gene Company Limited accounted for approximately 23% and 20% of our total revenue, respectively, with no other customer exceeding 10% during those periods. Gene Company Limited is our primary distributor in China.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63" w:lineRule="exact"/>
        <w:rPr>
          <w:sz w:val="20"/>
          <w:szCs w:val="20"/>
          <w:color w:val="auto"/>
        </w:rPr>
      </w:pPr>
    </w:p>
    <w:p>
      <w:pPr>
        <w:ind w:right="40" w:firstLine="402"/>
        <w:spacing w:after="0" w:line="228" w:lineRule="auto"/>
        <w:rPr>
          <w:sz w:val="20"/>
          <w:szCs w:val="20"/>
          <w:color w:val="auto"/>
        </w:rPr>
      </w:pPr>
      <w:r>
        <w:rPr>
          <w:rFonts w:ascii="Arial" w:cs="Arial" w:eastAsia="Arial" w:hAnsi="Arial"/>
          <w:sz w:val="18"/>
          <w:szCs w:val="18"/>
          <w:color w:val="auto"/>
        </w:rPr>
        <w:t xml:space="preserve">In December 2019, the Financial Accounting Standards Board, or FASB issued Accounting Standards Update, or ASU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740)—Simplifying the Accounting for Income Taxes</w:t>
      </w:r>
      <w:r>
        <w:rPr>
          <w:rFonts w:ascii="Arial" w:cs="Arial" w:eastAsia="Arial" w:hAnsi="Arial"/>
          <w:sz w:val="18"/>
          <w:szCs w:val="18"/>
          <w:color w:val="auto"/>
        </w:rPr>
        <w:t>. ASU 2019-12 is intended to simplify accounting for income taxes. It removes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to the general principles in Topic 740 and amends existing guidance to improve consistent application. ASU 2019-12 is effective for fiscal years beginning after December 15, 2020 and interim periods within those fiscal years, which is fiscal 2021 for us, with early adoption permitted. We do not expect adoption of the new guidance to have a material impact on our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Adoption of Topic 326</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 xml:space="preserve">In June 2016, FASB issued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(“Topic 326”), which replaces existing incurred loss impairment guidance and establishes a single allowance framework for financial assets carried at amortized cost. We adopted Topic 326 on January 1, 2020, using a modified retrospective transition method, which requires a cumulative-effect adjustment to the opening balance of retained earnings to be recognized on the date of adoption with prior periods not restated. The cumulative-effect adjustment recorded on January 1, 2020, is shown below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Sheets</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Balance at December</w:t>
            </w: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Adjustments Due to</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w w:val="92"/>
              </w:rPr>
              <w:t>Balance at January 1,</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96"/>
              <w:spacing w:after="0"/>
              <w:rPr>
                <w:sz w:val="20"/>
                <w:szCs w:val="20"/>
                <w:color w:val="auto"/>
              </w:rPr>
            </w:pPr>
            <w:r>
              <w:rPr>
                <w:rFonts w:ascii="Arial" w:cs="Arial" w:eastAsia="Arial" w:hAnsi="Arial"/>
                <w:sz w:val="14"/>
                <w:szCs w:val="14"/>
                <w:b w:val="1"/>
                <w:bCs w:val="1"/>
                <w:color w:val="auto"/>
              </w:rPr>
              <w:t>31, 2019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Topic 326</w:t>
            </w:r>
          </w:p>
        </w:tc>
        <w:tc>
          <w:tcPr>
            <w:tcW w:w="300" w:type="dxa"/>
            <w:vAlign w:val="bottom"/>
          </w:tcPr>
          <w:p>
            <w:pPr>
              <w:spacing w:after="0"/>
              <w:rPr>
                <w:sz w:val="14"/>
                <w:szCs w:val="14"/>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(1,066,240)</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(1,066,272)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adoption of Topic 326 did not have a material impact on our financial statements and our bad debt expense was immaterial as of June 30 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description of our “Credit Losses” accounting policy in the “Significant Accounting Policies” section below.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44" w:lineRule="exact"/>
        <w:rPr>
          <w:sz w:val="20"/>
          <w:szCs w:val="20"/>
          <w:color w:val="auto"/>
        </w:rPr>
      </w:pPr>
    </w:p>
    <w:p>
      <w:pPr>
        <w:jc w:val="both"/>
        <w:ind w:right="460" w:firstLine="440"/>
        <w:spacing w:after="0" w:line="235" w:lineRule="auto"/>
        <w:rPr>
          <w:sz w:val="20"/>
          <w:szCs w:val="20"/>
          <w:color w:val="auto"/>
        </w:rPr>
      </w:pPr>
      <w:r>
        <w:rPr>
          <w:rFonts w:ascii="Arial" w:cs="Arial" w:eastAsia="Arial" w:hAnsi="Arial"/>
          <w:sz w:val="18"/>
          <w:szCs w:val="18"/>
          <w:color w:val="auto"/>
        </w:rPr>
        <w:t>With the exception of the change for the accounting of credit losses as a result of the adoption of Topic 326, there have been no new or material changes to the significant accounting policies discussed in our Annual Report on Form 10-K for the fiscal year ended December 31, 2019, that are of significance, or potential significance, to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144" w:lineRule="exact"/>
        <w:rPr>
          <w:sz w:val="20"/>
          <w:szCs w:val="20"/>
          <w:color w:val="auto"/>
        </w:rPr>
      </w:pPr>
    </w:p>
    <w:p>
      <w:pPr>
        <w:jc w:val="both"/>
        <w:ind w:right="80" w:firstLine="440"/>
        <w:spacing w:after="0" w:line="235" w:lineRule="auto"/>
        <w:rPr>
          <w:sz w:val="20"/>
          <w:szCs w:val="20"/>
          <w:color w:val="auto"/>
        </w:rPr>
      </w:pPr>
      <w:r>
        <w:rPr>
          <w:rFonts w:ascii="Arial" w:cs="Arial" w:eastAsia="Arial" w:hAnsi="Arial"/>
          <w:sz w:val="18"/>
          <w:szCs w:val="18"/>
          <w:i w:val="1"/>
          <w:iCs w:val="1"/>
          <w:color w:val="auto"/>
        </w:rPr>
        <w:t xml:space="preserve">Trade accounts receivable. </w:t>
      </w:r>
      <w:r>
        <w:rPr>
          <w:rFonts w:ascii="Arial" w:cs="Arial" w:eastAsia="Arial" w:hAnsi="Arial"/>
          <w:sz w:val="18"/>
          <w:szCs w:val="18"/>
          <w:color w:val="auto"/>
        </w:rPr>
        <w:t>The allowance for doubtful accounts is based on our assessment of the collectability of customer accounts. We regularly</w:t>
      </w:r>
      <w:r>
        <w:rPr>
          <w:rFonts w:ascii="Arial" w:cs="Arial" w:eastAsia="Arial" w:hAnsi="Arial"/>
          <w:sz w:val="18"/>
          <w:szCs w:val="18"/>
          <w:i w:val="1"/>
          <w:iCs w:val="1"/>
          <w:color w:val="auto"/>
        </w:rPr>
        <w:t xml:space="preserve"> </w:t>
      </w:r>
      <w:r>
        <w:rPr>
          <w:rFonts w:ascii="Arial" w:cs="Arial" w:eastAsia="Arial" w:hAnsi="Arial"/>
          <w:sz w:val="18"/>
          <w:szCs w:val="18"/>
          <w:color w:val="auto"/>
        </w:rPr>
        <w:t>review the allowance by considering factors such as the age of the accounts receivable balances, customer creditworthiness, customer industry, and current and forecasted economic conditions that may affect a customer’s ability to pay.</w:t>
      </w:r>
    </w:p>
    <w:p>
      <w:pPr>
        <w:spacing w:after="0" w:line="148" w:lineRule="exact"/>
        <w:rPr>
          <w:sz w:val="20"/>
          <w:szCs w:val="20"/>
          <w:color w:val="auto"/>
        </w:rPr>
      </w:pPr>
    </w:p>
    <w:p>
      <w:pPr>
        <w:ind w:right="40" w:firstLine="492"/>
        <w:spacing w:after="0" w:line="246" w:lineRule="auto"/>
        <w:rPr>
          <w:sz w:val="20"/>
          <w:szCs w:val="20"/>
          <w:color w:val="auto"/>
        </w:rPr>
      </w:pPr>
      <w:r>
        <w:rPr>
          <w:rFonts w:ascii="Arial" w:cs="Arial" w:eastAsia="Arial" w:hAnsi="Arial"/>
          <w:sz w:val="17"/>
          <w:szCs w:val="17"/>
          <w:i w:val="1"/>
          <w:iCs w:val="1"/>
          <w:color w:val="auto"/>
        </w:rPr>
        <w:t xml:space="preserve">Available-for-sale debt securities. </w:t>
      </w:r>
      <w:r>
        <w:rPr>
          <w:rFonts w:ascii="Arial" w:cs="Arial" w:eastAsia="Arial" w:hAnsi="Arial"/>
          <w:sz w:val="17"/>
          <w:szCs w:val="17"/>
          <w:color w:val="auto"/>
        </w:rPr>
        <w:t>Our investment portfolio at any point in time contains investments in cash deposits, money market funds,</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paper, corporate debt securities and US government and agency securities. We regularly review the securities in an unrealized loss position and evaluate the current expected credit loss by considering factors such as significance of loss, historical experience, market data, issuer-specific factors, and current economic conditions and concluded that an allowance for credit losses was not required as of June 30 2020.</w:t>
      </w:r>
    </w:p>
    <w:p>
      <w:pPr>
        <w:spacing w:after="0" w:line="144" w:lineRule="exact"/>
        <w:rPr>
          <w:sz w:val="20"/>
          <w:szCs w:val="20"/>
          <w:color w:val="auto"/>
        </w:rPr>
      </w:pPr>
    </w:p>
    <w:p>
      <w:pPr>
        <w:ind w:right="300" w:firstLine="492"/>
        <w:spacing w:after="0" w:line="235" w:lineRule="auto"/>
        <w:rPr>
          <w:sz w:val="20"/>
          <w:szCs w:val="20"/>
          <w:color w:val="auto"/>
        </w:rPr>
      </w:pPr>
      <w:r>
        <w:rPr>
          <w:rFonts w:ascii="Arial" w:cs="Arial" w:eastAsia="Arial" w:hAnsi="Arial"/>
          <w:sz w:val="18"/>
          <w:szCs w:val="18"/>
          <w:color w:val="auto"/>
        </w:rPr>
        <w:t>Although we have historically not experienced significant credit losses, our exposure to credit losses may increase if our customers are adversely affected by changes in economic pressures or uncertainty associated with local or global economic recessions, disruption associated with the current COVID-19 pandemic, or other customer-specific factors.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CASH EQUIVALENTS AND INVESTMENTS</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cash, cash equivalents and investments as of June 30, 2020 and December 31, 2019 (in thousands):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0"/>
              </w:rPr>
              <w:t>As of June 30, 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money market funds</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cash and cash equivalents</w:t>
            </w:r>
          </w:p>
        </w:tc>
        <w:tc>
          <w:tcPr>
            <w:tcW w:w="9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43,342</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43,342</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14,662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&amp; agency securities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196"/>
        </w:trPr>
        <w:tc>
          <w:tcPr>
            <w:tcW w:w="4600" w:type="dxa"/>
            <w:vAlign w:val="bottom"/>
          </w:tcPr>
          <w:p>
            <w:pPr>
              <w:ind w:left="220"/>
              <w:spacing w:after="0" w:line="196" w:lineRule="exact"/>
              <w:rPr>
                <w:sz w:val="20"/>
                <w:szCs w:val="20"/>
                <w:color w:val="auto"/>
              </w:rPr>
            </w:pPr>
            <w:r>
              <w:rPr>
                <w:rFonts w:ascii="Arial" w:cs="Arial" w:eastAsia="Arial" w:hAnsi="Arial"/>
                <w:sz w:val="18"/>
                <w:szCs w:val="18"/>
                <w:color w:val="auto"/>
              </w:rPr>
              <w:t>Total investments</w:t>
            </w:r>
          </w:p>
        </w:tc>
        <w:tc>
          <w:tcPr>
            <w:tcW w:w="9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76,378</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243</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76,621</w:t>
            </w: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cash, cash equivalents and investments</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119,963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Long-term restricted cash:</w:t>
            </w: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w:t>
            </w:r>
          </w:p>
        </w:tc>
        <w:tc>
          <w:tcPr>
            <w:tcW w:w="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As of December 31, 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42"/>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money market funds</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29,627</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56"/>
        </w:trPr>
        <w:tc>
          <w:tcPr>
            <w:tcW w:w="4600" w:type="dxa"/>
            <w:vAlign w:val="bottom"/>
          </w:tcPr>
          <w:p>
            <w:pPr>
              <w:ind w:left="440"/>
              <w:spacing w:after="0"/>
              <w:rPr>
                <w:sz w:val="20"/>
                <w:szCs w:val="20"/>
                <w:color w:val="auto"/>
              </w:rPr>
            </w:pPr>
            <w:r>
              <w:rPr>
                <w:rFonts w:ascii="Arial" w:cs="Arial" w:eastAsia="Arial" w:hAnsi="Arial"/>
                <w:sz w:val="18"/>
                <w:szCs w:val="18"/>
                <w:color w:val="auto"/>
              </w:rPr>
              <w:t>Total cash, cash equivalents and investments</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49,094</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49,099</w:t>
            </w: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Long-term restricted cash:</w:t>
            </w:r>
          </w:p>
        </w:tc>
        <w:tc>
          <w:tcPr>
            <w:tcW w:w="9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4600" w:type="dxa"/>
            <w:vAlign w:val="bottom"/>
          </w:tcPr>
          <w:p>
            <w:pPr>
              <w:spacing w:after="0"/>
              <w:rPr>
                <w:sz w:val="20"/>
                <w:szCs w:val="20"/>
                <w:color w:val="auto"/>
              </w:rPr>
            </w:pPr>
            <w:r>
              <w:rPr>
                <w:rFonts w:ascii="Arial" w:cs="Arial" w:eastAsia="Arial" w:hAnsi="Arial"/>
                <w:sz w:val="18"/>
                <w:szCs w:val="18"/>
                <w:color w:val="auto"/>
              </w:rPr>
              <w:t>Cash</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4"/>
        </w:trPr>
        <w:tc>
          <w:tcPr>
            <w:tcW w:w="46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40" w:firstLine="492"/>
        <w:spacing w:after="0" w:line="246" w:lineRule="auto"/>
        <w:rPr>
          <w:sz w:val="20"/>
          <w:szCs w:val="20"/>
          <w:color w:val="auto"/>
        </w:rPr>
      </w:pPr>
      <w:r>
        <w:rPr>
          <w:rFonts w:ascii="Arial" w:cs="Arial" w:eastAsia="Arial" w:hAnsi="Arial"/>
          <w:sz w:val="18"/>
          <w:szCs w:val="18"/>
          <w:color w:val="auto"/>
        </w:rPr>
        <w:t>The following table summarizes the contractual maturities of our cash equivalents and available-for-sale investments, excluding money market funds, as of June 30, 2020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81,034</w:t>
            </w:r>
          </w:p>
        </w:tc>
      </w:tr>
      <w:tr>
        <w:trPr>
          <w:trHeight w:val="270"/>
        </w:trPr>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5 years</w:t>
            </w:r>
          </w:p>
        </w:tc>
        <w:tc>
          <w:tcPr>
            <w:tcW w:w="5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5,635</w:t>
            </w:r>
          </w:p>
        </w:tc>
      </w:tr>
      <w:tr>
        <w:trPr>
          <w:trHeight w:val="237"/>
        </w:trPr>
        <w:tc>
          <w:tcPr>
            <w:tcW w:w="8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86,669</w:t>
            </w:r>
          </w:p>
        </w:tc>
      </w:tr>
      <w:tr>
        <w:trPr>
          <w:trHeight w:val="20"/>
        </w:trPr>
        <w:tc>
          <w:tcPr>
            <w:tcW w:w="8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firstLine="440"/>
        <w:spacing w:after="0" w:line="246" w:lineRule="auto"/>
        <w:rPr>
          <w:sz w:val="20"/>
          <w:szCs w:val="20"/>
          <w:color w:val="auto"/>
        </w:rPr>
      </w:pPr>
      <w:r>
        <w:rPr>
          <w:rFonts w:ascii="Arial" w:cs="Arial" w:eastAsia="Arial" w:hAnsi="Arial"/>
          <w:sz w:val="18"/>
          <w:szCs w:val="18"/>
          <w:color w:val="auto"/>
        </w:rPr>
        <w:t>Actual maturities may differ from contractual maturities because issuers may have the right to call or prepay obligations without call or prepayment penalties.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2020 and December 31, 2019, our inventory consisted of the following components: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940" w:type="dxa"/>
            <w:vAlign w:val="bottom"/>
          </w:tcPr>
          <w:p>
            <w:pPr>
              <w:jc w:val="right"/>
              <w:ind w:right="187"/>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Pr>
          <w:p>
            <w:pPr>
              <w:jc w:val="right"/>
              <w:ind w:right="936"/>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5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1216"/>
              <w:spacing w:after="0"/>
              <w:rPr>
                <w:sz w:val="20"/>
                <w:szCs w:val="20"/>
                <w:color w:val="auto"/>
              </w:rPr>
            </w:pPr>
            <w:r>
              <w:rPr>
                <w:rFonts w:ascii="Arial" w:cs="Arial" w:eastAsia="Arial" w:hAnsi="Arial"/>
                <w:sz w:val="14"/>
                <w:szCs w:val="14"/>
                <w:b w:val="1"/>
                <w:bCs w:val="1"/>
                <w:color w:val="auto"/>
              </w:rPr>
              <w:t>2019</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Purchased materials</w:t>
            </w:r>
          </w:p>
        </w:tc>
        <w:tc>
          <w:tcPr>
            <w:tcW w:w="1940" w:type="dxa"/>
            <w:vAlign w:val="bottom"/>
            <w:shd w:val="clear" w:color="auto" w:fill="CCEEFF"/>
          </w:tcPr>
          <w:p>
            <w:pPr>
              <w:jc w:val="right"/>
              <w:ind w:right="17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5,289</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32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3,966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Work in process</w:t>
            </w:r>
          </w:p>
        </w:tc>
        <w:tc>
          <w:tcPr>
            <w:tcW w:w="194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5,795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Pr>
          <w:p>
            <w:pPr>
              <w:jc w:val="right"/>
              <w:ind w:right="76"/>
              <w:spacing w:after="0"/>
              <w:rPr>
                <w:sz w:val="20"/>
                <w:szCs w:val="20"/>
                <w:color w:val="auto"/>
              </w:rPr>
            </w:pPr>
            <w:r>
              <w:rPr>
                <w:rFonts w:ascii="Arial" w:cs="Arial" w:eastAsia="Arial" w:hAnsi="Arial"/>
                <w:sz w:val="18"/>
                <w:szCs w:val="18"/>
                <w:color w:val="auto"/>
              </w:rPr>
              <w:t>4,594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9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5,684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4,752</w:t>
            </w:r>
          </w:p>
        </w:tc>
      </w:tr>
      <w:tr>
        <w:trPr>
          <w:trHeight w:val="183"/>
        </w:trPr>
        <w:tc>
          <w:tcPr>
            <w:tcW w:w="5120" w:type="dxa"/>
            <w:vAlign w:val="bottom"/>
          </w:tcPr>
          <w:p>
            <w:pPr>
              <w:ind w:left="560"/>
              <w:spacing w:after="0" w:line="182" w:lineRule="exact"/>
              <w:rPr>
                <w:sz w:val="20"/>
                <w:szCs w:val="20"/>
                <w:color w:val="auto"/>
              </w:rPr>
            </w:pPr>
            <w:r>
              <w:rPr>
                <w:rFonts w:ascii="Arial" w:cs="Arial" w:eastAsia="Arial" w:hAnsi="Arial"/>
                <w:sz w:val="18"/>
                <w:szCs w:val="18"/>
                <w:color w:val="auto"/>
              </w:rPr>
              <w:t>Inventory</w:t>
            </w:r>
          </w:p>
        </w:tc>
        <w:tc>
          <w:tcPr>
            <w:tcW w:w="1940" w:type="dxa"/>
            <w:vAlign w:val="bottom"/>
            <w:tcBorders>
              <w:bottom w:val="single" w:sz="8" w:color="auto"/>
            </w:tcBorders>
          </w:tcPr>
          <w:p>
            <w:pPr>
              <w:jc w:val="right"/>
              <w:ind w:right="17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16,768</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2320" w:type="dxa"/>
            <w:vAlign w:val="bottom"/>
            <w:tcBorders>
              <w:bottom w:val="single" w:sz="8" w:color="auto"/>
            </w:tcBorders>
          </w:tcPr>
          <w:p>
            <w:pPr>
              <w:jc w:val="right"/>
              <w:ind w:right="76"/>
              <w:spacing w:after="0" w:line="182" w:lineRule="exact"/>
              <w:rPr>
                <w:sz w:val="20"/>
                <w:szCs w:val="20"/>
                <w:color w:val="auto"/>
              </w:rPr>
            </w:pPr>
            <w:r>
              <w:rPr>
                <w:rFonts w:ascii="Arial" w:cs="Arial" w:eastAsia="Arial" w:hAnsi="Arial"/>
                <w:sz w:val="18"/>
                <w:szCs w:val="18"/>
                <w:color w:val="auto"/>
              </w:rPr>
              <w:t>13,312</w:t>
            </w:r>
          </w:p>
        </w:tc>
      </w:tr>
      <w:tr>
        <w:trPr>
          <w:trHeight w:val="20"/>
        </w:trPr>
        <w:tc>
          <w:tcPr>
            <w:tcW w:w="5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restricted cash</w:t>
      </w:r>
    </w:p>
    <w:p>
      <w:pPr>
        <w:spacing w:after="0" w:line="171" w:lineRule="exact"/>
        <w:rPr>
          <w:sz w:val="20"/>
          <w:szCs w:val="20"/>
          <w:color w:val="auto"/>
        </w:rPr>
      </w:pPr>
    </w:p>
    <w:p>
      <w:pPr>
        <w:ind w:right="80" w:firstLine="440"/>
        <w:spacing w:after="0" w:line="227" w:lineRule="auto"/>
        <w:rPr>
          <w:sz w:val="20"/>
          <w:szCs w:val="20"/>
          <w:color w:val="auto"/>
        </w:rPr>
      </w:pPr>
      <w:r>
        <w:rPr>
          <w:rFonts w:ascii="Arial" w:cs="Arial" w:eastAsia="Arial" w:hAnsi="Arial"/>
          <w:sz w:val="18"/>
          <w:szCs w:val="18"/>
          <w:color w:val="auto"/>
        </w:rPr>
        <w:t>For our facility located at 1305 O’Brien Drive, Menlo Park, California (the “O’Brien Lease”), we were required to establish a letter of credit for the benefit of the landlord and to submit $4.5 million as a deposit for the letter of credit in October 2015. Subsequently, pursuant to the terms of the O’Brien Lease, on May 1, 2019, the amount of the letter of credit was reduced from $4.5 million to $4.0 million. As such, $4.0 million was recorded in “Long-term restricted cash” in the condensed consolidated balance sheet as of December 31, 2019. Pursuant to the terms of the O’Brien Lease, the letter of credit balance of $4.0 million was reduced again in May 2020 by $500,000. As such, $3.5 million was recorded in “Long-term restricted cash” in the condensed consolidated balance sheet as of June 30,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gain from Reverse Termination Fee</w:t>
      </w:r>
    </w:p>
    <w:p>
      <w:pPr>
        <w:spacing w:after="0" w:line="63" w:lineRule="exact"/>
        <w:rPr>
          <w:sz w:val="20"/>
          <w:szCs w:val="20"/>
          <w:color w:val="auto"/>
        </w:rPr>
      </w:pPr>
    </w:p>
    <w:p>
      <w:pPr>
        <w:ind w:right="440" w:firstLine="440"/>
        <w:spacing w:after="0" w:line="246" w:lineRule="auto"/>
        <w:rPr>
          <w:sz w:val="20"/>
          <w:szCs w:val="20"/>
          <w:color w:val="auto"/>
        </w:rPr>
      </w:pPr>
      <w:r>
        <w:rPr>
          <w:rFonts w:ascii="Arial" w:cs="Arial" w:eastAsia="Arial" w:hAnsi="Arial"/>
          <w:sz w:val="18"/>
          <w:szCs w:val="18"/>
          <w:color w:val="auto"/>
        </w:rPr>
        <w:t>As part of the Termination Agreement, Illumina paid us a Reverse Termination Fee of $98.0 million, from which we owed our financial advisor associated fees of $6.0 million.</w:t>
      </w:r>
    </w:p>
    <w:p>
      <w:pPr>
        <w:spacing w:after="0" w:line="35" w:lineRule="exact"/>
        <w:rPr>
          <w:sz w:val="20"/>
          <w:szCs w:val="20"/>
          <w:color w:val="auto"/>
        </w:rPr>
      </w:pPr>
    </w:p>
    <w:p>
      <w:pPr>
        <w:ind w:firstLine="440"/>
        <w:spacing w:after="0" w:line="238" w:lineRule="auto"/>
        <w:rPr>
          <w:sz w:val="20"/>
          <w:szCs w:val="20"/>
          <w:color w:val="auto"/>
        </w:rPr>
      </w:pPr>
      <w:r>
        <w:rPr>
          <w:rFonts w:ascii="Arial" w:cs="Arial" w:eastAsia="Arial" w:hAnsi="Arial"/>
          <w:sz w:val="17"/>
          <w:szCs w:val="17"/>
          <w:color w:val="auto"/>
        </w:rPr>
        <w:t xml:space="preserve">Pursuant to the Termination Agreement, in the event that, on or prior to September 30, 2020, we enter into a definitive agreement providing for, or consummate, a Change of Control Transaction, then we may need to repay the Reverse Termination Fee (without interest) to Illumina in connection with the consummation of such Change of Control Transaction. If such Change of Control Transaction is not consummated by the two year anniversary of the execution of the definitive agreement for such Change of Control Transaction, then we will not be required to repay the Reverse Termination Fee. As indicated in ASC 450, </w:t>
      </w:r>
      <w:r>
        <w:rPr>
          <w:rFonts w:ascii="Arial" w:cs="Arial" w:eastAsia="Arial" w:hAnsi="Arial"/>
          <w:sz w:val="17"/>
          <w:szCs w:val="17"/>
          <w:i w:val="1"/>
          <w:iCs w:val="1"/>
          <w:color w:val="auto"/>
        </w:rPr>
        <w:t>Contingencies</w:t>
      </w:r>
      <w:r>
        <w:rPr>
          <w:rFonts w:ascii="Arial" w:cs="Arial" w:eastAsia="Arial" w:hAnsi="Arial"/>
          <w:sz w:val="17"/>
          <w:szCs w:val="17"/>
          <w:color w:val="auto"/>
        </w:rPr>
        <w:t>, a gain contingency usually is not recognized in the financial statements until the period in which all contingencies are resolved and the gain is realizable. As such we have deferred the gain from the Reverse Termination Fee from Illumina until the date when the associated contingency is resolved and accordingly, we recorded the $98.0 million as “Deferred Gain from Reverse Termination Fee” in the condensed consolidated balance sheet as of June 30, 2020.</w:t>
      </w:r>
    </w:p>
    <w:p>
      <w:pPr>
        <w:spacing w:after="0" w:line="42" w:lineRule="exact"/>
        <w:rPr>
          <w:sz w:val="20"/>
          <w:szCs w:val="20"/>
          <w:color w:val="auto"/>
        </w:rPr>
      </w:pPr>
    </w:p>
    <w:p>
      <w:pPr>
        <w:ind w:right="800" w:firstLine="440"/>
        <w:spacing w:after="0" w:line="274" w:lineRule="auto"/>
        <w:rPr>
          <w:sz w:val="20"/>
          <w:szCs w:val="20"/>
          <w:color w:val="auto"/>
        </w:rPr>
      </w:pPr>
      <w:r>
        <w:rPr>
          <w:rFonts w:ascii="Arial" w:cs="Arial" w:eastAsia="Arial" w:hAnsi="Arial"/>
          <w:sz w:val="17"/>
          <w:szCs w:val="17"/>
          <w:color w:val="auto"/>
        </w:rPr>
        <w:t>We recorded the $6.0 million of associated fees owed to our financial advisor in the “Sales, general and administrative” expense line in the condensed consolidated statements of operations and comprehensive income for the six months ended June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current</w:t>
      </w:r>
    </w:p>
    <w:p>
      <w:pPr>
        <w:spacing w:after="0" w:line="63" w:lineRule="exact"/>
        <w:rPr>
          <w:sz w:val="20"/>
          <w:szCs w:val="20"/>
          <w:color w:val="auto"/>
        </w:rPr>
      </w:pPr>
    </w:p>
    <w:p>
      <w:pPr>
        <w:ind w:right="160" w:firstLine="440"/>
        <w:spacing w:after="0" w:line="235" w:lineRule="auto"/>
        <w:rPr>
          <w:sz w:val="20"/>
          <w:szCs w:val="20"/>
          <w:color w:val="auto"/>
        </w:rPr>
      </w:pPr>
      <w:r>
        <w:rPr>
          <w:rFonts w:ascii="Arial" w:cs="Arial" w:eastAsia="Arial" w:hAnsi="Arial"/>
          <w:sz w:val="18"/>
          <w:szCs w:val="18"/>
          <w:color w:val="auto"/>
        </w:rPr>
        <w:t>As of December 31, 2019, a balance of $16.0 million aggregate principal amount of debt remained outstanding under the debt agreement with Deerfield entered into in February 2013 (the “Facility Agreement”) and was presented as “Notes payable, current” on the condensed consolidated balance sheet as of December 31, 2019.</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February 2020, upon the maturity of the Facility Agreement, we repaid the remaining outstanding principal of $16.0 million and interest.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Derivative</w:t>
      </w:r>
    </w:p>
    <w:p>
      <w:pPr>
        <w:spacing w:after="0" w:line="63" w:lineRule="exact"/>
        <w:rPr>
          <w:sz w:val="20"/>
          <w:szCs w:val="20"/>
          <w:color w:val="auto"/>
        </w:rPr>
      </w:pPr>
    </w:p>
    <w:p>
      <w:pPr>
        <w:ind w:right="60" w:firstLine="440"/>
        <w:spacing w:after="0" w:line="228" w:lineRule="auto"/>
        <w:rPr>
          <w:sz w:val="20"/>
          <w:szCs w:val="20"/>
          <w:color w:val="auto"/>
        </w:rPr>
      </w:pPr>
      <w:r>
        <w:rPr>
          <w:rFonts w:ascii="Arial" w:cs="Arial" w:eastAsia="Arial" w:hAnsi="Arial"/>
          <w:sz w:val="18"/>
          <w:szCs w:val="18"/>
          <w:color w:val="auto"/>
        </w:rPr>
        <w:t>A number of features embedded in the Notes required accounting for them as a derivative, including the indemnification of certain withholding taxes and the acceleration of debt upon (i) a qualified financing, (ii) an event of default, (iii) a Major Transaction (as such term is defined in the Facility Agreement), and (iv) the exercise of the warrant via offset to the debt principal. These features represent a single derivative (the “Financing Derivative”) that was bifurcated from the debt instrument and accounted for as a liability at fair value, with changes in fair value between reporting periods recorded in other income (expense), net.</w:t>
      </w:r>
    </w:p>
    <w:p>
      <w:pPr>
        <w:spacing w:after="0" w:line="70" w:lineRule="exact"/>
        <w:rPr>
          <w:sz w:val="20"/>
          <w:szCs w:val="20"/>
          <w:color w:val="auto"/>
        </w:rPr>
      </w:pPr>
    </w:p>
    <w:p>
      <w:pPr>
        <w:ind w:right="40" w:firstLine="440"/>
        <w:spacing w:after="0" w:line="287" w:lineRule="auto"/>
        <w:rPr>
          <w:sz w:val="20"/>
          <w:szCs w:val="20"/>
          <w:color w:val="auto"/>
        </w:rPr>
      </w:pPr>
      <w:r>
        <w:rPr>
          <w:rFonts w:ascii="Arial" w:cs="Arial" w:eastAsia="Arial" w:hAnsi="Arial"/>
          <w:sz w:val="18"/>
          <w:szCs w:val="18"/>
          <w:color w:val="auto"/>
        </w:rPr>
        <w:t>The estimated fair value of the Financing Derivative was determined by comparing the difference between the fair value of the Notes with and without the Financing Derivative by calculating the respective present values from future cash flows using a 6.5% discount rate at December 31, 2019. The estimated fair value of the Financing Derivative as of December 31, 2019 was $0.</w:t>
      </w:r>
    </w:p>
    <w:p>
      <w:pPr>
        <w:spacing w:after="0" w:line="13"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In February 2020, after we repaid the remaining outstanding principal of $16.0 million and interest to Deerfield, the Financing Derivative balance was reduced to $0.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63" w:lineRule="exact"/>
        <w:rPr>
          <w:sz w:val="20"/>
          <w:szCs w:val="20"/>
          <w:color w:val="auto"/>
        </w:rPr>
      </w:pPr>
    </w:p>
    <w:p>
      <w:pPr>
        <w:ind w:right="120" w:firstLine="440"/>
        <w:spacing w:after="0" w:line="266" w:lineRule="auto"/>
        <w:rPr>
          <w:sz w:val="20"/>
          <w:szCs w:val="20"/>
          <w:color w:val="auto"/>
        </w:rPr>
      </w:pPr>
      <w:r>
        <w:rPr>
          <w:rFonts w:ascii="Arial" w:cs="Arial" w:eastAsia="Arial" w:hAnsi="Arial"/>
          <w:sz w:val="16"/>
          <w:szCs w:val="16"/>
          <w:color w:val="auto"/>
        </w:rPr>
        <w:t>As of June 30, 2020, we had a total of $8.4 million of deferred revenue from our service contracts, $6.9 million of which was recorded as “Deferred revenue, current” to be recognized over the next year and the remaining $1.5 million was recorded as “Deferred revenue, non-current” to be recognized in the next 3 years. Revenue recorded in the three months ended June 30, 2020 includes $2.1 million of previously deferred revenue that was included in “Deferred revenue, current” as of December 31, 2019. Contract assets as of June 30, 2020 and December 31, 2019 were not material.</w:t>
      </w:r>
    </w:p>
    <w:p>
      <w:pPr>
        <w:spacing w:after="0" w:line="21" w:lineRule="exact"/>
        <w:rPr>
          <w:sz w:val="20"/>
          <w:szCs w:val="20"/>
          <w:color w:val="auto"/>
        </w:rPr>
      </w:pPr>
    </w:p>
    <w:p>
      <w:pPr>
        <w:ind w:right="80" w:firstLine="440"/>
        <w:spacing w:after="0" w:line="235" w:lineRule="auto"/>
        <w:rPr>
          <w:sz w:val="20"/>
          <w:szCs w:val="20"/>
          <w:color w:val="auto"/>
        </w:rPr>
      </w:pPr>
      <w:r>
        <w:rPr>
          <w:rFonts w:ascii="Arial" w:cs="Arial" w:eastAsia="Arial" w:hAnsi="Arial"/>
          <w:sz w:val="18"/>
          <w:szCs w:val="18"/>
          <w:color w:val="auto"/>
        </w:rPr>
        <w:t>As of June 30, 2020, we had a total of $0.6 million of deferred commissions included in “Prepaid expenses and other current assets” which is recognized as the related revenue is recognized. Additionally, as a practical expedient, we expense costs to obtain a contract as incurred if the amortization period would have been a year or less.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56" w:lineRule="exact"/>
        <w:rPr>
          <w:sz w:val="20"/>
          <w:szCs w:val="20"/>
          <w:color w:val="auto"/>
        </w:rPr>
      </w:pPr>
    </w:p>
    <w:p>
      <w:pPr>
        <w:ind w:right="20" w:firstLine="440"/>
        <w:spacing w:after="0" w:line="235" w:lineRule="auto"/>
        <w:rPr>
          <w:sz w:val="20"/>
          <w:szCs w:val="20"/>
          <w:color w:val="auto"/>
        </w:rPr>
      </w:pPr>
      <w:r>
        <w:rPr>
          <w:rFonts w:ascii="Arial" w:cs="Arial" w:eastAsia="Arial" w:hAnsi="Arial"/>
          <w:sz w:val="18"/>
          <w:szCs w:val="18"/>
          <w:color w:val="auto"/>
        </w:rPr>
        <w:t>As of June 30, 2020, we leased approximately 180,000 square feet in 1305 O’Brien Drive, Menlo Park, California, where we house our headquarters, research and development, service and support functions. We also leased a sales office facility in Singapore and engineering support facilities in Allen, Texas.</w:t>
      </w:r>
    </w:p>
    <w:p>
      <w:pPr>
        <w:spacing w:after="0" w:line="40" w:lineRule="exact"/>
        <w:rPr>
          <w:sz w:val="20"/>
          <w:szCs w:val="20"/>
          <w:color w:val="auto"/>
        </w:rPr>
      </w:pPr>
    </w:p>
    <w:p>
      <w:pPr>
        <w:ind w:firstLine="440"/>
        <w:spacing w:after="0" w:line="236" w:lineRule="auto"/>
        <w:rPr>
          <w:sz w:val="20"/>
          <w:szCs w:val="20"/>
          <w:color w:val="auto"/>
        </w:rPr>
      </w:pPr>
      <w:r>
        <w:rPr>
          <w:rFonts w:ascii="Arial" w:cs="Arial" w:eastAsia="Arial" w:hAnsi="Arial"/>
          <w:sz w:val="17"/>
          <w:szCs w:val="17"/>
          <w:color w:val="auto"/>
        </w:rPr>
        <w:t>On July 22, 2015, we entered into a lease agreement with respect to our facility located at 1305 O’Brien Drive, Menlo Park, California. The term of the O’Brien Lease is one hundred thirty-two (132) months. In December 2016, we entered into an amendment to the O’Brien Lease which defined the commencement date of the lease to be October 25, 2016, notwithstanding that such substantial completion did not occur until the first quarter of 2017. Base monthly rent was abated for the first six (6) months of the lease term and thereafter was $540,000 per month during the first year of the lease term, with specified annual increases thereafter until reaching $711,000 per month during the last twelve (12) months of the lease term. If the rent is not received within five days of the due date, there will be an additional sum equal to 5% of the amount overdue as a late charge. Any amount not paid within 10 days after receipt of landlord’s written notice will bear interest from the date due until paid, at the lesser rate of (1) the prime rate of interest as published in the Wall Street Journal, plus 2% or (2) the maximum rate allowed by law, in addition to the late payment charge. We were required to establish a letter of credit for the benefits of the landlord and to submit $4.5 million as a deposit for the letter of credit in October 2015. Subsequently pursuant to the terms of the O’Brien Lease, at May 1, 2019 the $4.5 million in restricted cash was reduced to $4.0 million and at May 1, 2020 the $4.0 million in restricted cash was reduced to $3.5 million.</w:t>
      </w:r>
    </w:p>
    <w:p>
      <w:pPr>
        <w:spacing w:after="0" w:line="46" w:lineRule="exact"/>
        <w:rPr>
          <w:sz w:val="20"/>
          <w:szCs w:val="20"/>
          <w:color w:val="auto"/>
        </w:rPr>
      </w:pPr>
    </w:p>
    <w:p>
      <w:pPr>
        <w:ind w:right="100" w:firstLine="440"/>
        <w:spacing w:after="0"/>
        <w:rPr>
          <w:sz w:val="20"/>
          <w:szCs w:val="20"/>
          <w:color w:val="auto"/>
        </w:rPr>
      </w:pPr>
      <w:r>
        <w:rPr>
          <w:rFonts w:ascii="Arial" w:cs="Arial" w:eastAsia="Arial" w:hAnsi="Arial"/>
          <w:sz w:val="17"/>
          <w:szCs w:val="17"/>
          <w:color w:val="auto"/>
        </w:rPr>
        <w:t>All of our leases are operating leases. Operating lease assets and liabilities are reflected within “Operating lease right-of-use assets, net”, “Operating lease liabilities, current” and “Operating lease liabilities, non-current” on the condensed consolidated balance sheets. These assets and liabilities are recognized at the commencement date based on the present value of remaining minimum lease payments over the lease term using our estimated secured incremental borrowing rates at the effective date of January 1, 2019. Lease payments included in the measurement of the lease liability comprise the base rent per the term of the Lease. Lease expense for these leases is recognized on a straight-line basis over the lease term, with variable lease payments, such as common area maintenance fees, recognized in the period those payments are incurred.</w:t>
      </w:r>
    </w:p>
    <w:p>
      <w:pPr>
        <w:spacing w:after="0" w:line="42" w:lineRule="exact"/>
        <w:rPr>
          <w:sz w:val="20"/>
          <w:szCs w:val="20"/>
          <w:color w:val="auto"/>
        </w:rPr>
      </w:pPr>
    </w:p>
    <w:p>
      <w:pPr>
        <w:ind w:right="20" w:firstLine="440"/>
        <w:spacing w:after="0" w:line="266" w:lineRule="auto"/>
        <w:rPr>
          <w:sz w:val="20"/>
          <w:szCs w:val="20"/>
          <w:color w:val="auto"/>
        </w:rPr>
      </w:pPr>
      <w:r>
        <w:rPr>
          <w:rFonts w:ascii="Arial" w:cs="Arial" w:eastAsia="Arial" w:hAnsi="Arial"/>
          <w:sz w:val="16"/>
          <w:szCs w:val="16"/>
          <w:color w:val="auto"/>
        </w:rPr>
        <w:t>We often have options to renew lease terms for buildings. For the O’Brien Lease, the renewal option is 5 years and the rent will be based on fair market value at the time of renewal and was not included in the lease term.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 The weighted average remaining lease term for our operating leases as of June 30, 2020 was 7.3 years.</w:t>
      </w:r>
    </w:p>
    <w:p>
      <w:pPr>
        <w:spacing w:after="0" w:line="21" w:lineRule="exact"/>
        <w:rPr>
          <w:sz w:val="20"/>
          <w:szCs w:val="20"/>
          <w:color w:val="auto"/>
        </w:rPr>
      </w:pPr>
    </w:p>
    <w:p>
      <w:pPr>
        <w:ind w:right="100" w:firstLine="440"/>
        <w:spacing w:after="0" w:line="276" w:lineRule="auto"/>
        <w:rPr>
          <w:sz w:val="20"/>
          <w:szCs w:val="20"/>
          <w:color w:val="auto"/>
        </w:rPr>
      </w:pPr>
      <w:r>
        <w:rPr>
          <w:rFonts w:ascii="Arial" w:cs="Arial" w:eastAsia="Arial" w:hAnsi="Arial"/>
          <w:sz w:val="16"/>
          <w:szCs w:val="16"/>
          <w:color w:val="auto"/>
        </w:rPr>
        <w:t>The discount rate implicit within our leases is generally not determinable and therefore we determine the discount rate based on our incremental borrowing rate. The incremental borrowing rate for our leases is determined based on lease term and currency in which lease payments are made, adjusted for impacts of collateral. The weighted average discount rate used to measure our operating lease liabilities as of June 30, 2020 was 7.9%.</w:t>
      </w:r>
    </w:p>
    <w:p>
      <w:pPr>
        <w:spacing w:after="0" w:line="1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The following table presents information as to the amount and timing of cash flows arising from our operating leases as of June 30, 2020:</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1"/>
        </w:trPr>
        <w:tc>
          <w:tcPr>
            <w:tcW w:w="840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tc>
        <w:tc>
          <w:tcPr>
            <w:tcW w:w="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840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540" w:type="dxa"/>
            <w:vAlign w:val="bottom"/>
          </w:tcPr>
          <w:p>
            <w:pPr>
              <w:spacing w:after="0"/>
              <w:rPr>
                <w:sz w:val="24"/>
                <w:szCs w:val="24"/>
                <w:color w:val="auto"/>
              </w:rPr>
            </w:pPr>
          </w:p>
        </w:tc>
        <w:tc>
          <w:tcPr>
            <w:tcW w:w="2300" w:type="dxa"/>
            <w:vAlign w:val="bottom"/>
          </w:tcPr>
          <w:p>
            <w:pPr>
              <w:jc w:val="right"/>
              <w:ind w:right="10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5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4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right"/>
              <w:ind w:right="8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39"/>
        </w:trPr>
        <w:tc>
          <w:tcPr>
            <w:tcW w:w="8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Remaining of 2020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5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operating lease payments</w:t>
            </w:r>
          </w:p>
        </w:tc>
        <w:tc>
          <w:tcPr>
            <w:tcW w:w="540" w:type="dxa"/>
            <w:vAlign w:val="bottom"/>
            <w:shd w:val="clear" w:color="auto" w:fill="CCEEFF"/>
          </w:tcPr>
          <w:p>
            <w:pPr>
              <w:spacing w:after="0"/>
              <w:rPr>
                <w:sz w:val="21"/>
                <w:szCs w:val="21"/>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57,649</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(13,683)</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Present value of operating lease liabilities</w:t>
            </w:r>
          </w:p>
        </w:tc>
        <w:tc>
          <w:tcPr>
            <w:tcW w:w="540" w:type="dxa"/>
            <w:vAlign w:val="bottom"/>
            <w:tcBorders>
              <w:bottom w:val="single" w:sz="8" w:color="auto"/>
            </w:tcBorders>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43,966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Classification</w:t>
            </w:r>
          </w:p>
        </w:tc>
        <w:tc>
          <w:tcPr>
            <w:tcW w:w="5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540" w:type="dxa"/>
            <w:vAlign w:val="bottom"/>
            <w:tcBorders>
              <w:bottom w:val="single" w:sz="8" w:color="auto"/>
            </w:tcBorders>
            <w:shd w:val="clear" w:color="auto" w:fill="CCEEFF"/>
          </w:tcPr>
          <w:p>
            <w:pPr>
              <w:spacing w:after="0"/>
              <w:rPr>
                <w:sz w:val="23"/>
                <w:szCs w:val="23"/>
                <w:color w:val="auto"/>
              </w:rPr>
            </w:pPr>
          </w:p>
        </w:tc>
        <w:tc>
          <w:tcPr>
            <w:tcW w:w="2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39,863</w:t>
            </w:r>
          </w:p>
        </w:tc>
        <w:tc>
          <w:tcPr>
            <w:tcW w:w="0" w:type="dxa"/>
            <w:vAlign w:val="bottom"/>
          </w:tcPr>
          <w:p>
            <w:pPr>
              <w:spacing w:after="0"/>
              <w:rPr>
                <w:sz w:val="1"/>
                <w:szCs w:val="1"/>
                <w:color w:val="auto"/>
              </w:rPr>
            </w:pPr>
          </w:p>
        </w:tc>
      </w:tr>
      <w:tr>
        <w:trPr>
          <w:trHeight w:val="290"/>
        </w:trPr>
        <w:tc>
          <w:tcPr>
            <w:tcW w:w="8400" w:type="dxa"/>
            <w:vAlign w:val="bottom"/>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5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43,966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Flows</w:t>
      </w:r>
    </w:p>
    <w:p>
      <w:pPr>
        <w:ind w:right="60" w:firstLine="440"/>
        <w:spacing w:after="0" w:line="233" w:lineRule="auto"/>
        <w:rPr>
          <w:sz w:val="20"/>
          <w:szCs w:val="20"/>
          <w:color w:val="auto"/>
        </w:rPr>
      </w:pPr>
      <w:r>
        <w:rPr>
          <w:rFonts w:ascii="Arial" w:cs="Arial" w:eastAsia="Arial" w:hAnsi="Arial"/>
          <w:sz w:val="18"/>
          <w:szCs w:val="18"/>
          <w:color w:val="auto"/>
        </w:rPr>
        <w:t>Cash paid for amounts included in the present value of operating lease liabilities was $1.8 million and $3.6 million, respectively, for the three and six months ended June 30, 2020 and included in operating cash flow.</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Lease Costs</w:t>
      </w:r>
    </w:p>
    <w:p>
      <w:pPr>
        <w:jc w:val="both"/>
        <w:ind w:right="180" w:firstLine="440"/>
        <w:spacing w:after="0" w:line="228" w:lineRule="auto"/>
        <w:rPr>
          <w:sz w:val="20"/>
          <w:szCs w:val="20"/>
          <w:color w:val="auto"/>
        </w:rPr>
      </w:pPr>
      <w:r>
        <w:rPr>
          <w:rFonts w:ascii="Arial" w:cs="Arial" w:eastAsia="Arial" w:hAnsi="Arial"/>
          <w:sz w:val="18"/>
          <w:szCs w:val="18"/>
          <w:color w:val="auto"/>
        </w:rPr>
        <w:t>Operating lease costs were $1.6 million and $3.1 million for the three and six months ended June 30, 2020, respectively. Operating lease costs were $1.6 million and $3.1 million for the three and six months ended June 30, 2019, respectively. For both 2020 and 2019 the operating lease costs primarily related to our operating leases, but also included immaterial amounts for variable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6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District Court Proceedings</w:t>
      </w:r>
    </w:p>
    <w:p>
      <w:pPr>
        <w:spacing w:after="0" w:line="63" w:lineRule="exact"/>
        <w:rPr>
          <w:sz w:val="20"/>
          <w:szCs w:val="20"/>
          <w:color w:val="auto"/>
        </w:rPr>
      </w:pPr>
    </w:p>
    <w:p>
      <w:pPr>
        <w:ind w:right="60" w:firstLine="440"/>
        <w:spacing w:after="0" w:line="227" w:lineRule="auto"/>
        <w:rPr>
          <w:sz w:val="20"/>
          <w:szCs w:val="20"/>
          <w:color w:val="auto"/>
        </w:rPr>
      </w:pPr>
      <w:r>
        <w:rPr>
          <w:rFonts w:ascii="Arial" w:cs="Arial" w:eastAsia="Arial" w:hAnsi="Arial"/>
          <w:sz w:val="18"/>
          <w:szCs w:val="18"/>
          <w:color w:val="auto"/>
        </w:rPr>
        <w:t>On March 15, 2017, we filed a complaint in the U.S. District Court for the District of Delaware against ONT Inc. for patent infringement (C.A. No. 17-cv-275 (“275 Action”)). The complaint is based on our U.S. Patent No. 9,546,400 (the “’400 Patent”), entitled “Nanopore sequencing using n-mers” which covers novel methods for nanopore sequencing of nucleic acid molecules using the signals from multiple monomeric units. This patent was granted on January 17, 2017. We are seeking remedies including injunctive relief, damages and costs. On August 23, 2018, we filed an amended complaint, adding ONT Ltd. as a defendant in the 275 Action. On August 15, 2019, the judge granted our motion to amend the complaint in the 275 Action to add allegations of willful infringement by ONT Inc. and ONT Ltd.</w:t>
      </w:r>
    </w:p>
    <w:p>
      <w:pPr>
        <w:spacing w:after="0" w:line="40" w:lineRule="exact"/>
        <w:rPr>
          <w:sz w:val="20"/>
          <w:szCs w:val="20"/>
          <w:color w:val="auto"/>
        </w:rPr>
      </w:pPr>
    </w:p>
    <w:p>
      <w:pPr>
        <w:ind w:firstLine="440"/>
        <w:spacing w:after="0" w:line="221" w:lineRule="auto"/>
        <w:rPr>
          <w:sz w:val="20"/>
          <w:szCs w:val="20"/>
          <w:color w:val="auto"/>
        </w:rPr>
      </w:pPr>
      <w:r>
        <w:rPr>
          <w:rFonts w:ascii="Arial" w:cs="Arial" w:eastAsia="Arial" w:hAnsi="Arial"/>
          <w:sz w:val="18"/>
          <w:szCs w:val="18"/>
          <w:color w:val="auto"/>
        </w:rPr>
        <w:t>On September 25, 2017, we filed a second complaint in the U.S. District Court for the District of Delaware against ONT Inc. for patent infringement (C.A. No. 17-cv-1353 (“1353 Action”)). The complaint is based on our U.S. Patent No. 9,678,056 (the “’056 Patent”) entitled “Control of Enzyme Translation in Nanopore Sequencing”, granted June 13, 2017, and U.S. Patent No. 9,738,929 (the “’929 Patent”) entitled “Nucleic Acid Sequence Analysis”, granted August 22, 2017. We are seeking remedies including injunctive relief, damages and costs. On March 28, 2018, we added a claim for infringement of our U.S. Patent No. 9,772,323 (the “’323 Patent”), entitled “Nanopore sequencing using n-mers.” On August 23, 2018 we filed an amended complaint, adding ONT Ltd. as a defendant in the 1353 Action. On August 15, 2019, the judge granted our motion to amend the complaint in the 1353 Action to add allegations of willful infringement by ONT Inc. and ONT Ltd.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360" w:firstLine="440"/>
        <w:spacing w:after="0" w:line="231" w:lineRule="auto"/>
        <w:rPr>
          <w:sz w:val="20"/>
          <w:szCs w:val="20"/>
          <w:color w:val="auto"/>
        </w:rPr>
      </w:pPr>
      <w:r>
        <w:rPr>
          <w:rFonts w:ascii="Arial" w:cs="Arial" w:eastAsia="Arial" w:hAnsi="Arial"/>
          <w:sz w:val="18"/>
          <w:szCs w:val="18"/>
          <w:color w:val="auto"/>
        </w:rPr>
        <w:t>A trial for the U.S. District Court matters was held from March 9 through March 18, 2020. The jury determined that ONT Inc. and ONT Ltd. infringed the ‘056 Patent, the ‘400 Patent, and the ‘323 Patent, but the jury declined to find these patents valid based on enablement and, in the case of claim one of the ’056 Patent, written description and indefiniteness. The jury declined to find valid or infringed U.S. Patent No. 9,738,929. We plan to appeal the decision to the U.S. Court of Appeals for the Federal Circuit.</w:t>
      </w:r>
    </w:p>
    <w:p>
      <w:pPr>
        <w:spacing w:after="0" w:line="40" w:lineRule="exact"/>
        <w:rPr>
          <w:sz w:val="20"/>
          <w:szCs w:val="20"/>
          <w:color w:val="auto"/>
        </w:rPr>
      </w:pPr>
    </w:p>
    <w:p>
      <w:pPr>
        <w:ind w:right="180" w:firstLine="440"/>
        <w:spacing w:after="0" w:line="246" w:lineRule="auto"/>
        <w:rPr>
          <w:sz w:val="20"/>
          <w:szCs w:val="20"/>
          <w:color w:val="auto"/>
        </w:rPr>
      </w:pPr>
      <w:r>
        <w:rPr>
          <w:rFonts w:ascii="Arial" w:cs="Arial" w:eastAsia="Arial" w:hAnsi="Arial"/>
          <w:sz w:val="17"/>
          <w:szCs w:val="17"/>
          <w:color w:val="auto"/>
        </w:rPr>
        <w:t>Unrelated to the preceding matters, on September 26, 2019, Personal Genomics of Taiwan, Inc. (“PGI”) filed a complaint in the U.S. District Court for the District of Delaware against us for patent infringement (C.A. No. 19-cv-1810). The complaint is based on PGI’s U.S. Patent No. 7,767,441 (the “441 Patent”). We plan to vigorously defend in this matter. On November 20, 2019, we filed our answer to the complaint, denying infringement and seeking a declaratory judgement of invalidity of the ‘441 Patent. A trial for this matter is scheduled to begin on March 14, 2022.</w:t>
      </w:r>
    </w:p>
    <w:p>
      <w:pPr>
        <w:spacing w:after="0" w:line="36" w:lineRule="exact"/>
        <w:rPr>
          <w:sz w:val="20"/>
          <w:szCs w:val="20"/>
          <w:color w:val="auto"/>
        </w:rPr>
      </w:pPr>
    </w:p>
    <w:p>
      <w:pPr>
        <w:ind w:right="60" w:firstLine="440"/>
        <w:spacing w:after="0" w:line="231" w:lineRule="auto"/>
        <w:rPr>
          <w:sz w:val="20"/>
          <w:szCs w:val="20"/>
          <w:color w:val="auto"/>
        </w:rPr>
      </w:pPr>
      <w:r>
        <w:rPr>
          <w:rFonts w:ascii="Arial" w:cs="Arial" w:eastAsia="Arial" w:hAnsi="Arial"/>
          <w:sz w:val="18"/>
          <w:szCs w:val="18"/>
          <w:color w:val="auto"/>
        </w:rPr>
        <w:t>On June 22, 2020, we filed a petition requesting institution of an inter-partes review (IPR) to the Patent Trial and Appeals Board (the “Board”) at the United States Patent Office requesting the Board to find a set of claims in the ‘441 invalid. On June 27, 2020, we filed a second petition requesting institution of an IPR requesting the Board to find another set of claims in the ‘441 invalid. The two petitions requesting IPRs assert that all of the claims relevant to the PGI complaint are invalid.</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May 19, 2020, PGI filed a complaint in the Wuhan People’s Court alleging infringement of one or more claims of China patent No.</w:t>
      </w:r>
    </w:p>
    <w:p>
      <w:pPr>
        <w:spacing w:after="0"/>
        <w:rPr>
          <w:sz w:val="20"/>
          <w:szCs w:val="20"/>
          <w:color w:val="auto"/>
        </w:rPr>
      </w:pPr>
      <w:r>
        <w:rPr>
          <w:rFonts w:ascii="Arial" w:cs="Arial" w:eastAsia="Arial" w:hAnsi="Arial"/>
          <w:sz w:val="18"/>
          <w:szCs w:val="18"/>
          <w:color w:val="auto"/>
        </w:rPr>
        <w:t>CN101743321B, which is related to the ‘441 Patent. We have not received service. We plan to vigorously defend in this matter.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Proceedings</w:t>
      </w:r>
    </w:p>
    <w:p>
      <w:pPr>
        <w:spacing w:after="0" w:line="63" w:lineRule="exact"/>
        <w:rPr>
          <w:sz w:val="20"/>
          <w:szCs w:val="20"/>
          <w:color w:val="auto"/>
        </w:rPr>
      </w:pPr>
    </w:p>
    <w:p>
      <w:pPr>
        <w:ind w:firstLine="440"/>
        <w:spacing w:after="0" w:line="239"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 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Indemnification</w:t>
      </w:r>
    </w:p>
    <w:p>
      <w:pPr>
        <w:spacing w:after="0" w:line="56" w:lineRule="exact"/>
        <w:rPr>
          <w:sz w:val="20"/>
          <w:szCs w:val="20"/>
          <w:color w:val="auto"/>
        </w:rPr>
      </w:pPr>
    </w:p>
    <w:p>
      <w:pPr>
        <w:ind w:right="40" w:firstLine="440"/>
        <w:spacing w:after="0" w:line="253" w:lineRule="auto"/>
        <w:rPr>
          <w:sz w:val="20"/>
          <w:szCs w:val="20"/>
          <w:color w:val="auto"/>
        </w:rPr>
      </w:pPr>
      <w:r>
        <w:rPr>
          <w:rFonts w:ascii="Arial" w:cs="Arial" w:eastAsia="Arial" w:hAnsi="Arial"/>
          <w:sz w:val="16"/>
          <w:szCs w:val="16"/>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at June 30, 2020.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63" w:lineRule="exact"/>
        <w:rPr>
          <w:sz w:val="20"/>
          <w:szCs w:val="20"/>
          <w:color w:val="auto"/>
        </w:rPr>
      </w:pPr>
    </w:p>
    <w:p>
      <w:pPr>
        <w:ind w:right="80" w:firstLine="440"/>
        <w:spacing w:after="0" w:line="242" w:lineRule="auto"/>
        <w:rPr>
          <w:sz w:val="20"/>
          <w:szCs w:val="20"/>
          <w:color w:val="auto"/>
        </w:rPr>
      </w:pPr>
      <w:r>
        <w:rPr>
          <w:rFonts w:ascii="Arial" w:cs="Arial" w:eastAsia="Arial" w:hAnsi="Arial"/>
          <w:sz w:val="17"/>
          <w:szCs w:val="17"/>
          <w:color w:val="auto"/>
        </w:rPr>
        <w:t>As of June 30, 2020, in total, we had three active equity compensation plans: the 2010 Equity Incentive Plan (“2010 Plan”), the 2010 Outside Director Equity Incentive Plan (“2010 Director Plan”) and the 2010 Employee Stock Purchase Plan (“ESPP”). Pursuant to the terms of the then-in-process Merger Agreement, the ESPP was terminated after the completion of the purchase period ended March 1, 2019. After the merger with Illumina was terminated in January 2020, we began offerings under the ESPP again starting with the offering period beginning on March 1, 2020. Our 2010 Equity Incentive Plan (“2010 Plan”) and 2010 Outside Director Equity Incentive Plan (“2010 Director Plan”) expired on July 29, 2020.</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40" w:firstLine="485"/>
        <w:spacing w:after="0" w:line="235" w:lineRule="auto"/>
        <w:rPr>
          <w:sz w:val="20"/>
          <w:szCs w:val="20"/>
          <w:color w:val="auto"/>
        </w:rPr>
      </w:pPr>
      <w:r>
        <w:rPr>
          <w:rFonts w:ascii="Arial" w:cs="Arial" w:eastAsia="Arial" w:hAnsi="Arial"/>
          <w:sz w:val="18"/>
          <w:szCs w:val="18"/>
          <w:color w:val="auto"/>
        </w:rPr>
        <w:t>On August 4, 2020, stockholders at the 2020 Annual Meeting approved a new 2020 Equity Incentive Plan and the 2010 Equity Incentive Plan and 2010 Outside Director Equity Incentive Plan were terminated. A description of the 2020 Equity Incentive Plan can be found in the Company’s Proxy Statement for the 2020 Annual Meeting of Stockholders, dated June 24, 2020.</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63" w:lineRule="exact"/>
        <w:rPr>
          <w:sz w:val="20"/>
          <w:szCs w:val="20"/>
          <w:color w:val="auto"/>
        </w:rPr>
      </w:pPr>
    </w:p>
    <w:p>
      <w:pPr>
        <w:ind w:right="120" w:firstLine="440"/>
        <w:spacing w:after="0" w:line="246" w:lineRule="auto"/>
        <w:rPr>
          <w:sz w:val="20"/>
          <w:szCs w:val="20"/>
          <w:color w:val="auto"/>
        </w:rPr>
      </w:pPr>
      <w:r>
        <w:rPr>
          <w:rFonts w:ascii="Arial" w:cs="Arial" w:eastAsia="Arial" w:hAnsi="Arial"/>
          <w:sz w:val="18"/>
          <w:szCs w:val="18"/>
          <w:color w:val="auto"/>
        </w:rPr>
        <w:t>The following table summarizes stock option activity for all our stock option plans for the six months ended June 30, 2020 (in thousands, except per share amounts):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Stock Options Outstanding</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r>
      <w:tr>
        <w:trPr>
          <w:trHeight w:val="152"/>
        </w:trPr>
        <w:tc>
          <w:tcPr>
            <w:tcW w:w="4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jc w:val="center"/>
              <w:ind w:right="277"/>
              <w:spacing w:after="0" w:line="153" w:lineRule="exact"/>
              <w:rPr>
                <w:sz w:val="20"/>
                <w:szCs w:val="20"/>
                <w:color w:val="auto"/>
              </w:rPr>
            </w:pPr>
            <w:r>
              <w:rPr>
                <w:rFonts w:ascii="Arial" w:cs="Arial" w:eastAsia="Arial" w:hAnsi="Arial"/>
                <w:sz w:val="14"/>
                <w:szCs w:val="14"/>
                <w:b w:val="1"/>
                <w:bCs w:val="1"/>
                <w:color w:val="auto"/>
                <w:w w:val="91"/>
              </w:rPr>
              <w:t>Weighted</w:t>
            </w:r>
          </w:p>
        </w:tc>
      </w:tr>
      <w:tr>
        <w:trPr>
          <w:trHeight w:val="186"/>
        </w:trPr>
        <w:tc>
          <w:tcPr>
            <w:tcW w:w="4240" w:type="dxa"/>
            <w:vAlign w:val="bottom"/>
          </w:tcPr>
          <w:p>
            <w:pPr>
              <w:spacing w:after="0"/>
              <w:rPr>
                <w:sz w:val="16"/>
                <w:szCs w:val="16"/>
                <w:color w:val="auto"/>
              </w:rPr>
            </w:pPr>
          </w:p>
        </w:tc>
        <w:tc>
          <w:tcPr>
            <w:tcW w:w="1260" w:type="dxa"/>
            <w:vAlign w:val="bottom"/>
          </w:tcPr>
          <w:p>
            <w:pPr>
              <w:ind w:left="720"/>
              <w:spacing w:after="0"/>
              <w:rPr>
                <w:sz w:val="20"/>
                <w:szCs w:val="20"/>
                <w:color w:val="auto"/>
              </w:rPr>
            </w:pPr>
            <w:r>
              <w:rPr>
                <w:rFonts w:ascii="Arial" w:cs="Arial" w:eastAsia="Arial" w:hAnsi="Arial"/>
                <w:sz w:val="14"/>
                <w:szCs w:val="14"/>
                <w:b w:val="1"/>
                <w:bCs w:val="1"/>
                <w:color w:val="auto"/>
                <w:w w:val="98"/>
              </w:rPr>
              <w:t>Number</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jc w:val="center"/>
              <w:ind w:right="297"/>
              <w:spacing w:after="0"/>
              <w:rPr>
                <w:sz w:val="20"/>
                <w:szCs w:val="20"/>
                <w:color w:val="auto"/>
              </w:rPr>
            </w:pPr>
            <w:r>
              <w:rPr>
                <w:rFonts w:ascii="Arial" w:cs="Arial" w:eastAsia="Arial" w:hAnsi="Arial"/>
                <w:sz w:val="14"/>
                <w:szCs w:val="14"/>
                <w:b w:val="1"/>
                <w:bCs w:val="1"/>
                <w:color w:val="auto"/>
                <w:w w:val="90"/>
              </w:rPr>
              <w:t>average</w:t>
            </w:r>
          </w:p>
        </w:tc>
      </w:tr>
      <w:tr>
        <w:trPr>
          <w:trHeight w:val="174"/>
        </w:trPr>
        <w:tc>
          <w:tcPr>
            <w:tcW w:w="42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w w:val="86"/>
              </w:rPr>
              <w:t>of shares</w:t>
            </w: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Exercise price</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7"/>
              </w:rPr>
              <w:t>exercise price</w:t>
            </w: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Balances, December 31, 2019</w:t>
            </w: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0"/>
              </w:rPr>
              <w:t>22,697</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 –</w:t>
            </w:r>
          </w:p>
        </w:tc>
        <w:tc>
          <w:tcPr>
            <w:tcW w:w="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16.00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517"/>
              <w:spacing w:after="0" w:line="196" w:lineRule="exact"/>
              <w:rPr>
                <w:sz w:val="20"/>
                <w:szCs w:val="20"/>
                <w:color w:val="auto"/>
              </w:rPr>
            </w:pPr>
            <w:r>
              <w:rPr>
                <w:rFonts w:ascii="Arial" w:cs="Arial" w:eastAsia="Arial" w:hAnsi="Arial"/>
                <w:sz w:val="18"/>
                <w:szCs w:val="18"/>
                <w:color w:val="auto"/>
              </w:rPr>
              <w:t>5.57</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ind w:right="517"/>
              <w:spacing w:after="0"/>
              <w:rPr>
                <w:sz w:val="20"/>
                <w:szCs w:val="20"/>
                <w:color w:val="auto"/>
              </w:rPr>
            </w:pPr>
            <w:r>
              <w:rPr>
                <w:rFonts w:ascii="Arial" w:cs="Arial" w:eastAsia="Arial" w:hAnsi="Arial"/>
                <w:sz w:val="18"/>
                <w:szCs w:val="18"/>
                <w:color w:val="auto"/>
              </w:rPr>
              <w:t>2.45</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4.25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2.43</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(1,906)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2.54 –</w:t>
            </w:r>
          </w:p>
        </w:tc>
        <w:tc>
          <w:tcPr>
            <w:tcW w:w="460" w:type="dxa"/>
            <w:vAlign w:val="bottom"/>
          </w:tcPr>
          <w:p>
            <w:pPr>
              <w:ind w:left="20"/>
              <w:spacing w:after="0"/>
              <w:rPr>
                <w:sz w:val="20"/>
                <w:szCs w:val="20"/>
                <w:color w:val="auto"/>
              </w:rPr>
            </w:pPr>
            <w:r>
              <w:rPr>
                <w:rFonts w:ascii="Arial" w:cs="Arial" w:eastAsia="Arial" w:hAnsi="Arial"/>
                <w:sz w:val="18"/>
                <w:szCs w:val="18"/>
                <w:color w:val="auto"/>
                <w:w w:val="93"/>
              </w:rPr>
              <w:t>15.77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ind w:right="517"/>
              <w:spacing w:after="0"/>
              <w:rPr>
                <w:sz w:val="20"/>
                <w:szCs w:val="20"/>
                <w:color w:val="auto"/>
              </w:rPr>
            </w:pPr>
            <w:r>
              <w:rPr>
                <w:rFonts w:ascii="Arial" w:cs="Arial" w:eastAsia="Arial" w:hAnsi="Arial"/>
                <w:sz w:val="18"/>
                <w:szCs w:val="18"/>
                <w:color w:val="auto"/>
              </w:rPr>
              <w:t>7.39</w:t>
            </w:r>
          </w:p>
        </w:tc>
      </w:tr>
      <w:tr>
        <w:trPr>
          <w:trHeight w:val="237"/>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2020</w:t>
            </w: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20,485</w:t>
            </w:r>
          </w:p>
        </w:tc>
        <w:tc>
          <w:tcPr>
            <w:tcW w:w="540" w:type="dxa"/>
            <w:vAlign w:val="bottom"/>
            <w:tcBorders>
              <w:top w:val="single" w:sz="8" w:color="CCEEFF"/>
              <w:bottom w:val="single" w:sz="8" w:color="CCEEFF"/>
            </w:tcBorders>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16.00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CCEEFF"/>
              <w:bottom w:val="single" w:sz="8" w:color="CCEEFF"/>
            </w:tcBorders>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CCEEFF"/>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5.45</w:t>
            </w:r>
          </w:p>
        </w:tc>
      </w:tr>
      <w:tr>
        <w:trPr>
          <w:trHeight w:val="20"/>
        </w:trPr>
        <w:tc>
          <w:tcPr>
            <w:tcW w:w="4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80" w:firstLine="440"/>
        <w:spacing w:after="0" w:line="246" w:lineRule="auto"/>
        <w:rPr>
          <w:sz w:val="20"/>
          <w:szCs w:val="20"/>
          <w:color w:val="auto"/>
        </w:rPr>
      </w:pPr>
      <w:r>
        <w:rPr>
          <w:rFonts w:ascii="Arial" w:cs="Arial" w:eastAsia="Arial" w:hAnsi="Arial"/>
          <w:sz w:val="18"/>
          <w:szCs w:val="18"/>
          <w:color w:val="auto"/>
        </w:rPr>
        <w:t>For the three and six months ended June 30, 2020, we recognized stock-based compensation expense of $1.1 million and $2.9 million, respectively, related to options.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or “RSUs”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Time-based RSUs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time-based RSUs activity for the six months ended June 30, 2020 (in thousands, except per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Pr>
          <w:p>
            <w:pPr>
              <w:jc w:val="center"/>
              <w:ind w:right="2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1520" w:type="dxa"/>
            <w:vAlign w:val="bottom"/>
          </w:tcPr>
          <w:p>
            <w:pPr>
              <w:jc w:val="right"/>
              <w:ind w:right="415"/>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323"/>
        </w:trPr>
        <w:tc>
          <w:tcPr>
            <w:tcW w:w="698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of shares</w:t>
            </w:r>
          </w:p>
        </w:tc>
        <w:tc>
          <w:tcPr>
            <w:tcW w:w="4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December 31, 2019</w:t>
            </w:r>
          </w:p>
        </w:tc>
        <w:tc>
          <w:tcPr>
            <w:tcW w:w="15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1,086</w:t>
            </w: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RSUs granted</w:t>
            </w:r>
          </w:p>
        </w:tc>
        <w:tc>
          <w:tcPr>
            <w:tcW w:w="1520" w:type="dxa"/>
            <w:vAlign w:val="bottom"/>
          </w:tcPr>
          <w:p>
            <w:pPr>
              <w:jc w:val="right"/>
              <w:ind w:right="75"/>
              <w:spacing w:after="0"/>
              <w:rPr>
                <w:sz w:val="20"/>
                <w:szCs w:val="20"/>
                <w:color w:val="auto"/>
              </w:rPr>
            </w:pPr>
            <w:r>
              <w:rPr>
                <w:rFonts w:ascii="Arial" w:cs="Arial" w:eastAsia="Arial" w:hAnsi="Arial"/>
                <w:sz w:val="18"/>
                <w:szCs w:val="18"/>
                <w:color w:val="auto"/>
              </w:rPr>
              <w:t>5,280</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0" w:type="dxa"/>
            <w:vAlign w:val="bottom"/>
          </w:tcPr>
          <w:p>
            <w:pPr>
              <w:jc w:val="right"/>
              <w:ind w:right="517"/>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(858)</w:t>
            </w:r>
          </w:p>
        </w:tc>
        <w:tc>
          <w:tcPr>
            <w:tcW w:w="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0"/>
                <w:szCs w:val="20"/>
                <w:color w:val="auto"/>
              </w:rPr>
            </w:pPr>
            <w:r>
              <w:rPr>
                <w:rFonts w:ascii="Arial" w:cs="Arial" w:eastAsia="Arial" w:hAnsi="Arial"/>
                <w:sz w:val="18"/>
                <w:szCs w:val="18"/>
                <w:color w:val="auto"/>
              </w:rPr>
              <w:t>RSUs forfeited</w:t>
            </w:r>
          </w:p>
        </w:tc>
        <w:tc>
          <w:tcPr>
            <w:tcW w:w="1520" w:type="dxa"/>
            <w:vAlign w:val="bottom"/>
            <w:vMerge w:val="restart"/>
          </w:tcPr>
          <w:p>
            <w:pPr>
              <w:jc w:val="right"/>
              <w:ind w:right="35"/>
              <w:spacing w:after="0"/>
              <w:rPr>
                <w:sz w:val="20"/>
                <w:szCs w:val="20"/>
                <w:color w:val="auto"/>
              </w:rPr>
            </w:pPr>
            <w:r>
              <w:rPr>
                <w:rFonts w:ascii="Arial" w:cs="Arial" w:eastAsia="Arial" w:hAnsi="Arial"/>
                <w:sz w:val="18"/>
                <w:szCs w:val="18"/>
                <w:color w:val="auto"/>
              </w:rPr>
              <w:t>(399)</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0" w:type="dxa"/>
            <w:vAlign w:val="bottom"/>
          </w:tcPr>
          <w:p>
            <w:pPr>
              <w:jc w:val="right"/>
              <w:ind w:right="517"/>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54"/>
        </w:trPr>
        <w:tc>
          <w:tcPr>
            <w:tcW w:w="698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outstanding at June 30, 2020</w:t>
            </w:r>
          </w:p>
        </w:tc>
        <w:tc>
          <w:tcPr>
            <w:tcW w:w="15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5,109</w:t>
            </w:r>
          </w:p>
        </w:tc>
        <w:tc>
          <w:tcPr>
            <w:tcW w:w="740" w:type="dxa"/>
            <w:vAlign w:val="bottom"/>
            <w:tcBorders>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80" w:firstLine="440"/>
        <w:spacing w:after="0" w:line="246" w:lineRule="auto"/>
        <w:rPr>
          <w:sz w:val="20"/>
          <w:szCs w:val="20"/>
          <w:color w:val="auto"/>
        </w:rPr>
      </w:pPr>
      <w:r>
        <w:rPr>
          <w:rFonts w:ascii="Arial" w:cs="Arial" w:eastAsia="Arial" w:hAnsi="Arial"/>
          <w:sz w:val="18"/>
          <w:szCs w:val="18"/>
          <w:color w:val="auto"/>
        </w:rPr>
        <w:t>For the three and six months ended June 30, 2020, we recognized stock-based compensation expense of $1.6 million and $3.8 million, respectively, related to time-based RSUs.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Performance-based RSUs</w:t>
      </w:r>
    </w:p>
    <w:p>
      <w:pPr>
        <w:spacing w:after="0" w:line="63" w:lineRule="exact"/>
        <w:rPr>
          <w:sz w:val="20"/>
          <w:szCs w:val="20"/>
          <w:color w:val="auto"/>
        </w:rPr>
      </w:pPr>
    </w:p>
    <w:p>
      <w:pPr>
        <w:ind w:right="580" w:firstLine="440"/>
        <w:spacing w:after="0" w:line="236" w:lineRule="auto"/>
        <w:rPr>
          <w:sz w:val="20"/>
          <w:szCs w:val="20"/>
          <w:color w:val="auto"/>
        </w:rPr>
      </w:pPr>
      <w:r>
        <w:rPr>
          <w:rFonts w:ascii="Arial" w:cs="Arial" w:eastAsia="Arial" w:hAnsi="Arial"/>
          <w:sz w:val="18"/>
          <w:szCs w:val="18"/>
          <w:color w:val="auto"/>
        </w:rPr>
        <w:t>The following table summarizes the performance-based RSUs activity for the six months ended June 30, 2020 (in thousands, except per share amounts):</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Weighted average</w:t>
            </w:r>
          </w:p>
        </w:tc>
      </w:tr>
      <w:tr>
        <w:trPr>
          <w:trHeight w:val="270"/>
        </w:trPr>
        <w:tc>
          <w:tcPr>
            <w:tcW w:w="7040" w:type="dxa"/>
            <w:vAlign w:val="bottom"/>
          </w:tcPr>
          <w:p>
            <w:pPr>
              <w:spacing w:after="0"/>
              <w:rPr>
                <w:sz w:val="23"/>
                <w:szCs w:val="23"/>
                <w:color w:val="auto"/>
              </w:rPr>
            </w:pPr>
          </w:p>
        </w:tc>
        <w:tc>
          <w:tcPr>
            <w:tcW w:w="1040" w:type="dxa"/>
            <w:vAlign w:val="bottom"/>
          </w:tcPr>
          <w:p>
            <w:pPr>
              <w:ind w:left="500"/>
              <w:spacing w:after="0"/>
              <w:rPr>
                <w:sz w:val="20"/>
                <w:szCs w:val="20"/>
                <w:color w:val="auto"/>
              </w:rPr>
            </w:pPr>
            <w:r>
              <w:rPr>
                <w:rFonts w:ascii="Arial" w:cs="Arial" w:eastAsia="Arial" w:hAnsi="Arial"/>
                <w:sz w:val="14"/>
                <w:szCs w:val="14"/>
                <w:b w:val="1"/>
                <w:bCs w:val="1"/>
                <w:color w:val="auto"/>
                <w:w w:val="98"/>
              </w:rPr>
              <w:t>Number</w:t>
            </w: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grant date</w:t>
            </w:r>
          </w:p>
        </w:tc>
      </w:tr>
      <w:tr>
        <w:trPr>
          <w:trHeight w:val="323"/>
        </w:trPr>
        <w:tc>
          <w:tcPr>
            <w:tcW w:w="704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86"/>
              </w:rPr>
              <w:t>of shares</w:t>
            </w: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7"/>
              </w:rPr>
              <w:t>fair value</w:t>
            </w:r>
          </w:p>
        </w:tc>
      </w:tr>
      <w:tr>
        <w:trPr>
          <w:trHeight w:val="25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PSUs outstanding at December 31, 2019</w:t>
            </w: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138</w:t>
            </w:r>
          </w:p>
        </w:tc>
        <w:tc>
          <w:tcPr>
            <w:tcW w:w="3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2.63</w:t>
            </w: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PSUs granted</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right"/>
              <w:ind w:right="517"/>
              <w:spacing w:after="0"/>
              <w:rPr>
                <w:sz w:val="20"/>
                <w:szCs w:val="20"/>
                <w:color w:val="auto"/>
              </w:rPr>
            </w:pPr>
            <w:r>
              <w:rPr>
                <w:rFonts w:ascii="Arial" w:cs="Arial" w:eastAsia="Arial" w:hAnsi="Arial"/>
                <w:sz w:val="18"/>
                <w:szCs w:val="18"/>
                <w:color w:val="auto"/>
              </w:rPr>
              <w:t>—</w:t>
            </w:r>
          </w:p>
        </w:tc>
      </w:tr>
      <w:tr>
        <w:trPr>
          <w:trHeight w:val="270"/>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PSUs released</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PSUs forfeited</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right"/>
              <w:ind w:right="517"/>
              <w:spacing w:after="0"/>
              <w:rPr>
                <w:sz w:val="20"/>
                <w:szCs w:val="20"/>
                <w:color w:val="auto"/>
              </w:rPr>
            </w:pPr>
            <w:r>
              <w:rPr>
                <w:rFonts w:ascii="Arial" w:cs="Arial" w:eastAsia="Arial" w:hAnsi="Arial"/>
                <w:sz w:val="18"/>
                <w:szCs w:val="18"/>
                <w:color w:val="auto"/>
              </w:rPr>
              <w:t>—</w:t>
            </w:r>
          </w:p>
        </w:tc>
      </w:tr>
      <w:tr>
        <w:trPr>
          <w:trHeight w:val="236"/>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PSUs outstanding at June 30, 2020</w:t>
            </w:r>
          </w:p>
        </w:tc>
        <w:tc>
          <w:tcPr>
            <w:tcW w:w="104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138</w:t>
            </w:r>
          </w:p>
        </w:tc>
        <w:tc>
          <w:tcPr>
            <w:tcW w:w="720" w:type="dxa"/>
            <w:vAlign w:val="bottom"/>
            <w:tcBorders>
              <w:top w:val="single" w:sz="8" w:color="CCEEFF"/>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CCEEFF"/>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2.63</w:t>
            </w:r>
          </w:p>
        </w:tc>
      </w:tr>
      <w:tr>
        <w:trPr>
          <w:trHeight w:val="20"/>
        </w:trPr>
        <w:tc>
          <w:tcPr>
            <w:tcW w:w="7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three and six months ended June 30, 2020, we recognized stock-based compensation expense of $0 related to the performance-based RSUs.</w:t>
      </w:r>
    </w:p>
    <w:p>
      <w:pPr>
        <w:spacing w:after="0" w:line="86" w:lineRule="exact"/>
        <w:rPr>
          <w:sz w:val="20"/>
          <w:szCs w:val="20"/>
          <w:color w:val="auto"/>
        </w:rPr>
      </w:pPr>
    </w:p>
    <w:p>
      <w:pPr>
        <w:jc w:val="both"/>
        <w:ind w:right="80" w:firstLine="440"/>
        <w:spacing w:after="0" w:line="235" w:lineRule="auto"/>
        <w:rPr>
          <w:sz w:val="20"/>
          <w:szCs w:val="20"/>
          <w:color w:val="auto"/>
        </w:rPr>
      </w:pPr>
      <w:r>
        <w:rPr>
          <w:rFonts w:ascii="Arial" w:cs="Arial" w:eastAsia="Arial" w:hAnsi="Arial"/>
          <w:sz w:val="18"/>
          <w:szCs w:val="18"/>
          <w:color w:val="auto"/>
        </w:rPr>
        <w:t>In January 2020, an additional 7.7 million shares and 1.5 million shares, respectively, were reserved under the 2010 Plan and the 2010 Director Plan. As of June 30, 2020, we had an aggregate of 27.2 million shares of common stock reserved and available for future issuance under the 2010 Plan and 2010 Director Plan.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 shares</w:t>
      </w:r>
    </w:p>
    <w:p>
      <w:pPr>
        <w:spacing w:after="0" w:line="63" w:lineRule="exact"/>
        <w:rPr>
          <w:sz w:val="20"/>
          <w:szCs w:val="20"/>
          <w:color w:val="auto"/>
        </w:rPr>
      </w:pPr>
    </w:p>
    <w:p>
      <w:pPr>
        <w:jc w:val="both"/>
        <w:ind w:right="420" w:firstLine="440"/>
        <w:spacing w:after="0" w:line="235" w:lineRule="auto"/>
        <w:rPr>
          <w:sz w:val="20"/>
          <w:szCs w:val="20"/>
          <w:color w:val="auto"/>
        </w:rPr>
      </w:pPr>
      <w:r>
        <w:rPr>
          <w:rFonts w:ascii="Arial" w:cs="Arial" w:eastAsia="Arial" w:hAnsi="Arial"/>
          <w:sz w:val="18"/>
          <w:szCs w:val="18"/>
          <w:color w:val="auto"/>
        </w:rPr>
        <w:t>Shares issued under our ESPP were none and 1,306,329 during the six months ended June 30, 2020 and 2019, respectively. In January 2020, an additional 3.1 million shares were reserved under the ESPP. As of June 30, 2020, 6,713,447 shares of our common stock remain available for issuance under our ESPP.</w:t>
      </w:r>
    </w:p>
    <w:p>
      <w:pPr>
        <w:spacing w:after="0" w:line="40"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For the three and six months ended June 30, 2020, we recognized stock-based compensation expense of $408,000 and $537,000, respectively, related to the ESPP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63" w:lineRule="exact"/>
        <w:rPr>
          <w:sz w:val="20"/>
          <w:szCs w:val="20"/>
          <w:color w:val="auto"/>
        </w:rPr>
      </w:pPr>
    </w:p>
    <w:p>
      <w:pPr>
        <w:ind w:right="140" w:firstLine="440"/>
        <w:spacing w:after="0" w:line="246" w:lineRule="auto"/>
        <w:rPr>
          <w:sz w:val="20"/>
          <w:szCs w:val="20"/>
          <w:color w:val="auto"/>
        </w:rPr>
      </w:pPr>
      <w:r>
        <w:rPr>
          <w:rFonts w:ascii="Arial" w:cs="Arial" w:eastAsia="Arial" w:hAnsi="Arial"/>
          <w:sz w:val="18"/>
          <w:szCs w:val="18"/>
          <w:color w:val="auto"/>
        </w:rPr>
        <w:t>The following table summarizes the stock-based compensation expense for the three and six months ended June 30, 2020 and 2019, respectively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90"/>
        </w:trPr>
        <w:tc>
          <w:tcPr>
            <w:tcW w:w="50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6"/>
                <w:szCs w:val="16"/>
                <w:color w:val="auto"/>
              </w:rPr>
            </w:pPr>
          </w:p>
        </w:tc>
      </w:tr>
      <w:tr>
        <w:trPr>
          <w:trHeight w:val="25"/>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5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320" w:type="dxa"/>
            <w:vAlign w:val="bottom"/>
            <w:shd w:val="clear" w:color="auto" w:fill="CCEEFF"/>
          </w:tcPr>
          <w:p>
            <w:pPr>
              <w:spacing w:after="0"/>
              <w:rPr>
                <w:sz w:val="21"/>
                <w:szCs w:val="21"/>
                <w:color w:val="auto"/>
              </w:rPr>
            </w:pPr>
          </w:p>
        </w:tc>
      </w:tr>
      <w:tr>
        <w:trPr>
          <w:trHeight w:val="283"/>
        </w:trPr>
        <w:tc>
          <w:tcPr>
            <w:tcW w:w="5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1,918</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3,930</w:t>
            </w:r>
          </w:p>
        </w:tc>
        <w:tc>
          <w:tcPr>
            <w:tcW w:w="320" w:type="dxa"/>
            <w:vAlign w:val="bottom"/>
          </w:tcPr>
          <w:p>
            <w:pPr>
              <w:spacing w:after="0"/>
              <w:rPr>
                <w:sz w:val="24"/>
                <w:szCs w:val="24"/>
                <w:color w:val="auto"/>
              </w:rPr>
            </w:pPr>
          </w:p>
        </w:tc>
      </w:tr>
      <w:tr>
        <w:trPr>
          <w:trHeight w:val="27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Sales, general and administrative</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1,727</w:t>
            </w:r>
          </w:p>
        </w:tc>
        <w:tc>
          <w:tcPr>
            <w:tcW w:w="2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320" w:type="dxa"/>
            <w:vAlign w:val="bottom"/>
            <w:shd w:val="clear" w:color="auto" w:fill="CCEEFF"/>
          </w:tcPr>
          <w:p>
            <w:pPr>
              <w:spacing w:after="0"/>
              <w:rPr>
                <w:sz w:val="23"/>
                <w:szCs w:val="23"/>
                <w:color w:val="auto"/>
              </w:rPr>
            </w:pPr>
          </w:p>
        </w:tc>
      </w:tr>
      <w:tr>
        <w:trPr>
          <w:trHeight w:val="304"/>
        </w:trPr>
        <w:tc>
          <w:tcPr>
            <w:tcW w:w="5020" w:type="dxa"/>
            <w:vAlign w:val="bottom"/>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3,234</w:t>
            </w:r>
          </w:p>
        </w:tc>
        <w:tc>
          <w:tcPr>
            <w:tcW w:w="11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4,089</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7,266</w:t>
            </w:r>
          </w:p>
        </w:tc>
        <w:tc>
          <w:tcPr>
            <w:tcW w:w="120" w:type="dxa"/>
            <w:vAlign w:val="bottom"/>
          </w:tcPr>
          <w:p>
            <w:pPr>
              <w:spacing w:after="0"/>
              <w:rPr>
                <w:sz w:val="24"/>
                <w:szCs w:val="24"/>
                <w:color w:val="auto"/>
              </w:rPr>
            </w:pPr>
          </w:p>
        </w:tc>
        <w:tc>
          <w:tcPr>
            <w:tcW w:w="34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8,470</w:t>
            </w:r>
          </w:p>
        </w:tc>
        <w:tc>
          <w:tcPr>
            <w:tcW w:w="320" w:type="dxa"/>
            <w:vAlign w:val="bottom"/>
          </w:tcPr>
          <w:p>
            <w:pPr>
              <w:spacing w:after="0"/>
              <w:rPr>
                <w:sz w:val="24"/>
                <w:szCs w:val="24"/>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440"/>
        <w:spacing w:after="0" w:line="276" w:lineRule="auto"/>
        <w:rPr>
          <w:sz w:val="20"/>
          <w:szCs w:val="20"/>
          <w:color w:val="auto"/>
        </w:rPr>
      </w:pPr>
      <w:r>
        <w:rPr>
          <w:rFonts w:ascii="Arial" w:cs="Arial" w:eastAsia="Arial" w:hAnsi="Arial"/>
          <w:sz w:val="16"/>
          <w:szCs w:val="16"/>
          <w:color w:val="auto"/>
        </w:rPr>
        <w:t>We estimated the fair value of employee stock options on the grant date using the Black-Scholes option pricing model. The estimated fair value of employee stock options is amortized on a straight-line basis over the requisite service period of the awards. We did not grant any stock options for the three months ended June 30, 2020. We did not grant any stock options for the year ended December 31, 2019 due to the then-in-process merger with Illumina.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720" w:type="dxa"/>
            <w:vAlign w:val="bottom"/>
            <w:gridSpan w:val="3"/>
          </w:tcPr>
          <w:p>
            <w:pPr>
              <w:ind w:left="840"/>
              <w:spacing w:after="0"/>
              <w:rPr>
                <w:sz w:val="20"/>
                <w:szCs w:val="20"/>
                <w:color w:val="auto"/>
              </w:rPr>
            </w:pPr>
            <w:r>
              <w:rPr>
                <w:rFonts w:ascii="Arial" w:cs="Arial" w:eastAsia="Arial" w:hAnsi="Arial"/>
                <w:sz w:val="14"/>
                <w:szCs w:val="14"/>
                <w:b w:val="1"/>
                <w:bCs w:val="1"/>
                <w:color w:val="auto"/>
                <w:w w:val="93"/>
              </w:rPr>
              <w:t>Three Months Ended June 30,</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20" w:type="dxa"/>
            <w:vAlign w:val="bottom"/>
            <w:gridSpan w:val="4"/>
          </w:tcPr>
          <w:p>
            <w:pPr>
              <w:ind w:left="8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53"/>
        </w:trPr>
        <w:tc>
          <w:tcPr>
            <w:tcW w:w="35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Stock Option</w:t>
            </w:r>
          </w:p>
        </w:tc>
        <w:tc>
          <w:tcPr>
            <w:tcW w:w="1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vMerge w:val="continue"/>
          </w:tcPr>
          <w:p>
            <w:pPr>
              <w:spacing w:after="0"/>
              <w:rPr>
                <w:sz w:val="17"/>
                <w:szCs w:val="17"/>
                <w:color w:val="auto"/>
              </w:rPr>
            </w:pPr>
          </w:p>
        </w:tc>
        <w:tc>
          <w:tcPr>
            <w:tcW w:w="18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Expected term in years</w:t>
            </w:r>
          </w:p>
        </w:tc>
        <w:tc>
          <w:tcPr>
            <w:tcW w:w="1800" w:type="dxa"/>
            <w:vAlign w:val="bottom"/>
            <w:shd w:val="clear" w:color="auto" w:fill="CCEEFF"/>
          </w:tcPr>
          <w:p>
            <w:pPr>
              <w:ind w:left="76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5.1</w:t>
            </w: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Expected volatility</w:t>
            </w:r>
          </w:p>
        </w:tc>
        <w:tc>
          <w:tcPr>
            <w:tcW w:w="27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57%</w:t>
            </w:r>
          </w:p>
        </w:tc>
        <w:tc>
          <w:tcPr>
            <w:tcW w:w="260" w:type="dxa"/>
            <w:vAlign w:val="bottom"/>
          </w:tcPr>
          <w:p>
            <w:pPr>
              <w:spacing w:after="0"/>
              <w:rPr>
                <w:sz w:val="18"/>
                <w:szCs w:val="18"/>
                <w:color w:val="auto"/>
              </w:rPr>
            </w:pPr>
          </w:p>
        </w:tc>
        <w:tc>
          <w:tcPr>
            <w:tcW w:w="2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Risk-free interest rate</w:t>
            </w:r>
          </w:p>
        </w:tc>
        <w:tc>
          <w:tcPr>
            <w:tcW w:w="27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w:t>
            </w:r>
          </w:p>
        </w:tc>
        <w:tc>
          <w:tcPr>
            <w:tcW w:w="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120"/>
              <w:spacing w:after="0"/>
              <w:rPr>
                <w:sz w:val="20"/>
                <w:szCs w:val="20"/>
                <w:color w:val="auto"/>
              </w:rPr>
            </w:pPr>
            <w:r>
              <w:rPr>
                <w:rFonts w:ascii="Arial" w:cs="Arial" w:eastAsia="Arial" w:hAnsi="Arial"/>
                <w:sz w:val="18"/>
                <w:szCs w:val="18"/>
                <w:color w:val="auto"/>
              </w:rPr>
              <w:t>Dividend yield</w:t>
            </w:r>
          </w:p>
        </w:tc>
        <w:tc>
          <w:tcPr>
            <w:tcW w:w="27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8"/>
        </w:trPr>
        <w:tc>
          <w:tcPr>
            <w:tcW w:w="3500" w:type="dxa"/>
            <w:vAlign w:val="bottom"/>
          </w:tcPr>
          <w:p>
            <w:pPr>
              <w:spacing w:after="0"/>
              <w:rPr>
                <w:sz w:val="24"/>
                <w:szCs w:val="24"/>
                <w:color w:val="auto"/>
              </w:rPr>
            </w:pPr>
          </w:p>
        </w:tc>
        <w:tc>
          <w:tcPr>
            <w:tcW w:w="2720" w:type="dxa"/>
            <w:vAlign w:val="bottom"/>
            <w:gridSpan w:val="3"/>
          </w:tcPr>
          <w:p>
            <w:pPr>
              <w:ind w:left="2040"/>
              <w:spacing w:after="0"/>
              <w:rPr>
                <w:sz w:val="20"/>
                <w:szCs w:val="20"/>
                <w:color w:val="auto"/>
              </w:rPr>
            </w:pPr>
            <w:r>
              <w:rPr>
                <w:rFonts w:ascii="Arial" w:cs="Arial" w:eastAsia="Arial" w:hAnsi="Arial"/>
                <w:sz w:val="18"/>
                <w:szCs w:val="18"/>
                <w:color w:val="auto"/>
              </w:rPr>
              <w:t>19</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 w:firstLine="440"/>
        <w:spacing w:after="0" w:line="228" w:lineRule="auto"/>
        <w:rPr>
          <w:sz w:val="20"/>
          <w:szCs w:val="20"/>
          <w:color w:val="auto"/>
        </w:rPr>
      </w:pPr>
      <w:r>
        <w:rPr>
          <w:rFonts w:ascii="Arial" w:cs="Arial" w:eastAsia="Arial" w:hAnsi="Arial"/>
          <w:sz w:val="18"/>
          <w:szCs w:val="18"/>
          <w:color w:val="auto"/>
        </w:rPr>
        <w:t>We estimate the value of employee stock purchase rights on the grant date using the Black-Scholes option pricing model. Pursuant to the terms of the then-in-process merger with Illumina, the ESPP was terminated after the completion of the purchase period ended March 1, 2019 and there were no offerings after March 1, 2019. As such there were no new Black-Scholes calculations performed to calculate the fair value of new purchase rights granted for the year ended December 31, 2019. After the merger with Illumina was terminated in January 2020, we began offerings under the ESPP again starting with the offering period on March 1, 2020.</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4280" w:type="dxa"/>
            <w:vAlign w:val="bottom"/>
            <w:gridSpan w:val="4"/>
          </w:tcPr>
          <w:p>
            <w:pPr>
              <w:ind w:left="1000"/>
              <w:spacing w:after="0"/>
              <w:rPr>
                <w:sz w:val="20"/>
                <w:szCs w:val="20"/>
                <w:color w:val="auto"/>
              </w:rPr>
            </w:pPr>
            <w:r>
              <w:rPr>
                <w:rFonts w:ascii="Arial" w:cs="Arial" w:eastAsia="Arial" w:hAnsi="Arial"/>
                <w:sz w:val="14"/>
                <w:szCs w:val="14"/>
                <w:b w:val="1"/>
                <w:bCs w:val="1"/>
                <w:color w:val="auto"/>
              </w:rPr>
              <w:t>Three Months Ended June 30,</w:t>
            </w:r>
          </w:p>
        </w:tc>
        <w:tc>
          <w:tcPr>
            <w:tcW w:w="2600" w:type="dxa"/>
            <w:vAlign w:val="bottom"/>
            <w:gridSpan w:val="3"/>
          </w:tcPr>
          <w:p>
            <w:pPr>
              <w:ind w:left="9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ESPP</w:t>
            </w: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vMerge w:val="continue"/>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Expected term in years</w:t>
            </w:r>
          </w:p>
        </w:tc>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0.5-2.0</w:t>
            </w:r>
          </w:p>
        </w:tc>
        <w:tc>
          <w:tcPr>
            <w:tcW w:w="520" w:type="dxa"/>
            <w:vAlign w:val="bottom"/>
            <w:shd w:val="clear" w:color="auto" w:fill="CCEEFF"/>
          </w:tcPr>
          <w:p>
            <w:pPr>
              <w:spacing w:after="0"/>
              <w:rPr>
                <w:sz w:val="17"/>
                <w:szCs w:val="17"/>
                <w:color w:val="auto"/>
              </w:rPr>
            </w:pPr>
          </w:p>
        </w:tc>
        <w:tc>
          <w:tcPr>
            <w:tcW w:w="1820" w:type="dxa"/>
            <w:vAlign w:val="bottom"/>
            <w:shd w:val="clear" w:color="auto" w:fill="CCEEFF"/>
          </w:tcPr>
          <w:p>
            <w:pPr>
              <w:ind w:left="78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0.5-2.0</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Expected volatility</w:t>
            </w:r>
          </w:p>
        </w:tc>
        <w:tc>
          <w:tcPr>
            <w:tcW w:w="1540" w:type="dxa"/>
            <w:vAlign w:val="bottom"/>
          </w:tcPr>
          <w:p>
            <w:pPr>
              <w:ind w:left="620"/>
              <w:spacing w:after="0"/>
              <w:rPr>
                <w:sz w:val="20"/>
                <w:szCs w:val="20"/>
                <w:color w:val="auto"/>
              </w:rPr>
            </w:pPr>
            <w:r>
              <w:rPr>
                <w:rFonts w:ascii="Arial" w:cs="Arial" w:eastAsia="Arial" w:hAnsi="Arial"/>
                <w:sz w:val="18"/>
                <w:szCs w:val="18"/>
                <w:color w:val="auto"/>
              </w:rPr>
              <w:t>0.6</w:t>
            </w:r>
          </w:p>
        </w:tc>
        <w:tc>
          <w:tcPr>
            <w:tcW w:w="520" w:type="dxa"/>
            <w:vAlign w:val="bottom"/>
          </w:tcPr>
          <w:p>
            <w:pPr>
              <w:spacing w:after="0"/>
              <w:rPr>
                <w:sz w:val="18"/>
                <w:szCs w:val="18"/>
                <w:color w:val="auto"/>
              </w:rPr>
            </w:pPr>
          </w:p>
        </w:tc>
        <w:tc>
          <w:tcPr>
            <w:tcW w:w="2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0.6</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0.8% -1.0%</w:t>
            </w:r>
          </w:p>
        </w:tc>
        <w:tc>
          <w:tcPr>
            <w:tcW w:w="5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 -1.0%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Arial" w:cs="Arial" w:eastAsia="Arial" w:hAnsi="Arial"/>
                <w:sz w:val="18"/>
                <w:szCs w:val="18"/>
                <w:color w:val="auto"/>
              </w:rPr>
              <w:t>Dividend yield</w:t>
            </w:r>
          </w:p>
        </w:tc>
        <w:tc>
          <w:tcPr>
            <w:tcW w:w="2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REVENUE</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our revenue by geographic location for the three and six months ended June 30, 2020 and 2019 is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398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14,222</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16,218</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w:t>
            </w:r>
          </w:p>
        </w:tc>
        <w:tc>
          <w:tcPr>
            <w:tcW w:w="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Europe (including the Middle East and Africa)</w:t>
            </w: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4,191</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3,414</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7,586</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6,478</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6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3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2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980" w:type="dxa"/>
            <w:vAlign w:val="bottom"/>
          </w:tcPr>
          <w:p>
            <w:pPr>
              <w:ind w:left="22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17,077</w:t>
            </w:r>
          </w:p>
        </w:tc>
        <w:tc>
          <w:tcPr>
            <w:tcW w:w="3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24,621</w:t>
            </w:r>
          </w:p>
        </w:tc>
        <w:tc>
          <w:tcPr>
            <w:tcW w:w="24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32,675</w:t>
            </w:r>
          </w:p>
        </w:tc>
        <w:tc>
          <w:tcPr>
            <w:tcW w:w="14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revenue by category for the three and six months ended June 30, 2020 and 2019 is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53"/>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660" w:type="dxa"/>
            <w:vAlign w:val="bottom"/>
            <w:vMerge w:val="continue"/>
          </w:tcPr>
          <w:p>
            <w:pPr>
              <w:spacing w:after="0"/>
              <w:rPr>
                <w:sz w:val="18"/>
                <w:szCs w:val="18"/>
                <w:color w:val="auto"/>
              </w:rPr>
            </w:pPr>
          </w:p>
        </w:tc>
        <w:tc>
          <w:tcPr>
            <w:tcW w:w="19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9"/>
        </w:trPr>
        <w:tc>
          <w:tcPr>
            <w:tcW w:w="266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Instrument revenue</w:t>
            </w: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18,287</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Consumable revenue</w:t>
            </w:r>
          </w:p>
        </w:tc>
        <w:tc>
          <w:tcPr>
            <w:tcW w:w="7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8,586</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13,091</w:t>
            </w:r>
          </w:p>
        </w:tc>
        <w:tc>
          <w:tcPr>
            <w:tcW w:w="3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16,420</w:t>
            </w: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26,049</w:t>
            </w: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34,707</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and other revenue</w:t>
            </w:r>
          </w:p>
        </w:tc>
        <w:tc>
          <w:tcPr>
            <w:tcW w:w="76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2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4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3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24,621</w:t>
            </w: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32,675</w:t>
            </w: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41,046</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in this Quarterly Report on Form 10-Q and those in our Annual Report on Form 10-K for the year ended December 31, 2019. Some of the information contained in this discussion and analysis or set forth elsewhere in this report, including statements related to our expectations regarding the potential impacts of the COVID-19 pandemic on our business, financial condition, and results of operations, and information with respect to our products, plans and strategy for our business and related financing, includes forward-looking statements that involve risks and uncertainties, including statements regarding our expected financial results in future periods.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Merger with Illumina, Inc.</w:t>
      </w:r>
    </w:p>
    <w:p>
      <w:pPr>
        <w:spacing w:after="0" w:line="67" w:lineRule="exact"/>
        <w:rPr>
          <w:sz w:val="20"/>
          <w:szCs w:val="20"/>
          <w:color w:val="auto"/>
        </w:rPr>
      </w:pPr>
    </w:p>
    <w:p>
      <w:pPr>
        <w:ind w:right="220" w:firstLine="440"/>
        <w:spacing w:after="0" w:line="235" w:lineRule="auto"/>
        <w:rPr>
          <w:sz w:val="20"/>
          <w:szCs w:val="20"/>
          <w:color w:val="auto"/>
        </w:rPr>
      </w:pPr>
      <w:r>
        <w:rPr>
          <w:rFonts w:ascii="Arial" w:cs="Arial" w:eastAsia="Arial" w:hAnsi="Arial"/>
          <w:sz w:val="18"/>
          <w:szCs w:val="18"/>
          <w:color w:val="auto"/>
        </w:rPr>
        <w:t>On January 2, 2020, we, Illumina and Merger Subsidiary entered into the Termination Agreement. As part of the Termination Agreement, Illumina paid us a $98.0 million Reverse Termination Fee, from which we paid our financial advisor associated fees of $6 million in April 2020. In addition, Illumina paid us the final Continuation Advances of $34 million during the first quarter of 2020.</w:t>
      </w:r>
    </w:p>
    <w:p>
      <w:pPr>
        <w:spacing w:after="0" w:line="40"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However, pursuant to the Termination Agreement, in the event that, on or prior to September 30, 2020, we enter into a definitive agreement providing for, or consummate, a Change of Control Transaction (as defined in the Termination Agreement), then we may be required to repay the Reverse Termination Fee (without interest) to Illumina in connection with the consummation of such Change of Control Transaction. If such Change of Control Transaction is not consummated by the two-year anniversary of the execution of the definitive agreement for such Change of Control Transaction, then we will not be required to repay the Reverse Termination Fee.</w:t>
      </w:r>
    </w:p>
    <w:p>
      <w:pPr>
        <w:spacing w:after="0" w:line="43" w:lineRule="exact"/>
        <w:rPr>
          <w:sz w:val="20"/>
          <w:szCs w:val="20"/>
          <w:color w:val="auto"/>
        </w:rPr>
      </w:pPr>
    </w:p>
    <w:p>
      <w:pPr>
        <w:ind w:right="20" w:firstLine="440"/>
        <w:spacing w:after="0" w:line="235" w:lineRule="auto"/>
        <w:rPr>
          <w:sz w:val="20"/>
          <w:szCs w:val="20"/>
          <w:color w:val="auto"/>
        </w:rPr>
      </w:pPr>
      <w:r>
        <w:rPr>
          <w:rFonts w:ascii="Arial" w:cs="Arial" w:eastAsia="Arial" w:hAnsi="Arial"/>
          <w:sz w:val="18"/>
          <w:szCs w:val="18"/>
          <w:color w:val="auto"/>
        </w:rPr>
        <w:t>In addition, up to the $52.0 million of Continuation Advances paid to us are repayable without interest to Illumina if, within two years of March 31, 2020, we enter into a Change of Control Transaction or raise at least $100 million in equity in a single transaction or debt financing (that may have multiple closings), with the amount repayable dependent on the amount raised by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67" w:lineRule="exact"/>
        <w:rPr>
          <w:sz w:val="20"/>
          <w:szCs w:val="20"/>
          <w:color w:val="auto"/>
        </w:rPr>
      </w:pPr>
    </w:p>
    <w:p>
      <w:pPr>
        <w:ind w:firstLine="440"/>
        <w:spacing w:after="0" w:line="227" w:lineRule="auto"/>
        <w:rPr>
          <w:sz w:val="20"/>
          <w:szCs w:val="20"/>
          <w:color w:val="auto"/>
        </w:rPr>
      </w:pPr>
      <w:r>
        <w:rPr>
          <w:rFonts w:ascii="Arial" w:cs="Arial" w:eastAsia="Arial" w:hAnsi="Arial"/>
          <w:sz w:val="18"/>
          <w:szCs w:val="18"/>
          <w:color w:val="auto"/>
        </w:rPr>
        <w:t>On April 1, 2020, Michael Phillips retired as Sr. Vice President of Research and Development. Dr. Phillips transitioned to a consultant role on the same date. The consulting services are scheduled to end in March 2021. On May 26, 2020, we announced that Eric E. Schaefer was appointed to the role of Vice President and Chief Accounting Officer and designated as the Company’s principal accounting officer. On June 10, 2020, we announced that Dr. Michael Hunkapiller will retire as Chief Executive Officer and President by the end of the year. Dr. Hunkapiller will continue to serve on the board until the end of his term in 2021. On the same date, we announced that Susan Barnes will retire as Executive Vice President and Chief Financial Officer in August 2020.</w:t>
      </w:r>
    </w:p>
    <w:p>
      <w:pPr>
        <w:spacing w:after="0" w:line="40" w:lineRule="exact"/>
        <w:rPr>
          <w:sz w:val="20"/>
          <w:szCs w:val="20"/>
          <w:color w:val="auto"/>
        </w:rPr>
      </w:pPr>
    </w:p>
    <w:p>
      <w:pPr>
        <w:jc w:val="both"/>
        <w:ind w:right="280" w:firstLine="440"/>
        <w:spacing w:after="0" w:line="235" w:lineRule="auto"/>
        <w:rPr>
          <w:sz w:val="20"/>
          <w:szCs w:val="20"/>
          <w:color w:val="auto"/>
        </w:rPr>
      </w:pPr>
      <w:r>
        <w:rPr>
          <w:rFonts w:ascii="Arial" w:cs="Arial" w:eastAsia="Arial" w:hAnsi="Arial"/>
          <w:sz w:val="18"/>
          <w:szCs w:val="18"/>
          <w:color w:val="auto"/>
        </w:rPr>
        <w:t>On July 31, 2020, our Board of Directors appointed Ben Gong to the role of interim Chief Financial Officer and designated him as the Company’s principal financial officer, effective August 8, 2020. Mr. Gong will replace Susan K. Barnes who will retire as the Company’s Executive Vice President, Chief Financial Officer and principal financial officer on August 7,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67" w:lineRule="exact"/>
        <w:rPr>
          <w:sz w:val="20"/>
          <w:szCs w:val="20"/>
          <w:color w:val="auto"/>
        </w:rPr>
      </w:pPr>
    </w:p>
    <w:p>
      <w:pPr>
        <w:ind w:right="160" w:firstLine="440"/>
        <w:spacing w:after="0" w:line="221" w:lineRule="auto"/>
        <w:rPr>
          <w:sz w:val="20"/>
          <w:szCs w:val="20"/>
          <w:color w:val="auto"/>
        </w:rPr>
      </w:pPr>
      <w:r>
        <w:rPr>
          <w:rFonts w:ascii="Arial" w:cs="Arial" w:eastAsia="Arial" w:hAnsi="Arial"/>
          <w:sz w:val="18"/>
          <w:szCs w:val="18"/>
          <w:color w:val="auto"/>
        </w:rPr>
        <w:t>We design, develop and manufacture sequencing systems to help scientists resolve genetically complex problems. Based on our novel Single Molecule, Real-Time (SMRT®) sequencing technology, our products enable: de novo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480" w:firstLine="440"/>
        <w:spacing w:after="0" w:line="235" w:lineRule="auto"/>
        <w:rPr>
          <w:sz w:val="20"/>
          <w:szCs w:val="20"/>
          <w:color w:val="auto"/>
        </w:rPr>
      </w:pPr>
      <w:r>
        <w:rPr>
          <w:rFonts w:ascii="Arial" w:cs="Arial" w:eastAsia="Arial" w:hAnsi="Arial"/>
          <w:sz w:val="18"/>
          <w:szCs w:val="18"/>
          <w:color w:val="auto"/>
        </w:rPr>
        <w:t>Our current products include the Sequel II instrument and SMRT Cell 8M, which together are capable of sequencing up to approximately eight million DNA molecules simultaneously, and the previous generation Sequel instrument and Sequel SMRT Cell 1M, which together are capable of sequencing up to approximately one million DNA molecules simultaneously.</w:t>
      </w:r>
    </w:p>
    <w:p>
      <w:pPr>
        <w:spacing w:after="0" w:line="40" w:lineRule="exact"/>
        <w:rPr>
          <w:sz w:val="20"/>
          <w:szCs w:val="20"/>
          <w:color w:val="auto"/>
        </w:rPr>
      </w:pPr>
    </w:p>
    <w:p>
      <w:pPr>
        <w:ind w:right="100" w:firstLine="440"/>
        <w:spacing w:after="0" w:line="258" w:lineRule="auto"/>
        <w:rPr>
          <w:sz w:val="20"/>
          <w:szCs w:val="20"/>
          <w:color w:val="auto"/>
        </w:rPr>
      </w:pPr>
      <w:r>
        <w:rPr>
          <w:rFonts w:ascii="Arial" w:cs="Arial" w:eastAsia="Arial" w:hAnsi="Arial"/>
          <w:sz w:val="16"/>
          <w:szCs w:val="16"/>
          <w:color w:val="auto"/>
        </w:rPr>
        <w:t>Our customers and our scientific collaborators have published numerous peer-reviewed articles in journals including Nature, Science, Cell, PNAS and The New England Journal of Medicine highlighting the power and applications of SMRT sequencing in projects such as finishing genomes, structural variation discovery, isoform transcriptome characterization, rare mutation discovery and the identification of chemical modifications of DNA related to virulence and pathogenicity. 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52" w:lineRule="exact"/>
        <w:rPr>
          <w:sz w:val="20"/>
          <w:szCs w:val="20"/>
          <w:color w:val="auto"/>
        </w:rPr>
      </w:pPr>
    </w:p>
    <w:p>
      <w:pPr>
        <w:ind w:right="80" w:firstLine="440"/>
        <w:spacing w:after="0" w:line="237" w:lineRule="auto"/>
        <w:rPr>
          <w:sz w:val="20"/>
          <w:szCs w:val="20"/>
          <w:color w:val="auto"/>
        </w:rPr>
      </w:pPr>
      <w:r>
        <w:rPr>
          <w:rFonts w:ascii="Arial" w:cs="Arial" w:eastAsia="Arial" w:hAnsi="Arial"/>
          <w:sz w:val="17"/>
          <w:szCs w:val="17"/>
          <w:color w:val="auto"/>
        </w:rPr>
        <w:t>The COVID-19 pandemic and efforts to control its spread have significantly curtailed the movement of people, goods, and services worldwide, including in the regions in which we sell our products and services and conduct our business operations. The financial results for the three and six months ended June 30, 2020 were impacted negatively as many of our customers in multiple regions around the world shut down operations for various periods of time in efforts to curb the spread of the COVID-19 pandemic. This resulted in lower product revenues for the three and six months ended June 30, 2020 as compared to the same period of 2019. A significant number of our customer sites that had shut down due to COVID-19 have re-opened. However, those that have re-opened have not necessarily resumed operating at their prior run rates, which has negatively impacted the sale of our consumables. As of June 30, 2020, approximately 20% of the sites remained inactive. This dynamic continues to negatively impact the recognition of revenue related to the sale of our Sequel and Sequel II instruments. The negative impacts of COVID-19 on our customers will likely continue to adversely impact our revenues during the second half of 2020, including the third quarter of 2020. Due to the uncertain scope and duration of the pandemic, we cannot reasonably estimate the future impact to our operations and financial results.</w:t>
      </w:r>
    </w:p>
    <w:p>
      <w:pPr>
        <w:spacing w:after="0" w:line="41" w:lineRule="exact"/>
        <w:rPr>
          <w:sz w:val="20"/>
          <w:szCs w:val="20"/>
          <w:color w:val="auto"/>
        </w:rPr>
      </w:pPr>
    </w:p>
    <w:p>
      <w:pPr>
        <w:ind w:right="460" w:firstLine="440"/>
        <w:spacing w:after="0" w:line="246" w:lineRule="auto"/>
        <w:rPr>
          <w:sz w:val="20"/>
          <w:szCs w:val="20"/>
          <w:color w:val="auto"/>
        </w:rPr>
      </w:pPr>
      <w:r>
        <w:rPr>
          <w:rFonts w:ascii="Arial" w:cs="Arial" w:eastAsia="Arial" w:hAnsi="Arial"/>
          <w:sz w:val="17"/>
          <w:szCs w:val="17"/>
          <w:color w:val="auto"/>
        </w:rPr>
        <w:t>In response to local stay-at-home orders and in alignment with CDC recommendations, we have limited our manufacturing and commercial operations based in Menlo Park, California. We will, however, continue to provide consumables, instruments and support to scientists at government, academic, and commercial labs that remain open. To aid in containing the spread of COVID-19, we have implemented remote-work options and are limiting employee travel as much as possible. We are monitoring this rapidly evolving situation.</w:t>
      </w:r>
    </w:p>
    <w:p>
      <w:pPr>
        <w:spacing w:after="0" w:line="36" w:lineRule="exact"/>
        <w:rPr>
          <w:sz w:val="20"/>
          <w:szCs w:val="20"/>
          <w:color w:val="auto"/>
        </w:rPr>
      </w:pPr>
    </w:p>
    <w:p>
      <w:pPr>
        <w:ind w:firstLine="440"/>
        <w:spacing w:after="0" w:line="256" w:lineRule="auto"/>
        <w:rPr>
          <w:sz w:val="20"/>
          <w:szCs w:val="20"/>
          <w:color w:val="auto"/>
        </w:rPr>
      </w:pPr>
      <w:r>
        <w:rPr>
          <w:rFonts w:ascii="Arial" w:cs="Arial" w:eastAsia="Arial" w:hAnsi="Arial"/>
          <w:sz w:val="16"/>
          <w:szCs w:val="16"/>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decreases in discretionary capital spending, increased and prolonged unemployment or a decline in consumer confidence as a result of the COVID-19 pandemic could have a continuing adverse effect on the demand for some of our products. Such economic disruption could have a material adverse effect on our business, results of operations and liquidity.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 See the Risk Factors section for further discussion of the possible impact of the COVID-19 pandemic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44" w:lineRule="exact"/>
        <w:rPr>
          <w:sz w:val="20"/>
          <w:szCs w:val="20"/>
          <w:color w:val="auto"/>
        </w:rPr>
      </w:pPr>
    </w:p>
    <w:p>
      <w:pPr>
        <w:ind w:right="60" w:firstLine="440"/>
        <w:spacing w:after="0"/>
        <w:rPr>
          <w:sz w:val="20"/>
          <w:szCs w:val="20"/>
          <w:color w:val="auto"/>
        </w:rPr>
      </w:pPr>
      <w:r>
        <w:rPr>
          <w:rFonts w:ascii="Arial" w:cs="Arial" w:eastAsia="Arial" w:hAnsi="Arial"/>
          <w:sz w:val="17"/>
          <w:szCs w:val="17"/>
          <w:color w:val="auto"/>
        </w:rPr>
        <w:t>The discussion and analysis of our financial condition and results of operations are based upon our unaudited Financial Statements, which have been prepared in accordance with the rules and regulations of the SEC.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42" w:lineRule="exact"/>
        <w:rPr>
          <w:sz w:val="20"/>
          <w:szCs w:val="20"/>
          <w:color w:val="auto"/>
        </w:rPr>
      </w:pPr>
    </w:p>
    <w:p>
      <w:pPr>
        <w:ind w:right="120" w:firstLine="402"/>
        <w:spacing w:after="0" w:line="235" w:lineRule="auto"/>
        <w:rPr>
          <w:sz w:val="20"/>
          <w:szCs w:val="20"/>
          <w:color w:val="auto"/>
        </w:rPr>
      </w:pPr>
      <w:r>
        <w:rPr>
          <w:rFonts w:ascii="Arial" w:cs="Arial" w:eastAsia="Arial" w:hAnsi="Arial"/>
          <w:sz w:val="18"/>
          <w:szCs w:val="18"/>
          <w:color w:val="auto"/>
        </w:rPr>
        <w:t xml:space="preserve">We adopted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on January 1, 2020, using the modified retrospective method. Please see “Recently Adopted Accounting Standards” in the </w:t>
      </w:r>
      <w:r>
        <w:rPr>
          <w:rFonts w:ascii="Arial" w:cs="Arial" w:eastAsia="Arial" w:hAnsi="Arial"/>
          <w:sz w:val="18"/>
          <w:szCs w:val="18"/>
          <w:i w:val="1"/>
          <w:iCs w:val="1"/>
          <w:color w:val="auto"/>
        </w:rPr>
        <w:t>Note 3.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Item 1. Financial Statements.</w:t>
      </w:r>
    </w:p>
    <w:p>
      <w:pPr>
        <w:spacing w:after="0" w:line="40" w:lineRule="exact"/>
        <w:rPr>
          <w:sz w:val="20"/>
          <w:szCs w:val="20"/>
          <w:color w:val="auto"/>
        </w:rPr>
      </w:pPr>
    </w:p>
    <w:p>
      <w:pPr>
        <w:ind w:right="200" w:firstLine="402"/>
        <w:spacing w:after="0" w:line="228" w:lineRule="auto"/>
        <w:rPr>
          <w:sz w:val="20"/>
          <w:szCs w:val="20"/>
          <w:color w:val="auto"/>
        </w:rPr>
      </w:pPr>
      <w:r>
        <w:rPr>
          <w:rFonts w:ascii="Arial" w:cs="Arial" w:eastAsia="Arial" w:hAnsi="Arial"/>
          <w:sz w:val="18"/>
          <w:szCs w:val="18"/>
          <w:color w:val="auto"/>
        </w:rPr>
        <w:t>Except as noted above, there have been no other material changes to our significant accounting policies as discussed in our Annual Report on Form 10-K for the year ended December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June 30, 2020 and 2019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900" w:type="dxa"/>
            <w:vAlign w:val="bottom"/>
            <w:gridSpan w:val="5"/>
          </w:tcPr>
          <w:p>
            <w:pPr>
              <w:jc w:val="right"/>
              <w:ind w:right="147"/>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Change</w:t>
            </w:r>
          </w:p>
        </w:tc>
        <w:tc>
          <w:tcPr>
            <w:tcW w:w="1260" w:type="dxa"/>
            <w:vAlign w:val="bottom"/>
          </w:tcPr>
          <w:p>
            <w:pPr>
              <w:jc w:val="right"/>
              <w:ind w:right="21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5060" w:type="dxa"/>
            <w:vAlign w:val="bottom"/>
            <w:gridSpan w:val="2"/>
            <w:vMerge w:val="continue"/>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Revenue:</w:t>
            </w:r>
          </w:p>
        </w:tc>
        <w:tc>
          <w:tcPr>
            <w:tcW w:w="2960" w:type="dxa"/>
            <w:vAlign w:val="bottom"/>
            <w:vMerge w:val="restart"/>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right"/>
              <w:ind w:right="607"/>
              <w:spacing w:after="0"/>
              <w:rPr>
                <w:sz w:val="20"/>
                <w:szCs w:val="20"/>
                <w:color w:val="auto"/>
              </w:rPr>
            </w:pPr>
            <w:r>
              <w:rPr>
                <w:rFonts w:ascii="Arial" w:cs="Arial" w:eastAsia="Arial" w:hAnsi="Arial"/>
                <w:sz w:val="14"/>
                <w:szCs w:val="14"/>
                <w:b w:val="1"/>
                <w:bCs w:val="1"/>
                <w:color w:val="auto"/>
              </w:rPr>
              <w:t>(unaudited)</w:t>
            </w: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100" w:type="dxa"/>
            <w:vAlign w:val="bottom"/>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Product revenue</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13,756</w:t>
            </w:r>
          </w:p>
        </w:tc>
        <w:tc>
          <w:tcPr>
            <w:tcW w:w="280" w:type="dxa"/>
            <w:vAlign w:val="bottom"/>
          </w:tcPr>
          <w:p>
            <w:pPr>
              <w:spacing w:after="0"/>
              <w:rPr>
                <w:sz w:val="20"/>
                <w:szCs w:val="20"/>
                <w:color w:val="auto"/>
              </w:rPr>
            </w:pPr>
          </w:p>
        </w:tc>
        <w:tc>
          <w:tcPr>
            <w:tcW w:w="980" w:type="dxa"/>
            <w:vAlign w:val="bottom"/>
            <w:gridSpan w:val="2"/>
          </w:tcPr>
          <w:p>
            <w:pPr>
              <w:jc w:val="right"/>
              <w:ind w:right="80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21,250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(7,494)</w:t>
            </w: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 and other revenue</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gridSpan w:val="2"/>
          </w:tcPr>
          <w:p>
            <w:pPr>
              <w:ind w:left="760"/>
              <w:spacing w:after="0" w:line="196" w:lineRule="exact"/>
              <w:rPr>
                <w:sz w:val="20"/>
                <w:szCs w:val="20"/>
                <w:color w:val="auto"/>
              </w:rPr>
            </w:pPr>
            <w:r>
              <w:rPr>
                <w:rFonts w:ascii="Arial" w:cs="Arial" w:eastAsia="Arial" w:hAnsi="Arial"/>
                <w:sz w:val="18"/>
                <w:szCs w:val="18"/>
                <w:color w:val="auto"/>
              </w:rPr>
              <w:t>Total revenue</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17,077</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24,621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20"/>
              <w:spacing w:after="0" w:line="196" w:lineRule="exact"/>
              <w:rPr>
                <w:sz w:val="20"/>
                <w:szCs w:val="20"/>
                <w:color w:val="auto"/>
              </w:rPr>
            </w:pPr>
            <w:r>
              <w:rPr>
                <w:rFonts w:ascii="Arial" w:cs="Arial" w:eastAsia="Arial" w:hAnsi="Arial"/>
                <w:sz w:val="18"/>
                <w:szCs w:val="18"/>
                <w:color w:val="auto"/>
              </w:rPr>
              <w:t>(7,544)</w:t>
            </w:r>
          </w:p>
        </w:tc>
        <w:tc>
          <w:tcPr>
            <w:tcW w:w="12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Cost of product revenue</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8,225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11,980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(3,755)</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service and other revenue</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gridSpan w:val="2"/>
          </w:tcPr>
          <w:p>
            <w:pPr>
              <w:ind w:left="760"/>
              <w:spacing w:after="0" w:line="196" w:lineRule="exact"/>
              <w:rPr>
                <w:sz w:val="20"/>
                <w:szCs w:val="20"/>
                <w:color w:val="auto"/>
              </w:rPr>
            </w:pPr>
            <w:r>
              <w:rPr>
                <w:rFonts w:ascii="Arial" w:cs="Arial" w:eastAsia="Arial" w:hAnsi="Arial"/>
                <w:sz w:val="18"/>
                <w:szCs w:val="18"/>
                <w:color w:val="auto"/>
              </w:rPr>
              <w:t>Total cost of revenue</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10,464</w:t>
            </w:r>
          </w:p>
        </w:tc>
        <w:tc>
          <w:tcPr>
            <w:tcW w:w="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15,008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20"/>
              <w:spacing w:after="0" w:line="196" w:lineRule="exact"/>
              <w:rPr>
                <w:sz w:val="20"/>
                <w:szCs w:val="20"/>
                <w:color w:val="auto"/>
              </w:rPr>
            </w:pPr>
            <w:r>
              <w:rPr>
                <w:rFonts w:ascii="Arial" w:cs="Arial" w:eastAsia="Arial" w:hAnsi="Arial"/>
                <w:sz w:val="18"/>
                <w:szCs w:val="18"/>
                <w:color w:val="auto"/>
              </w:rPr>
              <w:t>(4,544)</w:t>
            </w:r>
          </w:p>
        </w:tc>
        <w:tc>
          <w:tcPr>
            <w:tcW w:w="12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CEEFF"/>
          </w:tcPr>
          <w:p>
            <w:pPr>
              <w:ind w:left="1200"/>
              <w:spacing w:after="0" w:line="196" w:lineRule="exact"/>
              <w:rPr>
                <w:sz w:val="20"/>
                <w:szCs w:val="20"/>
                <w:color w:val="auto"/>
              </w:rPr>
            </w:pPr>
            <w:r>
              <w:rPr>
                <w:rFonts w:ascii="Arial" w:cs="Arial" w:eastAsia="Arial" w:hAnsi="Arial"/>
                <w:sz w:val="18"/>
                <w:szCs w:val="18"/>
                <w:color w:val="auto"/>
              </w:rPr>
              <w:t>Gross profit</w:t>
            </w: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6,613</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(3,000)</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060" w:type="dxa"/>
            <w:vAlign w:val="bottom"/>
            <w:gridSpan w:val="2"/>
          </w:tcPr>
          <w:p>
            <w:pPr>
              <w:spacing w:after="0" w:line="196" w:lineRule="exact"/>
              <w:rPr>
                <w:sz w:val="20"/>
                <w:szCs w:val="20"/>
                <w:color w:val="auto"/>
              </w:rPr>
            </w:pPr>
            <w:r>
              <w:rPr>
                <w:rFonts w:ascii="Arial" w:cs="Arial" w:eastAsia="Arial" w:hAnsi="Arial"/>
                <w:sz w:val="18"/>
                <w:szCs w:val="18"/>
                <w:color w:val="auto"/>
              </w:rPr>
              <w:t>Operating Expense:</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Sales, general and administrative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15,127</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19,083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(3,956)</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060" w:type="dxa"/>
            <w:vAlign w:val="bottom"/>
            <w:gridSpan w:val="2"/>
            <w:shd w:val="clear" w:color="auto" w:fill="CCEEFF"/>
          </w:tcPr>
          <w:p>
            <w:pPr>
              <w:ind w:left="760"/>
              <w:spacing w:after="0" w:line="196" w:lineRule="exact"/>
              <w:rPr>
                <w:sz w:val="20"/>
                <w:szCs w:val="20"/>
                <w:color w:val="auto"/>
              </w:rPr>
            </w:pPr>
            <w:r>
              <w:rPr>
                <w:rFonts w:ascii="Arial" w:cs="Arial" w:eastAsia="Arial" w:hAnsi="Arial"/>
                <w:sz w:val="18"/>
                <w:szCs w:val="18"/>
                <w:color w:val="auto"/>
              </w:rPr>
              <w:t>Total operating expense</w:t>
            </w: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30,137</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33,993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(3,856)</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(23,524)</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(24,380)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(644)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5060" w:type="dxa"/>
            <w:vAlign w:val="bottom"/>
            <w:gridSpan w:val="2"/>
          </w:tcPr>
          <w:p>
            <w:pPr>
              <w:spacing w:after="0" w:line="182" w:lineRule="exact"/>
              <w:rPr>
                <w:sz w:val="20"/>
                <w:szCs w:val="20"/>
                <w:color w:val="auto"/>
              </w:rPr>
            </w:pPr>
            <w:r>
              <w:rPr>
                <w:rFonts w:ascii="Arial" w:cs="Arial" w:eastAsia="Arial" w:hAnsi="Arial"/>
                <w:sz w:val="18"/>
                <w:szCs w:val="18"/>
                <w:color w:val="auto"/>
              </w:rPr>
              <w:t>Net loss</w:t>
            </w: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(23,086)</w:t>
            </w: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(24,596)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96"/>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1,510</w:t>
            </w:r>
          </w:p>
        </w:tc>
        <w:tc>
          <w:tcPr>
            <w:tcW w:w="120" w:type="dxa"/>
            <w:vAlign w:val="bottom"/>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revenue for the three months ended June 30, 2020 was $17.1 million compared to $24.6 million for the same period during 2019.</w:t>
      </w:r>
    </w:p>
    <w:p>
      <w:pPr>
        <w:spacing w:after="0" w:line="63" w:lineRule="exact"/>
        <w:rPr>
          <w:sz w:val="20"/>
          <w:szCs w:val="20"/>
          <w:color w:val="auto"/>
        </w:rPr>
      </w:pPr>
    </w:p>
    <w:p>
      <w:pPr>
        <w:ind w:right="20" w:firstLine="440"/>
        <w:spacing w:after="0"/>
        <w:rPr>
          <w:sz w:val="20"/>
          <w:szCs w:val="20"/>
          <w:color w:val="auto"/>
        </w:rPr>
      </w:pPr>
      <w:r>
        <w:rPr>
          <w:rFonts w:ascii="Arial" w:cs="Arial" w:eastAsia="Arial" w:hAnsi="Arial"/>
          <w:sz w:val="17"/>
          <w:szCs w:val="17"/>
          <w:color w:val="auto"/>
        </w:rPr>
        <w:t>Product revenue of $13.8 million for the three months ended June 30, 2020 consisted primarily of $8.9 million from sales of Sequel and Sequel II instruments and $4.8 million from sales of consumables, compared to total product revenue of $21.3 million for the same period during 2019, consisting of $12.7 million from sales of Sequel instruments and $8.6 million from sales of consumables. The decrease in instrument sales was primarily attributable to a lower number of instrument shipments and installations due to COVID-19 as discussed above. The decrease in consumable sales was primarily attributable to lower utilization of the installed base of instruments due to COVID-19 as discussed above. The negative impact of COVID-19 on our customers will likely continue to adversely impact our revenues during the second half of 2020.</w:t>
      </w:r>
    </w:p>
    <w:p>
      <w:pPr>
        <w:spacing w:after="0" w:line="42" w:lineRule="exact"/>
        <w:rPr>
          <w:sz w:val="20"/>
          <w:szCs w:val="20"/>
          <w:color w:val="auto"/>
        </w:rPr>
      </w:pPr>
    </w:p>
    <w:p>
      <w:pPr>
        <w:ind w:right="180" w:firstLine="485"/>
        <w:spacing w:after="0" w:line="246" w:lineRule="auto"/>
        <w:rPr>
          <w:sz w:val="20"/>
          <w:szCs w:val="20"/>
          <w:color w:val="auto"/>
        </w:rPr>
      </w:pPr>
      <w:r>
        <w:rPr>
          <w:rFonts w:ascii="Arial" w:cs="Arial" w:eastAsia="Arial" w:hAnsi="Arial"/>
          <w:sz w:val="18"/>
          <w:szCs w:val="18"/>
          <w:color w:val="auto"/>
        </w:rPr>
        <w:t>Service and other revenue of $3.3 million and $3.4 million for the three months ended June 30, 2020 and 2019, respectively, was primarily derived from product maintenance agreements sold on our installed instruments.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63" w:lineRule="exact"/>
        <w:rPr>
          <w:sz w:val="20"/>
          <w:szCs w:val="20"/>
          <w:color w:val="auto"/>
        </w:rPr>
      </w:pPr>
    </w:p>
    <w:p>
      <w:pPr>
        <w:ind w:right="240" w:firstLine="440"/>
        <w:spacing w:after="0" w:line="235" w:lineRule="auto"/>
        <w:rPr>
          <w:sz w:val="20"/>
          <w:szCs w:val="20"/>
          <w:color w:val="auto"/>
        </w:rPr>
      </w:pPr>
      <w:r>
        <w:rPr>
          <w:rFonts w:ascii="Arial" w:cs="Arial" w:eastAsia="Arial" w:hAnsi="Arial"/>
          <w:sz w:val="18"/>
          <w:szCs w:val="18"/>
          <w:color w:val="auto"/>
        </w:rPr>
        <w:t>Cost of product revenue was $8.2 million for the three months ended June 30, 2020, compared to cost of product revenue of $12.0 million for the same period during 2019. Cost of service and other revenue for the three months ended June 30, 2020 was $2.2 million, compared to $3.0 million for the same period during 2019.</w:t>
      </w:r>
    </w:p>
    <w:p>
      <w:pPr>
        <w:spacing w:after="0" w:line="40" w:lineRule="exact"/>
        <w:rPr>
          <w:sz w:val="20"/>
          <w:szCs w:val="20"/>
          <w:color w:val="auto"/>
        </w:rPr>
      </w:pPr>
    </w:p>
    <w:p>
      <w:pPr>
        <w:ind w:right="400" w:firstLine="440"/>
        <w:spacing w:after="0" w:line="276" w:lineRule="auto"/>
        <w:rPr>
          <w:sz w:val="20"/>
          <w:szCs w:val="20"/>
          <w:color w:val="auto"/>
        </w:rPr>
      </w:pPr>
      <w:r>
        <w:rPr>
          <w:rFonts w:ascii="Arial" w:cs="Arial" w:eastAsia="Arial" w:hAnsi="Arial"/>
          <w:sz w:val="16"/>
          <w:szCs w:val="16"/>
          <w:color w:val="auto"/>
        </w:rPr>
        <w:t>Gross profit for the three months ended June 30, 2020 was $6.6 million, resulting in a gross margin of 38.7%, compared to gross profit of $9.6 million, resulting in a gross margin of 39.0% for the same period during 2019. Gross profit decreased $3.0 million for the three months ended June 30, 2020 compared to the same period in 2019 primarily due to lower product revenue realized for the three months ended June 30, 2020.</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63" w:lineRule="exact"/>
        <w:rPr>
          <w:sz w:val="20"/>
          <w:szCs w:val="20"/>
          <w:color w:val="auto"/>
        </w:rPr>
      </w:pPr>
    </w:p>
    <w:p>
      <w:pPr>
        <w:ind w:right="100" w:firstLine="440"/>
        <w:spacing w:after="0" w:line="235" w:lineRule="auto"/>
        <w:rPr>
          <w:sz w:val="20"/>
          <w:szCs w:val="20"/>
          <w:color w:val="auto"/>
        </w:rPr>
      </w:pPr>
      <w:r>
        <w:rPr>
          <w:rFonts w:ascii="Arial" w:cs="Arial" w:eastAsia="Arial" w:hAnsi="Arial"/>
          <w:sz w:val="18"/>
          <w:szCs w:val="18"/>
          <w:color w:val="auto"/>
        </w:rPr>
        <w:t>During the three months ended June 30, 2020, research and development expense remained relatively flat compared to the same period during 2019. Research and development expense included stock-based compensation expense of $1.4 million and $1.9 million during the three months ended June 30, 2020 and 2019,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General and Administrative Expense</w:t>
      </w: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 w:firstLine="440"/>
        <w:spacing w:after="0" w:line="261" w:lineRule="auto"/>
        <w:rPr>
          <w:sz w:val="20"/>
          <w:szCs w:val="20"/>
          <w:color w:val="auto"/>
        </w:rPr>
      </w:pPr>
      <w:r>
        <w:rPr>
          <w:rFonts w:ascii="Arial" w:cs="Arial" w:eastAsia="Arial" w:hAnsi="Arial"/>
          <w:sz w:val="16"/>
          <w:szCs w:val="16"/>
          <w:color w:val="auto"/>
        </w:rPr>
        <w:t>During the three months ended June 30, 2020, sales, general and administrative expense decreased by $4.0 million, or 21%, compared to the same period during 2019. The decrease in sales, general and administrative expense was primarily attributable to $3.3 million in merger related expenses during the three months ended June 30, 2019, which did not recur during the three months ended June 30, 2020, and a decrease of $1.1 million in patent litigation expenses incurred during the three months ended June 30, 2020 as compared to the same period in 2019. Sales, general and administrative expense included stock-based compensation expense of $1.3 million and $1.7 million during the three months ended June 30, 2020 and 2019, respectively.</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7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Interest expense for the three months ended June 30, 2020 decreased $0.6 million compared to the same period in 2019, as the debt agreement with Deerfield entered into in February 2013 (the “Facility Agreement”) matured in February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six months ended June 30, 2020 and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00" w:type="dxa"/>
            <w:vAlign w:val="bottom"/>
            <w:tcBorders>
              <w:top w:val="single" w:sz="8" w:color="auto"/>
            </w:tcBorders>
          </w:tcPr>
          <w:p>
            <w:pPr>
              <w:spacing w:after="0"/>
              <w:rPr>
                <w:sz w:val="17"/>
                <w:szCs w:val="17"/>
                <w:color w:val="auto"/>
              </w:rPr>
            </w:pPr>
          </w:p>
        </w:tc>
        <w:tc>
          <w:tcPr>
            <w:tcW w:w="30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center"/>
              <w:ind w:left="633"/>
              <w:spacing w:after="0"/>
              <w:rPr>
                <w:sz w:val="20"/>
                <w:szCs w:val="20"/>
                <w:color w:val="auto"/>
              </w:rPr>
            </w:pPr>
            <w:r>
              <w:rPr>
                <w:rFonts w:ascii="Arial" w:cs="Arial" w:eastAsia="Arial" w:hAnsi="Arial"/>
                <w:sz w:val="14"/>
                <w:szCs w:val="14"/>
                <w:b w:val="1"/>
                <w:bCs w:val="1"/>
                <w:color w:val="auto"/>
                <w:w w:val="94"/>
              </w:rPr>
              <w:t>(unaudited)</w:t>
            </w: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26,049</w:t>
            </w:r>
          </w:p>
        </w:tc>
        <w:tc>
          <w:tcPr>
            <w:tcW w:w="180" w:type="dxa"/>
            <w:vAlign w:val="bottom"/>
          </w:tcPr>
          <w:p>
            <w:pPr>
              <w:spacing w:after="0"/>
              <w:rPr>
                <w:sz w:val="18"/>
                <w:szCs w:val="18"/>
                <w:color w:val="auto"/>
              </w:rPr>
            </w:pPr>
          </w:p>
        </w:tc>
        <w:tc>
          <w:tcPr>
            <w:tcW w:w="440" w:type="dxa"/>
            <w:vAlign w:val="bottom"/>
          </w:tcPr>
          <w:p>
            <w:pPr>
              <w:jc w:val="center"/>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34,707</w:t>
            </w:r>
          </w:p>
        </w:tc>
        <w:tc>
          <w:tcPr>
            <w:tcW w:w="16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(8,658)</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gridSpan w:val="2"/>
          </w:tcPr>
          <w:p>
            <w:pPr>
              <w:ind w:left="760"/>
              <w:spacing w:after="0" w:line="196" w:lineRule="exact"/>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32,675</w:t>
            </w:r>
          </w:p>
        </w:tc>
        <w:tc>
          <w:tcPr>
            <w:tcW w:w="1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41,046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100"/>
              <w:spacing w:after="0" w:line="196" w:lineRule="exact"/>
              <w:rPr>
                <w:sz w:val="20"/>
                <w:szCs w:val="20"/>
                <w:color w:val="auto"/>
              </w:rPr>
            </w:pPr>
            <w:r>
              <w:rPr>
                <w:rFonts w:ascii="Arial" w:cs="Arial" w:eastAsia="Arial" w:hAnsi="Arial"/>
                <w:sz w:val="18"/>
                <w:szCs w:val="18"/>
                <w:color w:val="auto"/>
              </w:rPr>
              <w:t>(8,371)</w:t>
            </w:r>
          </w:p>
        </w:tc>
        <w:tc>
          <w:tcPr>
            <w:tcW w:w="9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13,646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(6,952)</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service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gridSpan w:val="2"/>
          </w:tcPr>
          <w:p>
            <w:pPr>
              <w:ind w:left="760"/>
              <w:spacing w:after="0" w:line="196" w:lineRule="exact"/>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18,574</w:t>
            </w:r>
          </w:p>
        </w:tc>
        <w:tc>
          <w:tcPr>
            <w:tcW w:w="1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26,316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100"/>
              <w:spacing w:after="0" w:line="196" w:lineRule="exact"/>
              <w:rPr>
                <w:sz w:val="20"/>
                <w:szCs w:val="20"/>
                <w:color w:val="auto"/>
              </w:rPr>
            </w:pPr>
            <w:r>
              <w:rPr>
                <w:rFonts w:ascii="Arial" w:cs="Arial" w:eastAsia="Arial" w:hAnsi="Arial"/>
                <w:sz w:val="18"/>
                <w:szCs w:val="18"/>
                <w:color w:val="auto"/>
              </w:rPr>
              <w:t>(7,742)</w:t>
            </w:r>
          </w:p>
        </w:tc>
        <w:tc>
          <w:tcPr>
            <w:tcW w:w="9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shd w:val="clear" w:color="auto" w:fill="CCEEFF"/>
          </w:tcPr>
          <w:p>
            <w:pPr>
              <w:ind w:left="1200"/>
              <w:spacing w:after="0" w:line="196" w:lineRule="exact"/>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14,101</w:t>
            </w:r>
          </w:p>
        </w:tc>
        <w:tc>
          <w:tcPr>
            <w:tcW w:w="1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(629)</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tcPr>
          <w:p>
            <w:pPr>
              <w:spacing w:after="0" w:line="196" w:lineRule="exact"/>
              <w:rPr>
                <w:sz w:val="20"/>
                <w:szCs w:val="20"/>
                <w:color w:val="auto"/>
              </w:rPr>
            </w:pPr>
            <w:r>
              <w:rPr>
                <w:rFonts w:ascii="Arial" w:cs="Arial" w:eastAsia="Arial" w:hAnsi="Arial"/>
                <w:sz w:val="18"/>
                <w:szCs w:val="18"/>
                <w:color w:val="auto"/>
              </w:rPr>
              <w:t>Operating Expense: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Sales, general and administrative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40,074</w:t>
            </w: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40" w:type="dxa"/>
            <w:vAlign w:val="bottom"/>
            <w:gridSpan w:val="2"/>
            <w:shd w:val="clear" w:color="auto" w:fill="CCEEFF"/>
          </w:tcPr>
          <w:p>
            <w:pPr>
              <w:ind w:left="760"/>
              <w:spacing w:after="0" w:line="196" w:lineRule="exact"/>
              <w:rPr>
                <w:sz w:val="20"/>
                <w:szCs w:val="20"/>
                <w:color w:val="auto"/>
              </w:rPr>
            </w:pPr>
            <w:r>
              <w:rPr>
                <w:rFonts w:ascii="Arial" w:cs="Arial" w:eastAsia="Arial" w:hAnsi="Arial"/>
                <w:sz w:val="18"/>
                <w:szCs w:val="18"/>
                <w:color w:val="auto"/>
              </w:rPr>
              <w:t>Total operating expense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70,334</w:t>
            </w:r>
          </w:p>
        </w:tc>
        <w:tc>
          <w:tcPr>
            <w:tcW w:w="1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69,244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(56,233)</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(54,514)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Gain from Continuation Advances from Illumina</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34,000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(187)</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(21,824)</w:t>
            </w:r>
          </w:p>
        </w:tc>
        <w:tc>
          <w:tcPr>
            <w:tcW w:w="44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(54,920)</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revenue for the six months ended June 30, 2020 was $32.7 million, compared to $41.0 million for the same period during 2019.</w:t>
      </w:r>
    </w:p>
    <w:p>
      <w:pPr>
        <w:spacing w:after="0" w:line="63" w:lineRule="exact"/>
        <w:rPr>
          <w:sz w:val="20"/>
          <w:szCs w:val="20"/>
          <w:color w:val="auto"/>
        </w:rPr>
      </w:pPr>
    </w:p>
    <w:p>
      <w:pPr>
        <w:ind w:right="80" w:firstLine="440"/>
        <w:spacing w:after="0"/>
        <w:rPr>
          <w:sz w:val="20"/>
          <w:szCs w:val="20"/>
          <w:color w:val="auto"/>
        </w:rPr>
      </w:pPr>
      <w:r>
        <w:rPr>
          <w:rFonts w:ascii="Arial" w:cs="Arial" w:eastAsia="Arial" w:hAnsi="Arial"/>
          <w:sz w:val="17"/>
          <w:szCs w:val="17"/>
          <w:color w:val="auto"/>
        </w:rPr>
        <w:t>Product revenue of $26.0 million for the six months ended June 30, 2020 consisted of $13.0 million from sales of Sequel and Sequel II instruments and $13.0 million from sales of consumables, compared to total product revenue of $34.7 million for the same period during 2019, consisting of $18.3 million from sales of Sequel and Sequel II instruments and $16.4 million from sales of consumables. The decrease in instrument sales was primarily attributable to a lower number of instrument shipments and installations due to COVID-19 as discussed above. The decrease in consumable sales was primarily attributable to lower utilization of the installed base of instruments due to COVID-19 as discussed above. The negative impact of COVID-19 on our customers will likely continue to adversely impact our revenues during the second half of 2020.</w:t>
      </w:r>
    </w:p>
    <w:p>
      <w:pPr>
        <w:spacing w:after="0" w:line="42" w:lineRule="exact"/>
        <w:rPr>
          <w:sz w:val="20"/>
          <w:szCs w:val="20"/>
          <w:color w:val="auto"/>
        </w:rPr>
      </w:pPr>
    </w:p>
    <w:p>
      <w:pPr>
        <w:ind w:right="260" w:firstLine="485"/>
        <w:spacing w:after="0" w:line="246" w:lineRule="auto"/>
        <w:rPr>
          <w:sz w:val="20"/>
          <w:szCs w:val="20"/>
          <w:color w:val="auto"/>
        </w:rPr>
      </w:pPr>
      <w:r>
        <w:rPr>
          <w:rFonts w:ascii="Arial" w:cs="Arial" w:eastAsia="Arial" w:hAnsi="Arial"/>
          <w:sz w:val="18"/>
          <w:szCs w:val="18"/>
          <w:color w:val="auto"/>
        </w:rPr>
        <w:t>Service and other revenue of $6.6 million and $6.3 million for the six months ended June 30, 2020 and 2019, respectively, was primarily derived from product maintenance agreements sold on our installed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63"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Gross profit for the six-month period ended June 30, 2020 was $14.1 million, resulting in a gross margin of 43.2%, compared to gross profit of $14.7 million, resulting in a gross margin of 35.9% for the same period during 2019.</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Cost of product revenue was $13.6 million for the six months ended June 30, 2020, compared to cost of product revenue of $20.6 million for the same period during 2019. Cost of product revenue decreased $7.0 million for the six months ended June 30, 2020 compared to the same period in 2019 primarily resulting from lower product shipments. In addition, during the six months ended June 30, 2019, we incurred product transition costs including an inventory reserve taken in connection with the transition from Sequel to Sequel II.</w:t>
      </w:r>
    </w:p>
    <w:p>
      <w:pPr>
        <w:spacing w:after="0" w:line="40" w:lineRule="exact"/>
        <w:rPr>
          <w:sz w:val="20"/>
          <w:szCs w:val="20"/>
          <w:color w:val="auto"/>
        </w:rPr>
      </w:pPr>
    </w:p>
    <w:p>
      <w:pPr>
        <w:ind w:right="460" w:firstLine="440"/>
        <w:spacing w:after="0" w:line="246" w:lineRule="auto"/>
        <w:rPr>
          <w:sz w:val="20"/>
          <w:szCs w:val="20"/>
          <w:color w:val="auto"/>
        </w:rPr>
      </w:pPr>
      <w:r>
        <w:rPr>
          <w:rFonts w:ascii="Arial" w:cs="Arial" w:eastAsia="Arial" w:hAnsi="Arial"/>
          <w:sz w:val="18"/>
          <w:szCs w:val="18"/>
          <w:color w:val="auto"/>
        </w:rPr>
        <w:t>Cost of service and other revenue for the six-month period ended June 30, 2020 was $4.9 million, compared to $5.7 million for the same period during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63" w:lineRule="exact"/>
        <w:rPr>
          <w:sz w:val="20"/>
          <w:szCs w:val="20"/>
          <w:color w:val="auto"/>
        </w:rPr>
      </w:pPr>
    </w:p>
    <w:p>
      <w:pPr>
        <w:jc w:val="both"/>
        <w:ind w:right="280" w:firstLine="440"/>
        <w:spacing w:after="0" w:line="235" w:lineRule="auto"/>
        <w:rPr>
          <w:sz w:val="20"/>
          <w:szCs w:val="20"/>
          <w:color w:val="auto"/>
        </w:rPr>
      </w:pPr>
      <w:r>
        <w:rPr>
          <w:rFonts w:ascii="Arial" w:cs="Arial" w:eastAsia="Arial" w:hAnsi="Arial"/>
          <w:sz w:val="18"/>
          <w:szCs w:val="18"/>
          <w:color w:val="auto"/>
        </w:rPr>
        <w:t>During the six months ended June 30, 2020, research and development expense remained flat compared to the same period during 2019. Research and development expense included stock-based compensation expense of $3.2 million and $3.9 million during the six months ended June 30,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General and Administrative Expense</w:t>
      </w:r>
    </w:p>
    <w:p>
      <w:pPr>
        <w:spacing w:after="0" w:line="63" w:lineRule="exact"/>
        <w:rPr>
          <w:sz w:val="20"/>
          <w:szCs w:val="20"/>
          <w:color w:val="auto"/>
        </w:rPr>
      </w:pPr>
    </w:p>
    <w:p>
      <w:pPr>
        <w:ind w:right="40" w:firstLine="440"/>
        <w:spacing w:after="0" w:line="231" w:lineRule="auto"/>
        <w:rPr>
          <w:sz w:val="20"/>
          <w:szCs w:val="20"/>
          <w:color w:val="auto"/>
        </w:rPr>
      </w:pPr>
      <w:r>
        <w:rPr>
          <w:rFonts w:ascii="Arial" w:cs="Arial" w:eastAsia="Arial" w:hAnsi="Arial"/>
          <w:sz w:val="18"/>
          <w:szCs w:val="18"/>
          <w:color w:val="auto"/>
        </w:rPr>
        <w:t>During the six months ended June 30, 2020, sales, general and administrative expense increased by $1.2 million, or 3%, compared to the same period during 2019. The increase in sales, general and administrative expense was primarily attributable to an increase of $0.9 million in compensation expense. Sales, general and administrative expense included stock-based compensation expense of $3.1 million and $3.6 million during the six-month periods ended June 30,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77" w:lineRule="exact"/>
        <w:rPr>
          <w:sz w:val="20"/>
          <w:szCs w:val="20"/>
          <w:color w:val="auto"/>
        </w:rPr>
      </w:pPr>
    </w:p>
    <w:p>
      <w:pPr>
        <w:ind w:right="420" w:firstLine="440"/>
        <w:spacing w:after="0" w:line="261" w:lineRule="auto"/>
        <w:rPr>
          <w:sz w:val="20"/>
          <w:szCs w:val="20"/>
          <w:color w:val="auto"/>
        </w:rPr>
      </w:pPr>
      <w:r>
        <w:rPr>
          <w:rFonts w:ascii="Arial" w:cs="Arial" w:eastAsia="Arial" w:hAnsi="Arial"/>
          <w:sz w:val="18"/>
          <w:szCs w:val="18"/>
          <w:color w:val="auto"/>
        </w:rPr>
        <w:t>Interest expense for the six months ended June 30, 2020 decreased $1.0 million compared to the same period in 2019, as the Facility Agreement matured in February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63" w:lineRule="exact"/>
        <w:rPr>
          <w:sz w:val="20"/>
          <w:szCs w:val="20"/>
          <w:color w:val="auto"/>
        </w:rPr>
      </w:pPr>
    </w:p>
    <w:p>
      <w:pPr>
        <w:ind w:right="20" w:firstLine="570"/>
        <w:spacing w:after="0" w:line="225" w:lineRule="auto"/>
        <w:rPr>
          <w:sz w:val="20"/>
          <w:szCs w:val="20"/>
          <w:color w:val="auto"/>
        </w:rPr>
      </w:pPr>
      <w:r>
        <w:rPr>
          <w:rFonts w:ascii="Arial" w:cs="Arial" w:eastAsia="Arial" w:hAnsi="Arial"/>
          <w:sz w:val="18"/>
          <w:szCs w:val="18"/>
          <w:color w:val="auto"/>
        </w:rPr>
        <w:t>Cash, cash equivalents and investments at June 30, 2020 totaled $120.0 million, compared to $49.1 million at December 31, 2019. The increase was attributable to the Reverse Termination Fee and Continuation Advances we received from Illumina partially offset by cash used in operations and the $16.0 million repayment of debt associated with the Facility Agreement. We believe that our existing cash, cash equivalents and investments will be sufficient to fund our projected operating requirements for at least the next 12 months from the filing date of the Quarterly Report on Form 10-Q for the quarter ended June 30, 2020. However, the potential economic or other disruptions caused by the COVID-19 pandemic could have a material adverse effect on our business, results of operations and liquidity. We will continue to monitor our operating expenses and cash flows in response to the evolving market conditions.</w:t>
      </w:r>
    </w:p>
    <w:p>
      <w:pPr>
        <w:spacing w:after="0" w:line="46" w:lineRule="exact"/>
        <w:rPr>
          <w:sz w:val="20"/>
          <w:szCs w:val="20"/>
          <w:color w:val="auto"/>
        </w:rPr>
      </w:pPr>
    </w:p>
    <w:p>
      <w:pPr>
        <w:ind w:right="20" w:firstLine="615"/>
        <w:spacing w:after="0" w:line="233" w:lineRule="auto"/>
        <w:rPr>
          <w:sz w:val="20"/>
          <w:szCs w:val="20"/>
          <w:color w:val="auto"/>
        </w:rPr>
      </w:pPr>
      <w:r>
        <w:rPr>
          <w:rFonts w:ascii="Arial" w:cs="Arial" w:eastAsia="Arial" w:hAnsi="Arial"/>
          <w:sz w:val="17"/>
          <w:szCs w:val="17"/>
          <w:color w:val="auto"/>
        </w:rPr>
        <w:t>On January 2, 2020, we and Illumina mutually agreed to terminate the Merger Agreement. As part of the Termination Agreement, Illumina paid us the Reverse Termination Fee of $98.0 million from which we paid our financial advisor associated fees of $6.0 million. In addition, Illumina paid us the additional Continuation Advances of $6.0 million in January 2020 and $22.0 million in February 2020 and made the last Continuation Advance payment to us of $6.0 million in March 2020. Pursuant to the Termination Agreement, in the event that, on or prior to September 30, 2020, we enter into a definitive agreement providing for, or consummate, a Change of Control Transaction, then we may be required to repay the Reverse Termination Fee (without interest) to Illumina in connection with the consummation of such Change of Control Transaction. If such Change of Control Transaction is not entered into on or prior to September 30, 2020 or if such change of control transaction is entered into on or prior to September 30, 2020 but is not consummated by the two-year anniversary of the execution of the definitive agreement for such Change of Control Transaction, then we will not be required to repay the Reverse Termination Fee. In addition, up to $52.0 million of the Continuation Advances that we received are repayable without interest to Illumina if, within two years of March 31, 2020, we enter into, or consummate a Change of Control Transaction or raise at least $100 million in equity in a single transaction or debt financing (may have multiple closings), with the amount repayable dependent on the amount raised by us. If we are required to repay the Termination Fee or the Continuation Advances, we may not be able to fund our projected operating requirements for at least twelve months from the date of filing this Quarterly Report.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0" w:firstLine="570"/>
        <w:spacing w:after="0" w:line="261" w:lineRule="auto"/>
        <w:rPr>
          <w:sz w:val="20"/>
          <w:szCs w:val="20"/>
          <w:color w:val="auto"/>
        </w:rPr>
      </w:pPr>
      <w:r>
        <w:rPr>
          <w:rFonts w:ascii="Arial" w:cs="Arial" w:eastAsia="Arial" w:hAnsi="Arial"/>
          <w:sz w:val="16"/>
          <w:szCs w:val="16"/>
          <w:color w:val="auto"/>
        </w:rPr>
        <w:t>Factors that may affect our capital needs include, but are not limited to, whether we will have to repay the Reverse Termination Fee or Continuation Advances; the pace of adoption of our products which affects the sales of our products and services; our ability to obtain new collaboration and customer arrangements; the progress of our research and development programs; initiation or expansion of research programs and collaborations; the purchase of patent licenses; future acquisitions; manufacturing costs, service costs, the impact of product quality, litigation costs, including the costs involved in preparing, filing, prosecuting, defending and enforcing intellectual property rights; costs of developing new and enhanced products; and other factors.</w:t>
      </w:r>
    </w:p>
    <w:p>
      <w:pPr>
        <w:spacing w:after="0" w:line="26" w:lineRule="exact"/>
        <w:rPr>
          <w:sz w:val="20"/>
          <w:szCs w:val="20"/>
          <w:color w:val="auto"/>
        </w:rPr>
      </w:pPr>
    </w:p>
    <w:p>
      <w:pPr>
        <w:ind w:right="40" w:firstLine="570"/>
        <w:spacing w:after="0" w:line="237" w:lineRule="auto"/>
        <w:rPr>
          <w:sz w:val="20"/>
          <w:szCs w:val="20"/>
          <w:color w:val="auto"/>
        </w:rPr>
      </w:pPr>
      <w:r>
        <w:rPr>
          <w:rFonts w:ascii="Arial" w:cs="Arial" w:eastAsia="Arial" w:hAnsi="Arial"/>
          <w:sz w:val="17"/>
          <w:szCs w:val="17"/>
          <w:color w:val="auto"/>
        </w:rPr>
        <w:t>We may raise additional capital in the future. To the extent that we raise additional funds through the sale of equity or convertible debt, the issuance of such securities will result in dilution to our stockholders. There can be no assurance that such funds will be available on favorable terms, or at all, particularly in light of restrictions under the Termination Agreement. If adequate funds are not available, we may be required to obtain funds by entering into collaboration, licensing or debt agreements on unfavorable terms. If we are unable to raise funds on favorable terms, or at all, we may have to reduce our cash burn rate and may not be able to support our commercialization efforts, or to increase or maintain the level of our research and development activities. 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cease operations. If our cash, cash equivalents and investments are insufficient to fund our projected operating requirements, and we are unable to raise capital, it would have a material adverse effect on our business, financial condition and results of operations.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63" w:lineRule="exact"/>
        <w:rPr>
          <w:sz w:val="20"/>
          <w:szCs w:val="20"/>
          <w:color w:val="auto"/>
        </w:rPr>
      </w:pPr>
    </w:p>
    <w:p>
      <w:pPr>
        <w:ind w:right="60" w:firstLine="570"/>
        <w:spacing w:after="0" w:line="246" w:lineRule="auto"/>
        <w:rPr>
          <w:sz w:val="20"/>
          <w:szCs w:val="20"/>
          <w:color w:val="auto"/>
        </w:rPr>
      </w:pPr>
      <w:r>
        <w:rPr>
          <w:rFonts w:ascii="Arial" w:cs="Arial" w:eastAsia="Arial" w:hAnsi="Arial"/>
          <w:sz w:val="18"/>
          <w:szCs w:val="18"/>
          <w:color w:val="auto"/>
        </w:rPr>
        <w:t>Our primary uses of cash in operating activities are for the development of ongoing product enhancements and future products, manufacturing, and support functions related to our sales, general and administrative activities.</w:t>
      </w:r>
    </w:p>
    <w:p>
      <w:pPr>
        <w:spacing w:after="0" w:line="116"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We had $51.6 million of cash provided from operating activities for the six months ended June 30, 2020, compared to cash usage of $42.9 million from operating activities for the same period in 2019.</w:t>
      </w:r>
    </w:p>
    <w:p>
      <w:pPr>
        <w:spacing w:after="0" w:line="116" w:lineRule="exact"/>
        <w:rPr>
          <w:sz w:val="20"/>
          <w:szCs w:val="20"/>
          <w:color w:val="auto"/>
        </w:rPr>
      </w:pPr>
    </w:p>
    <w:p>
      <w:pPr>
        <w:ind w:firstLine="440"/>
        <w:spacing w:after="0" w:line="242" w:lineRule="auto"/>
        <w:rPr>
          <w:sz w:val="20"/>
          <w:szCs w:val="20"/>
          <w:color w:val="auto"/>
        </w:rPr>
      </w:pPr>
      <w:r>
        <w:rPr>
          <w:rFonts w:ascii="Arial" w:cs="Arial" w:eastAsia="Arial" w:hAnsi="Arial"/>
          <w:sz w:val="17"/>
          <w:szCs w:val="17"/>
          <w:color w:val="auto"/>
        </w:rPr>
        <w:t>Cash provided by operating activities for the six months ended June 30, 2020 was due to the $98.0 million Reverse Termination Fee received from Illumina, non-cash items such as stock-based compensation of $7.3 million and depreciation of $3.2 million, partially offset by a net loss of $21.8 million and a gain from Continuation Advances from Illumina of $34.0 million, which is considered to be a financing activity. The change in net operating assets and liabilities was primarily attributed to a decrease of $3.9 million in accounts receivable, an increase of other liabilities of 2.0 million primarily relating to employee contributions for the Employee Stock Purchase Plan, partially offset by an increase of $3.8 million in inventory.</w:t>
      </w:r>
    </w:p>
    <w:p>
      <w:pPr>
        <w:spacing w:after="0" w:line="121" w:lineRule="exact"/>
        <w:rPr>
          <w:sz w:val="20"/>
          <w:szCs w:val="20"/>
          <w:color w:val="auto"/>
        </w:rPr>
      </w:pPr>
    </w:p>
    <w:p>
      <w:pPr>
        <w:ind w:right="280" w:firstLine="440"/>
        <w:spacing w:after="0" w:line="253" w:lineRule="auto"/>
        <w:rPr>
          <w:sz w:val="20"/>
          <w:szCs w:val="20"/>
          <w:color w:val="auto"/>
        </w:rPr>
      </w:pPr>
      <w:r>
        <w:rPr>
          <w:rFonts w:ascii="Arial" w:cs="Arial" w:eastAsia="Arial" w:hAnsi="Arial"/>
          <w:sz w:val="17"/>
          <w:szCs w:val="17"/>
          <w:color w:val="auto"/>
        </w:rPr>
        <w:t>Cash used in operating activities for the six months ended June 30, 2019 was due primarily to a net loss of $54.9 million, offset by non-cash items such as stock-based compensation of $8.5 million and depreciation of $3.6 million. The change in net operating assets and liabilities was primarily attributed to an increase of $3.5 million in accounts receivable, partially offset by an increase of $3.2 million in accrued expense.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44" w:lineRule="exact"/>
        <w:rPr>
          <w:sz w:val="20"/>
          <w:szCs w:val="20"/>
          <w:color w:val="auto"/>
        </w:rPr>
      </w:pPr>
    </w:p>
    <w:p>
      <w:pPr>
        <w:jc w:val="both"/>
        <w:ind w:right="240" w:firstLine="440"/>
        <w:spacing w:after="0" w:line="235" w:lineRule="auto"/>
        <w:rPr>
          <w:sz w:val="20"/>
          <w:szCs w:val="20"/>
          <w:color w:val="auto"/>
        </w:rPr>
      </w:pPr>
      <w:r>
        <w:rPr>
          <w:rFonts w:ascii="Arial" w:cs="Arial" w:eastAsia="Arial" w:hAnsi="Arial"/>
          <w:sz w:val="18"/>
          <w:szCs w:val="18"/>
          <w:color w:val="auto"/>
        </w:rPr>
        <w:t>Our investing activities consist primarily of capital expenditures and investment purchases, sales and maturities. We used $57.2 million of cash for investing activities for the six months ended June 30, 2020, compared to receiving cash of $45.8 million from investing activities for the same period in 2019.</w:t>
      </w:r>
    </w:p>
    <w:p>
      <w:pPr>
        <w:spacing w:after="0" w:line="121" w:lineRule="exact"/>
        <w:rPr>
          <w:sz w:val="20"/>
          <w:szCs w:val="20"/>
          <w:color w:val="auto"/>
        </w:rPr>
      </w:pPr>
    </w:p>
    <w:p>
      <w:pPr>
        <w:ind w:right="440" w:firstLine="440"/>
        <w:spacing w:after="0" w:line="246" w:lineRule="auto"/>
        <w:rPr>
          <w:sz w:val="20"/>
          <w:szCs w:val="20"/>
          <w:color w:val="auto"/>
        </w:rPr>
      </w:pPr>
      <w:r>
        <w:rPr>
          <w:rFonts w:ascii="Arial" w:cs="Arial" w:eastAsia="Arial" w:hAnsi="Arial"/>
          <w:sz w:val="18"/>
          <w:szCs w:val="18"/>
          <w:color w:val="auto"/>
        </w:rPr>
        <w:t>Cash used in investing activities for the six months ended June 30, 2020 was due primarily to net purchases of investments of $56.8 million and purchases of property and equipment of $0.4 million.</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Cash provided in investing activities for the six months ended June 30, 2019 was due primarily to net maturities of investments of $47.7 million.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Cash provided from financing activities was $18.8 million and $8.1 million for the six months ended June 30, 2020 and 2019, respectively.</w:t>
      </w:r>
    </w:p>
    <w:p>
      <w:pPr>
        <w:spacing w:after="0" w:line="156" w:lineRule="exact"/>
        <w:rPr>
          <w:sz w:val="20"/>
          <w:szCs w:val="20"/>
          <w:color w:val="auto"/>
        </w:rPr>
      </w:pPr>
    </w:p>
    <w:p>
      <w:pPr>
        <w:ind w:right="60" w:firstLine="440"/>
        <w:spacing w:after="0" w:line="225" w:lineRule="auto"/>
        <w:rPr>
          <w:sz w:val="20"/>
          <w:szCs w:val="20"/>
          <w:color w:val="auto"/>
        </w:rPr>
      </w:pPr>
      <w:r>
        <w:rPr>
          <w:rFonts w:ascii="Arial" w:cs="Arial" w:eastAsia="Arial" w:hAnsi="Arial"/>
          <w:sz w:val="18"/>
          <w:szCs w:val="18"/>
          <w:color w:val="auto"/>
        </w:rPr>
        <w:t>Cash provided by financing activities during the six months ended June 30, 2020 was due to $34.0 million of Continuation Advances from Illumina and proceeds of $0.8 million from the issuance of common stock through our equity compensation plans, partially offset by $16.0 million we repaid for the remaining outstanding principal to Deerfield upon the maturity of the Facility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Cash provided by financing activities during the six months ended June 30, 2019 was due to $8.1 million from the issuance of common stock through our equity compensation plans.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Resources</w:t>
      </w:r>
    </w:p>
    <w:p>
      <w:pPr>
        <w:spacing w:after="0" w:line="63" w:lineRule="exact"/>
        <w:rPr>
          <w:sz w:val="20"/>
          <w:szCs w:val="20"/>
          <w:color w:val="auto"/>
        </w:rPr>
      </w:pPr>
    </w:p>
    <w:p>
      <w:pPr>
        <w:ind w:right="100" w:firstLine="440"/>
        <w:spacing w:after="0" w:line="276" w:lineRule="auto"/>
        <w:rPr>
          <w:sz w:val="20"/>
          <w:szCs w:val="20"/>
          <w:color w:val="auto"/>
        </w:rPr>
      </w:pPr>
      <w:r>
        <w:rPr>
          <w:rFonts w:ascii="Arial" w:cs="Arial" w:eastAsia="Arial" w:hAnsi="Arial"/>
          <w:sz w:val="16"/>
          <w:szCs w:val="16"/>
          <w:color w:val="auto"/>
        </w:rPr>
        <w:t>In June 2020, we filed a shelf registration statement on Form S-3 with the SEC pursuant to which we may, from time to time, sell up to an aggregate of $250.0 million of our common stock, preferred stock, depository shares, warrants, units or debt securities. On July 14, 2020, the registration statement was declared effective by the SEC, which allows us to access the capital markets for the three-year period following this effective date.</w:t>
      </w:r>
    </w:p>
    <w:p>
      <w:pPr>
        <w:spacing w:after="0" w:line="13" w:lineRule="exact"/>
        <w:rPr>
          <w:sz w:val="20"/>
          <w:szCs w:val="20"/>
          <w:color w:val="auto"/>
        </w:rPr>
      </w:pPr>
    </w:p>
    <w:p>
      <w:pPr>
        <w:ind w:right="120" w:firstLine="440"/>
        <w:spacing w:after="0" w:line="231" w:lineRule="auto"/>
        <w:rPr>
          <w:sz w:val="20"/>
          <w:szCs w:val="20"/>
          <w:color w:val="auto"/>
        </w:rPr>
      </w:pPr>
      <w:r>
        <w:rPr>
          <w:rFonts w:ascii="Arial" w:cs="Arial" w:eastAsia="Arial" w:hAnsi="Arial"/>
          <w:sz w:val="18"/>
          <w:szCs w:val="18"/>
          <w:color w:val="auto"/>
        </w:rPr>
        <w:t>However, the Termination Agreement currently limits our ability to issue additional securities or incur indebtedness as up to the $52.0 million of Continuation Advances paid to us are repayable without interest to Illumina if, within two years of March 31, 2020, we enter into a Change of Control Transaction or raise at least $100 million in equity or debt financing in a single transaction (with the amount repayable dependent on the amount raised by us).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2020, we did not have any off-balance sheet arrangements.</w:t>
      </w:r>
    </w:p>
    <w:p>
      <w:pPr>
        <w:spacing w:after="0" w:line="63" w:lineRule="exact"/>
        <w:rPr>
          <w:sz w:val="20"/>
          <w:szCs w:val="20"/>
          <w:color w:val="auto"/>
        </w:rPr>
      </w:pPr>
    </w:p>
    <w:p>
      <w:pPr>
        <w:ind w:right="60" w:firstLine="440"/>
        <w:spacing w:after="0" w:line="238"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42" w:lineRule="exact"/>
        <w:rPr>
          <w:sz w:val="20"/>
          <w:szCs w:val="20"/>
          <w:color w:val="auto"/>
        </w:rPr>
      </w:pPr>
    </w:p>
    <w:p>
      <w:pPr>
        <w:ind w:right="80" w:firstLine="440"/>
        <w:spacing w:after="0" w:line="225" w:lineRule="auto"/>
        <w:rPr>
          <w:sz w:val="20"/>
          <w:szCs w:val="20"/>
          <w:color w:val="auto"/>
        </w:rPr>
      </w:pPr>
      <w:r>
        <w:rPr>
          <w:rFonts w:ascii="Arial" w:cs="Arial" w:eastAsia="Arial" w:hAnsi="Arial"/>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“Note 6. Commitments and Contingencies” in Part I, Item 1 of this Form 10-Q, any associated expenses incurred are included within the related accrued litigation expense amounts. No additional liability associated with such indemnification agreements has been recorded as of June 30, 2020.</w:t>
      </w:r>
    </w:p>
    <w:p>
      <w:pPr>
        <w:spacing w:after="0" w:line="3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67" w:lineRule="exact"/>
        <w:rPr>
          <w:sz w:val="20"/>
          <w:szCs w:val="20"/>
          <w:color w:val="auto"/>
        </w:rPr>
      </w:pPr>
    </w:p>
    <w:p>
      <w:pPr>
        <w:ind w:right="40" w:firstLine="440"/>
        <w:spacing w:after="0" w:line="246" w:lineRule="auto"/>
        <w:rPr>
          <w:sz w:val="20"/>
          <w:szCs w:val="20"/>
          <w:color w:val="auto"/>
        </w:rPr>
      </w:pPr>
      <w:r>
        <w:rPr>
          <w:rFonts w:ascii="Arial" w:cs="Arial" w:eastAsia="Arial" w:hAnsi="Arial"/>
          <w:sz w:val="18"/>
          <w:szCs w:val="18"/>
          <w:color w:val="auto"/>
        </w:rPr>
        <w:t>Except for the broad effects of COVID-19 and its negative impact on the global economy and financial markets, there have been no material changes in market risk from the information provided in our Annual Report on Form 10-K for the year ended December 31, 2019.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67" w:lineRule="exact"/>
        <w:rPr>
          <w:sz w:val="20"/>
          <w:szCs w:val="20"/>
          <w:color w:val="auto"/>
        </w:rPr>
      </w:pPr>
    </w:p>
    <w:p>
      <w:pPr>
        <w:ind w:right="40" w:firstLine="440"/>
        <w:spacing w:after="0" w:line="234"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67" w:lineRule="exact"/>
        <w:rPr>
          <w:sz w:val="20"/>
          <w:szCs w:val="20"/>
          <w:color w:val="auto"/>
        </w:rPr>
      </w:pPr>
    </w:p>
    <w:p>
      <w:pPr>
        <w:ind w:right="380" w:firstLine="440"/>
        <w:spacing w:after="0" w:line="246"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2020 that have materially affected, or are reasonably likely to materially affect, our internal control over financial reporting.</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Note 6. Commitments and Contingencies</w:t>
      </w:r>
      <w:r>
        <w:rPr>
          <w:rFonts w:ascii="Arial" w:cs="Arial" w:eastAsia="Arial" w:hAnsi="Arial"/>
          <w:sz w:val="18"/>
          <w:szCs w:val="18"/>
          <w:color w:val="auto"/>
        </w:rPr>
        <w:t xml:space="preserve"> of Item 1. of Financial Statements under Part I – Financial Information.</w:t>
      </w: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6" w:lineRule="exact"/>
        <w:rPr>
          <w:sz w:val="20"/>
          <w:szCs w:val="20"/>
          <w:color w:val="auto"/>
        </w:rPr>
      </w:pPr>
    </w:p>
    <w:p>
      <w:pPr>
        <w:ind w:right="140" w:firstLine="648"/>
        <w:spacing w:after="0"/>
        <w:rPr>
          <w:sz w:val="20"/>
          <w:szCs w:val="20"/>
          <w:color w:val="auto"/>
        </w:rPr>
      </w:pPr>
      <w:r>
        <w:rPr>
          <w:rFonts w:ascii="Arial" w:cs="Arial" w:eastAsia="Arial" w:hAnsi="Arial"/>
          <w:sz w:val="18"/>
          <w:szCs w:val="18"/>
          <w:i w:val="1"/>
          <w:iCs w:val="1"/>
          <w:color w:val="auto"/>
        </w:rPr>
        <w:t>You should consider carefully the risks and uncertainties described below, together with all of the other information in our public filings with the Securities and Exchange Commission,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 This situation is changing rapidly and additional impacts may arise that we are not aware of currently.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health epidemics including the recent coronavirus outbreak.</w:t>
      </w:r>
    </w:p>
    <w:p>
      <w:pPr>
        <w:spacing w:after="0" w:line="198" w:lineRule="exact"/>
        <w:rPr>
          <w:sz w:val="20"/>
          <w:szCs w:val="20"/>
          <w:color w:val="auto"/>
        </w:rPr>
      </w:pPr>
    </w:p>
    <w:p>
      <w:pPr>
        <w:ind w:firstLine="648"/>
        <w:spacing w:after="0" w:line="237" w:lineRule="auto"/>
        <w:rPr>
          <w:sz w:val="20"/>
          <w:szCs w:val="20"/>
          <w:color w:val="auto"/>
        </w:rPr>
      </w:pPr>
      <w:r>
        <w:rPr>
          <w:rFonts w:ascii="Arial" w:cs="Arial" w:eastAsia="Arial" w:hAnsi="Arial"/>
          <w:sz w:val="17"/>
          <w:szCs w:val="17"/>
          <w:color w:val="auto"/>
        </w:rPr>
        <w:t>Our business could be adversely impacted by the effects of COVID-19 or other epidemics. As a result of COVID-19, our first six months of 2020 financial results were impacted negatively as our customers in multiple regions around the world suspended their normal operations in efforts to curb the spread of the COVID-19 pandemic. A significant number of our customer sites that had shut down due to COVID-19 have re-opened. However, those that have re-opened have not necessarily resumed operating at their prior run rates, which has negatively impacted the sale of our consumables. As of June 30, 2020, approximately 20% of the sites remained inactive. This dynamic continues to negatively impact the recognition of revenue related to the sale of our Sequel and Sequel II instruments. The negative impacts of COVID-19 on our customers will likely continue to adversely impact our revenues during the second half of 2020, including the third quarter of 2020. The inability to receive or accept shipment of orders for our products on a timely basis, or at all, the delay or possible cancellation of orders for our products, and the reduced utilization of our products has negatively affected and may negatively affect in the future our operations and revenues.</w:t>
      </w:r>
    </w:p>
    <w:p>
      <w:pPr>
        <w:spacing w:after="0" w:line="180" w:lineRule="exact"/>
        <w:rPr>
          <w:sz w:val="20"/>
          <w:szCs w:val="20"/>
          <w:color w:val="auto"/>
        </w:rPr>
      </w:pPr>
    </w:p>
    <w:p>
      <w:pPr>
        <w:ind w:right="280" w:firstLine="648"/>
        <w:spacing w:after="0" w:line="231" w:lineRule="auto"/>
        <w:rPr>
          <w:sz w:val="20"/>
          <w:szCs w:val="20"/>
          <w:color w:val="auto"/>
        </w:rPr>
      </w:pPr>
      <w:r>
        <w:rPr>
          <w:rFonts w:ascii="Arial" w:cs="Arial" w:eastAsia="Arial" w:hAnsi="Arial"/>
          <w:sz w:val="18"/>
          <w:szCs w:val="18"/>
          <w:color w:val="auto"/>
        </w:rPr>
        <w:t>In response to local stay-at-home orders and in alignment with CDC recommendations, we have limited our manufacturing and commercial operations based in Menlo Park, California. We will, however, continue to provide consumables and support to scientists at government, academic, and commercial labs that remain open. To aid in containing the spread of COVID-19, we have implemented remote-work options and are limiting employee travel as much as possible. We are monitoring this rapidly evolving situation.</w:t>
      </w:r>
    </w:p>
    <w:p>
      <w:pPr>
        <w:spacing w:after="0" w:line="175" w:lineRule="exact"/>
        <w:rPr>
          <w:sz w:val="20"/>
          <w:szCs w:val="20"/>
          <w:color w:val="auto"/>
        </w:rPr>
      </w:pPr>
    </w:p>
    <w:p>
      <w:pPr>
        <w:ind w:right="80" w:firstLine="648"/>
        <w:spacing w:after="0" w:line="225" w:lineRule="auto"/>
        <w:rPr>
          <w:sz w:val="20"/>
          <w:szCs w:val="20"/>
          <w:color w:val="auto"/>
        </w:rPr>
      </w:pPr>
      <w:r>
        <w:rPr>
          <w:rFonts w:ascii="Arial" w:cs="Arial" w:eastAsia="Arial" w:hAnsi="Arial"/>
          <w:sz w:val="18"/>
          <w:szCs w:val="18"/>
          <w:color w:val="auto"/>
        </w:rPr>
        <w:t>Our manufacturing partners and suppliers could also be disrupted by conditions related to COVID-19 or other epidemics,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At this point in time, there is significant uncertainty relating to the potential effect of COVID-19 on our business. Infections may resurge or become more widespread and the limitation on our ability to travel and timely sell and distribute our products, as well as any closures or supply disruptions, may be extended for longer periods of time, which could have a negative impact on our business, financial condition and operating results.</w:t>
      </w:r>
    </w:p>
    <w:p>
      <w:pPr>
        <w:spacing w:after="0" w:line="181" w:lineRule="exact"/>
        <w:rPr>
          <w:sz w:val="20"/>
          <w:szCs w:val="20"/>
          <w:color w:val="auto"/>
        </w:rPr>
      </w:pPr>
    </w:p>
    <w:p>
      <w:pPr>
        <w:ind w:right="80" w:firstLine="648"/>
        <w:spacing w:after="0" w:line="225" w:lineRule="auto"/>
        <w:rPr>
          <w:sz w:val="20"/>
          <w:szCs w:val="20"/>
          <w:color w:val="auto"/>
        </w:rPr>
      </w:pPr>
      <w:r>
        <w:rPr>
          <w:rFonts w:ascii="Arial" w:cs="Arial" w:eastAsia="Arial" w:hAnsi="Arial"/>
          <w:sz w:val="18"/>
          <w:szCs w:val="18"/>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such as decreases in discretionary capital expenditure spending, increased and prolonged unemployment or a decline in consumer confidence as a result of the COVID-19 pandemic, as well as limited or significantly reduced points of access of our products, could have a continuing adverse effect on the demand for some of our products.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We have limited commercial sales to date and the commercialization and sales of our current or future products may be unsuccessful or less successful than anticipated.</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6"/>
          <w:szCs w:val="16"/>
          <w:color w:val="auto"/>
        </w:rPr>
        <w:t>Our first commercial product launched in 2011 and we have had limited sales to date. As such, we have limited historical financial data upon which to base our projected revenue, planned operating expenses or upon which to evaluate our company and our commercial prospects. Furthermore, in</w:t>
      </w:r>
    </w:p>
    <w:p>
      <w:pPr>
        <w:spacing w:after="0" w:line="1" w:lineRule="exact"/>
        <w:rPr>
          <w:sz w:val="20"/>
          <w:szCs w:val="20"/>
          <w:color w:val="auto"/>
        </w:rPr>
      </w:pPr>
    </w:p>
    <w:p>
      <w:pPr>
        <w:ind w:right="20"/>
        <w:spacing w:after="0" w:line="203" w:lineRule="auto"/>
        <w:rPr>
          <w:sz w:val="20"/>
          <w:szCs w:val="20"/>
          <w:color w:val="auto"/>
        </w:rPr>
      </w:pPr>
      <w:r>
        <w:rPr>
          <w:rFonts w:ascii="Arial" w:cs="Arial" w:eastAsia="Arial" w:hAnsi="Arial"/>
          <w:sz w:val="18"/>
          <w:szCs w:val="18"/>
          <w:color w:val="auto"/>
        </w:rPr>
        <w:t>September 2015, we launched the PacBio Sequel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 and concurrently began phasing out production of PacBio RS II instruments, and, in April 2019 we announced the commercial launch of the Sequel II System. Based on our limited experience in developing and marketing our existing products and launching new products, we may not be able to effectively:</w:t>
      </w:r>
    </w:p>
    <w:p>
      <w:pPr>
        <w:spacing w:after="0" w:line="69" w:lineRule="exact"/>
        <w:rPr>
          <w:sz w:val="20"/>
          <w:szCs w:val="20"/>
          <w:color w:val="auto"/>
        </w:rPr>
      </w:pPr>
    </w:p>
    <w:p>
      <w:pPr>
        <w:ind w:left="1100" w:right="180"/>
        <w:spacing w:after="0" w:line="246" w:lineRule="auto"/>
        <w:rPr>
          <w:sz w:val="20"/>
          <w:szCs w:val="20"/>
          <w:color w:val="auto"/>
        </w:rPr>
      </w:pPr>
      <w:r>
        <w:rPr>
          <w:rFonts w:ascii="Arial" w:cs="Arial" w:eastAsia="Arial" w:hAnsi="Arial"/>
          <w:sz w:val="18"/>
          <w:szCs w:val="18"/>
          <w:color w:val="auto"/>
        </w:rPr>
        <w:t>manage the timeliness of our new product introductions and the rate at which sales of our new products may cannibalize sales of our older products;</w:t>
      </w:r>
    </w:p>
    <w:p>
      <w:pPr>
        <w:spacing w:after="0" w:line="62" w:lineRule="exact"/>
        <w:rPr>
          <w:sz w:val="20"/>
          <w:szCs w:val="20"/>
          <w:color w:val="auto"/>
        </w:rPr>
      </w:pPr>
    </w:p>
    <w:p>
      <w:pPr>
        <w:ind w:left="1100" w:right="4240"/>
        <w:spacing w:after="0" w:line="344" w:lineRule="auto"/>
        <w:rPr>
          <w:sz w:val="20"/>
          <w:szCs w:val="20"/>
          <w:color w:val="auto"/>
        </w:rPr>
      </w:pPr>
      <w:r>
        <w:rPr>
          <w:rFonts w:ascii="Arial" w:cs="Arial" w:eastAsia="Arial" w:hAnsi="Arial"/>
          <w:sz w:val="18"/>
          <w:szCs w:val="18"/>
          <w:color w:val="auto"/>
        </w:rPr>
        <w:t>drive adoption of our current and future products, including the Sequel II System; attract and retain customers for our products;</w:t>
      </w:r>
    </w:p>
    <w:p>
      <w:pPr>
        <w:spacing w:after="0" w:line="1" w:lineRule="exact"/>
        <w:rPr>
          <w:sz w:val="20"/>
          <w:szCs w:val="20"/>
          <w:color w:val="auto"/>
        </w:rPr>
      </w:pPr>
    </w:p>
    <w:p>
      <w:pPr>
        <w:ind w:left="1100" w:right="4280"/>
        <w:spacing w:after="0" w:line="387" w:lineRule="auto"/>
        <w:rPr>
          <w:sz w:val="20"/>
          <w:szCs w:val="20"/>
          <w:color w:val="auto"/>
        </w:rPr>
      </w:pPr>
      <w:r>
        <w:rPr>
          <w:rFonts w:ascii="Arial" w:cs="Arial" w:eastAsia="Arial" w:hAnsi="Arial"/>
          <w:sz w:val="16"/>
          <w:szCs w:val="16"/>
          <w:color w:val="auto"/>
        </w:rPr>
        <w:t>provide appropriate levels of customer training and support for our products; implement an effective marketing strategy to promote awareness of our products;</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develop and implement an effective sales and distribution strategy for our current and future products;</w:t>
      </w:r>
    </w:p>
    <w:p>
      <w:pPr>
        <w:spacing w:after="0" w:line="90" w:lineRule="exact"/>
        <w:rPr>
          <w:sz w:val="20"/>
          <w:szCs w:val="20"/>
          <w:color w:val="auto"/>
        </w:rPr>
      </w:pPr>
    </w:p>
    <w:p>
      <w:pPr>
        <w:ind w:left="1100" w:right="140"/>
        <w:spacing w:after="0" w:line="246" w:lineRule="auto"/>
        <w:rPr>
          <w:sz w:val="20"/>
          <w:szCs w:val="20"/>
          <w:color w:val="auto"/>
        </w:rPr>
      </w:pPr>
      <w:r>
        <w:rPr>
          <w:rFonts w:ascii="Arial" w:cs="Arial" w:eastAsia="Arial" w:hAnsi="Arial"/>
          <w:sz w:val="18"/>
          <w:szCs w:val="18"/>
          <w:color w:val="auto"/>
        </w:rPr>
        <w:t>develop, manufacture and commercialize new products or achieve an acceptable return on our manufacturing or research and development efforts and expenses;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comply with regulatory requirements applicable to our products;</w:t>
      </w:r>
    </w:p>
    <w:p>
      <w:pPr>
        <w:spacing w:after="0" w:line="9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anticipate and adapt to changes in our market;</w:t>
      </w:r>
    </w:p>
    <w:p>
      <w:pPr>
        <w:spacing w:after="0" w:line="90" w:lineRule="exact"/>
        <w:rPr>
          <w:sz w:val="20"/>
          <w:szCs w:val="20"/>
          <w:color w:val="auto"/>
        </w:rPr>
      </w:pPr>
    </w:p>
    <w:p>
      <w:pPr>
        <w:ind w:left="1100" w:right="400"/>
        <w:spacing w:after="0" w:line="246" w:lineRule="auto"/>
        <w:rPr>
          <w:sz w:val="20"/>
          <w:szCs w:val="20"/>
          <w:color w:val="auto"/>
        </w:rPr>
      </w:pPr>
      <w:r>
        <w:rPr>
          <w:rFonts w:ascii="Arial" w:cs="Arial" w:eastAsia="Arial" w:hAnsi="Arial"/>
          <w:sz w:val="18"/>
          <w:szCs w:val="18"/>
          <w:color w:val="auto"/>
        </w:rPr>
        <w:t>accommodate customer expectations and demands with respect to our products, increase product adoption by our existing customers or develop new customer relationships;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grow our share by marketing and selling our products for new and additional applications;</w:t>
      </w:r>
    </w:p>
    <w:p>
      <w:pPr>
        <w:spacing w:after="0" w:line="90" w:lineRule="exact"/>
        <w:rPr>
          <w:sz w:val="20"/>
          <w:szCs w:val="20"/>
          <w:color w:val="auto"/>
        </w:rPr>
      </w:pPr>
    </w:p>
    <w:p>
      <w:pPr>
        <w:ind w:left="1100" w:right="160"/>
        <w:spacing w:after="0" w:line="246" w:lineRule="auto"/>
        <w:rPr>
          <w:sz w:val="20"/>
          <w:szCs w:val="20"/>
          <w:color w:val="auto"/>
        </w:rPr>
      </w:pPr>
      <w:r>
        <w:rPr>
          <w:rFonts w:ascii="Arial" w:cs="Arial" w:eastAsia="Arial" w:hAnsi="Arial"/>
          <w:sz w:val="18"/>
          <w:szCs w:val="18"/>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62" w:lineRule="exact"/>
        <w:rPr>
          <w:sz w:val="20"/>
          <w:szCs w:val="20"/>
          <w:color w:val="auto"/>
        </w:rPr>
      </w:pPr>
    </w:p>
    <w:p>
      <w:pPr>
        <w:ind w:left="1100" w:right="1400"/>
        <w:spacing w:after="0" w:line="344" w:lineRule="auto"/>
        <w:rPr>
          <w:sz w:val="20"/>
          <w:szCs w:val="20"/>
          <w:color w:val="auto"/>
        </w:rPr>
      </w:pPr>
      <w:r>
        <w:rPr>
          <w:rFonts w:ascii="Arial" w:cs="Arial" w:eastAsia="Arial" w:hAnsi="Arial"/>
          <w:sz w:val="18"/>
          <w:szCs w:val="18"/>
          <w:color w:val="auto"/>
        </w:rPr>
        <w:t>adapt or scale our manufacturing activities to meet performance specifications and potential demand at a reasonable cost; avoid infringement and misappropriation of third-party intellectual property;</w:t>
      </w:r>
    </w:p>
    <w:p>
      <w:pPr>
        <w:spacing w:after="0" w:line="1" w:lineRule="exact"/>
        <w:rPr>
          <w:sz w:val="20"/>
          <w:szCs w:val="20"/>
          <w:color w:val="auto"/>
        </w:rPr>
      </w:pPr>
    </w:p>
    <w:p>
      <w:pPr>
        <w:ind w:left="1100" w:right="1960"/>
        <w:spacing w:after="0" w:line="344" w:lineRule="auto"/>
        <w:rPr>
          <w:sz w:val="20"/>
          <w:szCs w:val="20"/>
          <w:color w:val="auto"/>
        </w:rPr>
      </w:pPr>
      <w:r>
        <w:rPr>
          <w:rFonts w:ascii="Arial" w:cs="Arial" w:eastAsia="Arial" w:hAnsi="Arial"/>
          <w:sz w:val="18"/>
          <w:szCs w:val="18"/>
          <w:color w:val="auto"/>
        </w:rPr>
        <w:t>obtain and maintain any necessary licenses to third-party intellectual property on commercially reasonable terms; obtain valid and enforceable patents that give us a competitive advantage or enforce existing patents; protect our proprietary technology; and</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attract, retain and motivate qualified personnel.</w:t>
      </w:r>
    </w:p>
    <w:p>
      <w:pPr>
        <w:spacing w:after="0" w:line="198"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The risks noted above, especially with respect to the marketing, sales, and commercialization of our products, may be heightened by the termination of our Merger Agreement with Illumina and the impact of the COVID-19. In addition, a high percentage of our expenses is and will continue to be fixed. Accordingly, if we do not generate revenue as and when anticipated, our losses may be greater than expected and our operating results will suffer.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losses to date, and we expect to continue to incur significant losses as we develop our business and may never achieve profitability.</w:t>
      </w:r>
    </w:p>
    <w:p>
      <w:pPr>
        <w:spacing w:after="0" w:line="233"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Except for the quarter ended March 31, 2020 and the quarter ended September 30, 2015 (as a result of a one-time gain on lease amendments), we have incurred net losses since inception and we cannot be certain if or when we will produce sufficient revenue from our operations to support our costs. While we achieved profitability for the quarter ended March 31, 2020, this result was largely due to income recognition of the Continuation Advances. Even if profitability is achieved in the future, we may not be able to sustain profitability on a consistent basis. Excluding any future gain relating to the Reverse Termination Fee, we expect to continue to incur substantial losses and negative cash flow from operations for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cash flow positive and may not have sufficient cash to fund our current and planned operations.</w:t>
      </w:r>
    </w:p>
    <w:p>
      <w:pPr>
        <w:spacing w:after="0" w:line="198"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Our operations have consumed substantial amounts of cash since inception, and we expect to continue to incur substantial losses and negative cash flow from operations for the foreseeable future. We believe that our growth will depend, in part, on our ability to fund our commercialization efforts and our efforts to develop new products, including any improvements to the SMRT Cell 8M and Sequel II System. Our existing resources may not allow us to conduct all of these activities that we believe would be beneficial for our future growth. As a result, due to our continued losses and operating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cash needs as well as significant legal expenses we have incurred in connection with the merger with Illumina, we believe the Continuation Advances and the Reverse Termination Fee, which are both repayable in certain circumstances, are necessary to fund our projected operating requirements for at least twelve months from the date of filing of this Quarterly Report.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and launching of new products, operations or to increase or maintain the level of our research and development activities.</w:t>
      </w:r>
    </w:p>
    <w:p>
      <w:pPr>
        <w:spacing w:after="0" w:line="177"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Additional funds may not be available on terms acceptable to us or at all, particularly in light of restrictions under the Termination Agreement. We have incurred and may further incur additional debt. Debt holders have rights senior to common stockholders to make claims on our assets. We may not be able to issue equity securities due to unacceptable terms and conditions to us in the capital markets. To the extent that we raise additional funds through the sale of our common stock, continued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138" w:lineRule="exact"/>
        <w:rPr>
          <w:sz w:val="20"/>
          <w:szCs w:val="20"/>
          <w:color w:val="auto"/>
        </w:rPr>
      </w:pPr>
    </w:p>
    <w:p>
      <w:pPr>
        <w:ind w:right="140" w:firstLine="609"/>
        <w:spacing w:after="0"/>
        <w:rPr>
          <w:sz w:val="20"/>
          <w:szCs w:val="20"/>
          <w:color w:val="auto"/>
        </w:rPr>
      </w:pPr>
      <w:r>
        <w:rPr>
          <w:rFonts w:ascii="Arial" w:cs="Arial" w:eastAsia="Arial" w:hAnsi="Arial"/>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impede our ability to achieve our business objectives and could materially harm our operating results. If our cash, cash equivalents and investments are insufficient to fund our projected operating requirements and we are unable to raise capital, it would have a material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repay the Reverse Termination Fee and Continuation Advances to Illumina.</w:t>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Pursuant to the Termination Agreement, in the event that, on or prior to September 30, 2020, we enter into a definitive agreement providing for or consummate a Change of Control Transaction, then we may be required to repay the Reverse Termination Fee (without interest) to Illumina in connection with the consummation of such Change of Control Transaction. If such Change of Control Transaction is not consummated by the two-year anniversary of the execution of the definitive agreement for such Change of Control Transaction, then we will not be required to repay the Reverse Termination Fee. In addition, up to the $52.0 million of Continuation Advances actually paid to us are repayable without interest to Illumina if, within two years of March 31, 2020, we enter into, or consummate a Change of Control Transaction or raises at least $100 million in equity or debt financing in a single transaction (with the amount repayable dependent on the amount raised by us). If we are required to repay the Reverse Termination or the Continuation Advances, we may not be able to fund our projected operating requirements for at least twelve months from the date of filing of this Quarterly Report. In addition,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impede our ability to achieve our business objectives and could materially harm our operating results. If our cash, cash equivalents and investments are insufficient to fund our projected operating requirements and we are unable to raise capital, it would have a material adverse effect on our business, financial condition and results of operations.</w:t>
      </w:r>
    </w:p>
    <w:p>
      <w:pPr>
        <w:spacing w:after="0" w:line="17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b w:val="1"/>
          <w:bCs w:val="1"/>
          <w:i w:val="1"/>
          <w:iCs w:val="1"/>
          <w:color w:val="auto"/>
        </w:rPr>
        <w:t>If we are unable to successfully develop and timely manufacture our current and future products, including with respect to the Sequel System, the SMRT Cell 8M and Sequel II System and related products, our business may be adversely affected.</w:t>
      </w:r>
    </w:p>
    <w:p>
      <w:pPr>
        <w:spacing w:after="0" w:line="170"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 Systems, depends on a number of factors, including performance and reliability of the system,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the SMRT Cell 8M, reagents and Sequel II System, and including any delays or defects in software development or product functionality, the timing and success of the continued rollout and scaling of our products may be significantly impacted, which may materially and negatively impact our revenue and gross margin. The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ability of our customers to successfully utilize our products will also depend on our ability to deliver high quality SMRT Cells and reagents, including with respect to the SMRT Cell 8M. We have designed SMRT Cells and other consumables specifically for the Sequel System, and may need to develop in the future, other customized SMRT Cells and consumables for our future products, including the SMRT Cell 8M for the Sequel II System. Our production of the SMRT Cells for the Sequel System has been and may in the future be below desired levels, and we have experienced and may experience in the future manufacturing delays, product or quality defects, SMRT Cell variability, and other issues. For example, the recent COVID–19 outbreak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negatively impact our ability to sell our products or result in other material adverse effects on our business, financial condition and results of operations.</w:t>
      </w:r>
    </w:p>
    <w:p>
      <w:pPr>
        <w:spacing w:after="0" w:line="178" w:lineRule="exact"/>
        <w:rPr>
          <w:sz w:val="20"/>
          <w:szCs w:val="20"/>
          <w:color w:val="auto"/>
        </w:rPr>
      </w:pPr>
    </w:p>
    <w:p>
      <w:pPr>
        <w:ind w:right="60" w:firstLine="648"/>
        <w:spacing w:after="0" w:line="236" w:lineRule="auto"/>
        <w:rPr>
          <w:sz w:val="20"/>
          <w:szCs w:val="20"/>
          <w:color w:val="auto"/>
        </w:rPr>
      </w:pPr>
      <w:r>
        <w:rPr>
          <w:rFonts w:ascii="Arial" w:cs="Arial" w:eastAsia="Arial" w:hAnsi="Arial"/>
          <w:sz w:val="17"/>
          <w:szCs w:val="17"/>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we may be forced to delay product shipments or the scaling of manufacturing or supply. In particular, if the continued rollout of our current and future products, including with respect to the SMRT Cell 8M and Sequel II System,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8M and Sequel II System, could materially and adversely affect our business, financial condition and results of operations.</w:t>
      </w:r>
    </w:p>
    <w:p>
      <w:pPr>
        <w:spacing w:after="0" w:line="181" w:lineRule="exact"/>
        <w:rPr>
          <w:sz w:val="20"/>
          <w:szCs w:val="20"/>
          <w:color w:val="auto"/>
        </w:rPr>
      </w:pPr>
    </w:p>
    <w:p>
      <w:pPr>
        <w:ind w:right="140"/>
        <w:spacing w:after="0" w:line="343" w:lineRule="auto"/>
        <w:rPr>
          <w:sz w:val="20"/>
          <w:szCs w:val="20"/>
          <w:color w:val="auto"/>
        </w:rPr>
      </w:pPr>
      <w:r>
        <w:rPr>
          <w:rFonts w:ascii="Arial" w:cs="Arial" w:eastAsia="Arial" w:hAnsi="Arial"/>
          <w:sz w:val="15"/>
          <w:szCs w:val="15"/>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101" w:lineRule="exact"/>
        <w:rPr>
          <w:sz w:val="20"/>
          <w:szCs w:val="20"/>
          <w:color w:val="auto"/>
        </w:rPr>
      </w:pPr>
    </w:p>
    <w:p>
      <w:pPr>
        <w:ind w:right="40" w:firstLine="648"/>
        <w:spacing w:after="0" w:line="239" w:lineRule="auto"/>
        <w:rPr>
          <w:sz w:val="20"/>
          <w:szCs w:val="20"/>
          <w:color w:val="auto"/>
        </w:rPr>
      </w:pPr>
      <w:r>
        <w:rPr>
          <w:rFonts w:ascii="Arial" w:cs="Arial" w:eastAsia="Arial" w:hAnsi="Arial"/>
          <w:sz w:val="17"/>
          <w:szCs w:val="17"/>
          <w:color w:val="auto"/>
        </w:rPr>
        <w:t>We have dedicated significant resources to developing our current products, including sequencing systems and consumables based on our proprietary SMRT sequencing technology and our Sequel and Sequel II Systems. We are also engaged in substantial and complex research and development efforts, which, if successful, may result in the introduction of new products in the future, including with respect to the SMRT Cell 8M and the Sequel II System.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Furthermore, we need to continue to expand our internal capabilities or seek new partnerships or collaborations, or both, in order to successfully market, sell and commercialize our products in the markets we seek to reach.</w:t>
      </w:r>
    </w:p>
    <w:p>
      <w:pPr>
        <w:spacing w:after="0" w:line="17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We must successfully manage new product introductions and transitions, including with respect to the SMRT Cell 8M and Sequel II System, we may incur significant costs during these transitions, and they may not result in the benefits we anticipate.</w:t>
      </w:r>
    </w:p>
    <w:p>
      <w:pPr>
        <w:spacing w:after="0" w:line="170"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8M and Sequel II System and also any future products that may be developed for clinical uses, it could have a material adverse effect on our business, financial condition and results of operations. In addition, the introduction of future products, including with respect to the SMRT Cell 8M and Sequel II System,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Further, we have experienced, and may in the future experience, difficulty in managing or forecasting customer reactions, purchasing decisions or transition requirements with respect to newly launched products. We have incurred and may continue to incur significant costs in completing the transitions, including costs of write-downs of our products, as current 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future customers’ transition to new products. If we do not successfully manage these product transitions, including with respect to the SMRT Cell 8M and Sequel II System, our business, reputation and financial condition may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terminated merger with Illumina has affected and may in the future, materially and adversely affect our results of operations and stock price.</w:t>
      </w:r>
    </w:p>
    <w:p>
      <w:pPr>
        <w:spacing w:after="0" w:line="221" w:lineRule="exact"/>
        <w:rPr>
          <w:sz w:val="20"/>
          <w:szCs w:val="20"/>
          <w:color w:val="auto"/>
        </w:rPr>
      </w:pPr>
    </w:p>
    <w:p>
      <w:pPr>
        <w:ind w:right="320" w:firstLine="648"/>
        <w:spacing w:after="0" w:line="307" w:lineRule="auto"/>
        <w:rPr>
          <w:sz w:val="20"/>
          <w:szCs w:val="20"/>
          <w:color w:val="auto"/>
        </w:rPr>
      </w:pPr>
      <w:r>
        <w:rPr>
          <w:rFonts w:ascii="Arial" w:cs="Arial" w:eastAsia="Arial" w:hAnsi="Arial"/>
          <w:sz w:val="16"/>
          <w:szCs w:val="16"/>
          <w:color w:val="auto"/>
        </w:rPr>
        <w:t>On January 2, 2020, we, Illumina and Merger Subsidiary terminated the Merger Agreement. Although difficult to quantify, we believe that the terminated merger with Illumina has affected and may, in the future, materially and adversely affect our results of operations, due to the following:</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restrictions in the Merger Agreement that limited our ability to take certain actions while the Merger Agreement was in effect;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diverted management attention;</w:t>
      </w:r>
    </w:p>
    <w:p>
      <w:pPr>
        <w:spacing w:after="0" w:line="198"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disruption of our business, including our relationships with our customers, employees, partners and other parties, due to uncertainty over when or if the merger would be completed;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obligation to repay the Reverse Termination Fee and Continuation Advances in certain circumstances; and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uncertainties that have impaired our ability to retain, recruit and motivate key personnel.</w:t>
      </w:r>
    </w:p>
    <w:p>
      <w:pPr>
        <w:spacing w:after="0" w:line="198"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occurrence, continuation or exacerbation of any of these events individually or in combination could materially and adversely affect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significant changes to our leadership team and the resulting management transitions might harm our future operating results.</w:t>
      </w:r>
    </w:p>
    <w:p>
      <w:pPr>
        <w:spacing w:after="0" w:line="75" w:lineRule="exact"/>
        <w:rPr>
          <w:sz w:val="20"/>
          <w:szCs w:val="20"/>
          <w:color w:val="auto"/>
        </w:rPr>
      </w:pPr>
    </w:p>
    <w:p>
      <w:pPr>
        <w:ind w:firstLine="440"/>
        <w:spacing w:after="0"/>
        <w:rPr>
          <w:sz w:val="20"/>
          <w:szCs w:val="20"/>
          <w:color w:val="auto"/>
        </w:rPr>
      </w:pPr>
      <w:r>
        <w:rPr>
          <w:rFonts w:ascii="Arial" w:cs="Arial" w:eastAsia="Arial" w:hAnsi="Arial"/>
          <w:sz w:val="17"/>
          <w:szCs w:val="17"/>
          <w:color w:val="auto"/>
        </w:rPr>
        <w:t>We have recently experienced significant changes to our leadership team. On June 10, 2020, we announced the retirement of Dr. Michael Hunkapiller as our Chief Executive Officer and President by the end of the year and the retirement of Susan K. Barnes as our Executive Vice President and Chief Financial Officer, who will retire on August 7, 2020. On July 31, 2020, our Board of Directors appointed Ben Gong, effective August 8, 2020, to the role of interim Chief Financial Officer and designated as the Company’s principal financial officer. Our Board of Directors has been conducting searches for the Company’s next Chief Executive Officer and Chief Financial Officer. Also, on May 26, 2020, we announced that Eric E. Schaefer was appointed Vice President and Chief Accounting Officer and designated as the Company’s principal accounting officer.</w:t>
      </w:r>
    </w:p>
    <w:p>
      <w:pPr>
        <w:spacing w:after="0" w:line="177"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 and financial condition may be adversely affected.</w:t>
      </w:r>
    </w:p>
    <w:p>
      <w:pPr>
        <w:spacing w:after="0" w:line="166"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and other personnel, our ability to maintain and develop our products could be harmed and we may be unable to achieve our goals.</w:t>
      </w:r>
    </w:p>
    <w:p>
      <w:pPr>
        <w:spacing w:after="0" w:line="165"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institutions, particularly those focusing on genomics.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support of existing products, product development and introductions, business growth prospects,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1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General conditions in the global economy and in the global financial markets could adversely affect our results of operations, including the potential effects from COVID-19 as discussed above, the overall demand for nucleic acid sequencing products may be particularly vulnerable to unfavorable economic conditions.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Any of the foregoing could harm our business and we cannot anticipate all of the ways in which the political or economic climate and financial market conditions could adversely impact our business.</w:t>
      </w:r>
    </w:p>
    <w:p>
      <w:pPr>
        <w:spacing w:after="0" w:line="17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175" w:lineRule="exact"/>
        <w:rPr>
          <w:sz w:val="20"/>
          <w:szCs w:val="20"/>
          <w:color w:val="auto"/>
        </w:rPr>
      </w:pPr>
    </w:p>
    <w:p>
      <w:pPr>
        <w:ind w:right="20" w:firstLine="648"/>
        <w:spacing w:after="0" w:line="256" w:lineRule="auto"/>
        <w:rPr>
          <w:sz w:val="20"/>
          <w:szCs w:val="20"/>
          <w:color w:val="auto"/>
        </w:rPr>
      </w:pPr>
      <w:r>
        <w:rPr>
          <w:rFonts w:ascii="Arial" w:cs="Arial" w:eastAsia="Arial" w:hAnsi="Arial"/>
          <w:sz w:val="16"/>
          <w:szCs w:val="16"/>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applications, including uses by academic, government and clinical laboratories, as well as pharmaceutical, diagnostic, biotechnology and agriculture companies, among others. For example, the sale and commercialization of the SMRT Cell 8M and Sequel II System, and related products may not be successful.</w:t>
      </w:r>
    </w:p>
    <w:p>
      <w:pPr>
        <w:spacing w:after="0" w:line="165" w:lineRule="exact"/>
        <w:rPr>
          <w:sz w:val="20"/>
          <w:szCs w:val="20"/>
          <w:color w:val="auto"/>
        </w:rPr>
      </w:pPr>
    </w:p>
    <w:p>
      <w:pPr>
        <w:ind w:right="100" w:firstLine="648"/>
        <w:spacing w:after="0" w:line="256" w:lineRule="auto"/>
        <w:rPr>
          <w:sz w:val="20"/>
          <w:szCs w:val="20"/>
          <w:color w:val="auto"/>
        </w:rPr>
      </w:pPr>
      <w:r>
        <w:rPr>
          <w:rFonts w:ascii="Arial" w:cs="Arial" w:eastAsia="Arial" w:hAnsi="Arial"/>
          <w:sz w:val="16"/>
          <w:szCs w:val="16"/>
          <w:color w:val="auto"/>
        </w:rPr>
        <w:t>There can be no assurance that we will be successful in adding new products or securing additional customers for our current and future products, including with respect to the SMRT Cell 8M and Sequel II System.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have limited experience commercializing and selling products outside of the academic and research settings, and we cannot assure you that we can successfully acquire additional customers. Furthermore, we cannot guarantee that our products will be satisfactory to potential customers we seek to reach or that our products will perform in accordance with customer expectations.</w:t>
      </w:r>
    </w:p>
    <w:p>
      <w:pPr>
        <w:spacing w:after="0" w:line="16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These applications are new and dynamic, and there can be no assurance that they will develop as quickly as we anticipate, that they will reach their full potential or that they will be receptive to any of our products.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including with respect to the SMRT Cell 8M and Sequel II System.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would be materially harmed and our business may not succeed.</w:t>
      </w:r>
    </w:p>
    <w:p>
      <w:pPr>
        <w:spacing w:after="0" w:line="178" w:lineRule="exact"/>
        <w:rPr>
          <w:sz w:val="20"/>
          <w:szCs w:val="20"/>
          <w:color w:val="auto"/>
        </w:rPr>
      </w:pPr>
    </w:p>
    <w:p>
      <w:pPr>
        <w:jc w:val="both"/>
        <w:ind w:right="240"/>
        <w:spacing w:after="0" w:line="235" w:lineRule="auto"/>
        <w:rPr>
          <w:sz w:val="20"/>
          <w:szCs w:val="20"/>
          <w:color w:val="auto"/>
        </w:rPr>
      </w:pPr>
      <w:r>
        <w:rPr>
          <w:rFonts w:ascii="Arial" w:cs="Arial" w:eastAsia="Arial" w:hAnsi="Arial"/>
          <w:sz w:val="18"/>
          <w:szCs w:val="18"/>
          <w:b w:val="1"/>
          <w:bCs w:val="1"/>
          <w:i w:val="1"/>
          <w:iCs w:val="1"/>
          <w:color w:val="auto"/>
        </w:rPr>
        <w:t>We rely on other companies for the manufacture of certain components and sub-assemblies and intend to outsource additional sub-assemblies in the future. We may not be able to successfully scale the manufacturing process necessary to build and test multiple products on a full commercial basis, which could materially harm our business.</w:t>
      </w:r>
    </w:p>
    <w:p>
      <w:pPr>
        <w:spacing w:after="0" w:line="175"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Our products are complex and involve a large number of unique components, many of which require precision in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If we are required to purchase these components from alternative sources, it could take several months or longer to qualify the alternative sources. If we are unable to secure a sufficient supply of these product components on a timely basis, or if these components do not meet our expectations or specifications for quality and functionality, our operations and manufacturing will be materially and adversely affected, we could be unable to meet customer demand and our business and results of operations may be materially and adversely affected.</w:t>
      </w:r>
    </w:p>
    <w:p>
      <w:pPr>
        <w:spacing w:after="0" w:line="176"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The operations of our third-party manufacturing partners and suppliers could be disrupted by conditions unrelated to our business or operations or that are beyond our control, including but not limited to international trade restrictions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Our current manufacturing process is characterized by long lead times between the placement of orders for and delivery of our products. If we have received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our business could be materially harmed.</w:t>
      </w:r>
    </w:p>
    <w:p>
      <w:pPr>
        <w:spacing w:after="0" w:line="17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We may be unable to consistently manufacture our instruments and consumable kits, including SMRT Cells, to the necessary specifications or in quantities necessary to meet demand at an acceptable cost or at an acceptable performance level.</w:t>
      </w:r>
    </w:p>
    <w:p>
      <w:pPr>
        <w:spacing w:after="0" w:line="170"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has been and may in the future be below desired levels, and we have experienced and may experience in the future manufacturing delays, product defects, variability in the performance of SMRT Cells and other products, inadequate reserves for inventory, or other issues. 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effect on our brand, business, financial condition, and operating results, and could result is us losing our ISO certifications. If we were to lose our ISO certifications, then our customers might choose not to purchase products from us. There is also no assurance that we will be able to increase manufacturing yields and decrease costs, or that we will be successful in forecasting customer demand or manufacturing and supply costs. Furthermore, we may not be able to increase manufacturing to meet anticipated demand or may experience downtime in our manufacturing facilities. An inability to manufacture products and components that consistently meet specifications, in necessary quantities and at commercially acceptable costs, will have a negative impact, and may have a material adverse effect, on our business, financial condition and results of operations.</w:t>
      </w:r>
    </w:p>
    <w:p>
      <w:pPr>
        <w:spacing w:after="0" w:line="18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b w:val="1"/>
          <w:bCs w:val="1"/>
          <w:i w:val="1"/>
          <w:iCs w:val="1"/>
          <w:color w:val="auto"/>
        </w:rPr>
        <w:t>Rapidly changing technology in life sciences and diagnostics could make our products obsolete unless we continue to develop, manufacture and commercialize new and improved products and pursue new opportunities.</w:t>
      </w:r>
    </w:p>
    <w:p>
      <w:pPr>
        <w:spacing w:after="0" w:line="170" w:lineRule="exact"/>
        <w:rPr>
          <w:sz w:val="20"/>
          <w:szCs w:val="20"/>
          <w:color w:val="auto"/>
        </w:rPr>
      </w:pPr>
    </w:p>
    <w:p>
      <w:pPr>
        <w:jc w:val="both"/>
        <w:ind w:right="140" w:firstLine="648"/>
        <w:spacing w:after="0" w:line="225" w:lineRule="auto"/>
        <w:rPr>
          <w:sz w:val="20"/>
          <w:szCs w:val="20"/>
          <w:color w:val="auto"/>
        </w:rPr>
      </w:pPr>
      <w:r>
        <w:rPr>
          <w:rFonts w:ascii="Arial" w:cs="Arial" w:eastAsia="Arial" w:hAnsi="Arial"/>
          <w:sz w:val="18"/>
          <w:szCs w:val="18"/>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8M and Sequel II System, could diminish future demand for our products and materially harm our future operating results.</w:t>
      </w:r>
    </w:p>
    <w:p>
      <w:pPr>
        <w:spacing w:after="0" w:line="17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70" w:lineRule="exact"/>
        <w:rPr>
          <w:sz w:val="20"/>
          <w:szCs w:val="20"/>
          <w:color w:val="auto"/>
        </w:rPr>
      </w:pPr>
    </w:p>
    <w:p>
      <w:pPr>
        <w:ind w:right="100" w:firstLine="648"/>
        <w:spacing w:after="0" w:line="266" w:lineRule="auto"/>
        <w:rPr>
          <w:sz w:val="20"/>
          <w:szCs w:val="20"/>
          <w:color w:val="auto"/>
        </w:rPr>
      </w:pPr>
      <w:r>
        <w:rPr>
          <w:rFonts w:ascii="Arial" w:cs="Arial" w:eastAsia="Arial" w:hAnsi="Arial"/>
          <w:sz w:val="16"/>
          <w:szCs w:val="16"/>
          <w:color w:val="auto"/>
        </w:rPr>
        <w:t>Our commercial success may depend in part upon the development of sample preparation and software and informatics tools by third parties for use with our products. We cannot guarantee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industry and if we are not able to compete effectively, our business and operating results will likely be harmed.</w:t>
      </w:r>
    </w:p>
    <w:p>
      <w:pPr>
        <w:spacing w:after="0" w:line="86" w:lineRule="exact"/>
        <w:rPr>
          <w:sz w:val="20"/>
          <w:szCs w:val="20"/>
          <w:color w:val="auto"/>
        </w:rPr>
      </w:pPr>
    </w:p>
    <w:p>
      <w:pPr>
        <w:ind w:right="440" w:firstLine="648"/>
        <w:spacing w:after="0"/>
        <w:rPr>
          <w:sz w:val="20"/>
          <w:szCs w:val="20"/>
          <w:color w:val="auto"/>
        </w:rPr>
      </w:pPr>
      <w:r>
        <w:rPr>
          <w:rFonts w:ascii="Arial" w:cs="Arial" w:eastAsia="Arial" w:hAnsi="Arial"/>
          <w:sz w:val="17"/>
          <w:szCs w:val="17"/>
          <w:color w:val="auto"/>
        </w:rPr>
        <w:t>There are a significant number of companies offering nucleic acid sequencing products and/or services, including Illumina, BGI Genomics, Thermo, ONT Ltd., Roche, and Qiagen.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42"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the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financial condition or results of operations.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unable to successfully increase sales of our current products or market and sell our future products.</w:t>
      </w:r>
    </w:p>
    <w:p>
      <w:pPr>
        <w:spacing w:after="0" w:line="198"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40" w:lineRule="exact"/>
        <w:rPr>
          <w:sz w:val="20"/>
          <w:szCs w:val="20"/>
          <w:color w:val="auto"/>
        </w:rPr>
      </w:pPr>
    </w:p>
    <w:p>
      <w:pPr>
        <w:ind w:left="1100" w:right="380"/>
        <w:spacing w:after="0" w:line="246" w:lineRule="auto"/>
        <w:rPr>
          <w:sz w:val="20"/>
          <w:szCs w:val="20"/>
          <w:color w:val="auto"/>
        </w:rPr>
      </w:pPr>
      <w:r>
        <w:rPr>
          <w:rFonts w:ascii="Arial" w:cs="Arial" w:eastAsia="Arial" w:hAnsi="Arial"/>
          <w:sz w:val="18"/>
          <w:szCs w:val="18"/>
          <w:color w:val="auto"/>
        </w:rPr>
        <w:t>our ability to attract, retain and manage qualified sales, marketing and service personnel necessary to expand market acceptance for our technologies;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performance and commercial availability expectations of our existing and potential customers with respect to new and existing products;</w:t>
      </w:r>
    </w:p>
    <w:p>
      <w:pPr>
        <w:spacing w:after="0" w:line="86" w:lineRule="exact"/>
        <w:rPr>
          <w:sz w:val="20"/>
          <w:szCs w:val="20"/>
          <w:color w:val="auto"/>
        </w:rPr>
      </w:pPr>
    </w:p>
    <w:p>
      <w:pPr>
        <w:ind w:left="1100"/>
        <w:spacing w:after="0" w:line="246" w:lineRule="auto"/>
        <w:rPr>
          <w:sz w:val="20"/>
          <w:szCs w:val="20"/>
          <w:color w:val="auto"/>
        </w:rPr>
      </w:pPr>
      <w:r>
        <w:rPr>
          <w:rFonts w:ascii="Arial" w:cs="Arial" w:eastAsia="Arial" w:hAnsi="Arial"/>
          <w:sz w:val="18"/>
          <w:szCs w:val="18"/>
          <w:color w:val="auto"/>
        </w:rPr>
        <w:t>availability of potential sales and distribution partners to sell our technologies, and our ability to attract and retain such sales and distribution partners;</w:t>
      </w:r>
    </w:p>
    <w:p>
      <w:pPr>
        <w:spacing w:after="0" w:line="35" w:lineRule="exact"/>
        <w:rPr>
          <w:sz w:val="20"/>
          <w:szCs w:val="20"/>
          <w:color w:val="auto"/>
        </w:rPr>
      </w:pPr>
    </w:p>
    <w:p>
      <w:pPr>
        <w:ind w:left="1100" w:right="340"/>
        <w:spacing w:after="0" w:line="246" w:lineRule="auto"/>
        <w:rPr>
          <w:sz w:val="20"/>
          <w:szCs w:val="20"/>
          <w:color w:val="auto"/>
        </w:rPr>
      </w:pPr>
      <w:r>
        <w:rPr>
          <w:rFonts w:ascii="Arial" w:cs="Arial" w:eastAsia="Arial" w:hAnsi="Arial"/>
          <w:sz w:val="18"/>
          <w:szCs w:val="18"/>
          <w:color w:val="auto"/>
        </w:rPr>
        <w:t>the time and cost of maintaining and growing a specialized sales, marketing and service force for a particular application, which may be difficult to justify in light of the revenue generated; and</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sales, marketing and service force may be unable to execute successful commercial activities.</w:t>
      </w:r>
    </w:p>
    <w:p>
      <w:pPr>
        <w:spacing w:after="0" w:line="198" w:lineRule="exact"/>
        <w:rPr>
          <w:sz w:val="20"/>
          <w:szCs w:val="20"/>
          <w:color w:val="auto"/>
        </w:rPr>
      </w:pPr>
    </w:p>
    <w:p>
      <w:pPr>
        <w:jc w:val="both"/>
        <w:ind w:right="60" w:firstLine="648"/>
        <w:spacing w:after="0" w:line="225" w:lineRule="auto"/>
        <w:rPr>
          <w:sz w:val="20"/>
          <w:szCs w:val="20"/>
          <w:color w:val="auto"/>
        </w:rPr>
      </w:pPr>
      <w:r>
        <w:rPr>
          <w:rFonts w:ascii="Arial" w:cs="Arial" w:eastAsia="Arial" w:hAnsi="Arial"/>
          <w:sz w:val="18"/>
          <w:szCs w:val="18"/>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impact our business operations.</w:t>
      </w:r>
    </w:p>
    <w:p>
      <w:pPr>
        <w:spacing w:after="0" w:line="175"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We receive a significant portion of our revenue from a limited number of customers. For example, for the fiscal year ended December 31, 2019 and 2018, one of our customers, Gene Company Limited, accounted for approximately 17% and 26% of our total revenue, respectively. Gene Company Limited is our primary distributor in China.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be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harm our financial condition and results of operations.</w:t>
      </w:r>
    </w:p>
    <w:p>
      <w:pPr>
        <w:spacing w:after="0" w:line="166" w:lineRule="exact"/>
        <w:rPr>
          <w:sz w:val="20"/>
          <w:szCs w:val="20"/>
          <w:color w:val="auto"/>
        </w:rPr>
      </w:pPr>
    </w:p>
    <w:p>
      <w:pPr>
        <w:ind w:right="240" w:firstLine="693"/>
        <w:spacing w:after="0" w:line="235" w:lineRule="auto"/>
        <w:rPr>
          <w:sz w:val="20"/>
          <w:szCs w:val="20"/>
          <w:color w:val="auto"/>
        </w:rPr>
      </w:pPr>
      <w:r>
        <w:rPr>
          <w:rFonts w:ascii="Arial" w:cs="Arial" w:eastAsia="Arial" w:hAnsi="Arial"/>
          <w:sz w:val="18"/>
          <w:szCs w:val="18"/>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175"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6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Our net losses since inception and our expectation of incurring substantial losses and negative cash flow for the foreseeable future could adversely affect our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make it more difficult for us to satisfy our obligations;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increase our vulnerability to general adverse economic and industry conditions;</w:t>
      </w:r>
    </w:p>
    <w:p>
      <w:pPr>
        <w:spacing w:after="0" w:line="63" w:lineRule="exact"/>
        <w:rPr>
          <w:sz w:val="20"/>
          <w:szCs w:val="20"/>
          <w:color w:val="auto"/>
        </w:rPr>
      </w:pPr>
    </w:p>
    <w:p>
      <w:pPr>
        <w:ind w:left="1100" w:right="840"/>
        <w:spacing w:after="0" w:line="313" w:lineRule="auto"/>
        <w:rPr>
          <w:sz w:val="20"/>
          <w:szCs w:val="20"/>
          <w:color w:val="auto"/>
        </w:rPr>
      </w:pPr>
      <w:r>
        <w:rPr>
          <w:rFonts w:ascii="Arial" w:cs="Arial" w:eastAsia="Arial" w:hAnsi="Arial"/>
          <w:sz w:val="18"/>
          <w:szCs w:val="18"/>
          <w:color w:val="auto"/>
        </w:rPr>
        <w:t>limit our ability to fund future working capital, capital expenditures, research and development and other business opportunities; increase the volatility of the price of our common stock;</w:t>
      </w:r>
    </w:p>
    <w:p>
      <w:pPr>
        <w:ind w:left="1100"/>
        <w:spacing w:after="0"/>
        <w:rPr>
          <w:sz w:val="20"/>
          <w:szCs w:val="20"/>
          <w:color w:val="auto"/>
        </w:rPr>
      </w:pPr>
      <w:r>
        <w:rPr>
          <w:rFonts w:ascii="Arial" w:cs="Arial" w:eastAsia="Arial" w:hAnsi="Arial"/>
          <w:sz w:val="18"/>
          <w:szCs w:val="18"/>
          <w:color w:val="auto"/>
        </w:rPr>
        <w:t>limit our flexibility to react to changes in our business and the industry in which we operate;</w:t>
      </w:r>
    </w:p>
    <w:p>
      <w:pPr>
        <w:spacing w:after="0" w:line="63" w:lineRule="exact"/>
        <w:rPr>
          <w:sz w:val="20"/>
          <w:szCs w:val="20"/>
          <w:color w:val="auto"/>
        </w:rPr>
      </w:pPr>
    </w:p>
    <w:p>
      <w:pPr>
        <w:ind w:left="1100" w:right="2020"/>
        <w:spacing w:after="0" w:line="340" w:lineRule="auto"/>
        <w:rPr>
          <w:sz w:val="20"/>
          <w:szCs w:val="20"/>
          <w:color w:val="auto"/>
        </w:rPr>
      </w:pPr>
      <w:r>
        <w:rPr>
          <w:rFonts w:ascii="Arial" w:cs="Arial" w:eastAsia="Arial" w:hAnsi="Arial"/>
          <w:sz w:val="18"/>
          <w:szCs w:val="18"/>
          <w:color w:val="auto"/>
        </w:rPr>
        <w:t>place us at a disadvantage to other companies that offer nucleic acid sequencing equipment or consumables; and limit our ability to borrow additional funds.</w:t>
      </w:r>
    </w:p>
    <w:p>
      <w:pPr>
        <w:spacing w:after="0" w:line="89"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170"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Products using our SMRT sequencing technology are highly complex and may develop or contain undetected defects or errors. Our customers have experienced and may continue to experience reliability issues with our existing and future products, including the Sequel System and the Sequel II System. Despite testing, defects or errors may arise in our products, which could result in a failure to obtain, maintain or increase market acceptance of our products, diversion of development resources, injury to our reputation and increased warranty, service and maintenance costs. New products,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including the SMRT Cell 8M and Sequel II System, or enhancements to our existing products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generally ship our sequencing instruments with one year of service included in the purchase price with an option to purchase one or more additional years of service. We also provide a warranty for our consumables, which is generally limited to replacing, or at our option, giving credit for any consumable with defects in material or workmanship.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180" w:lineRule="exact"/>
        <w:rPr>
          <w:sz w:val="20"/>
          <w:szCs w:val="20"/>
          <w:color w:val="auto"/>
        </w:rPr>
      </w:pPr>
    </w:p>
    <w:p>
      <w:pPr>
        <w:ind w:right="80" w:firstLine="648"/>
        <w:spacing w:after="0" w:line="227" w:lineRule="auto"/>
        <w:rPr>
          <w:sz w:val="20"/>
          <w:szCs w:val="20"/>
          <w:color w:val="auto"/>
        </w:rPr>
      </w:pPr>
      <w:r>
        <w:rPr>
          <w:rFonts w:ascii="Arial" w:cs="Arial" w:eastAsia="Arial" w:hAnsi="Arial"/>
          <w:sz w:val="18"/>
          <w:szCs w:val="18"/>
          <w:color w:val="auto"/>
        </w:rPr>
        <w:t>In addition, such defects or errors could lead to the filing of product liability claims against us or against third parties who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serious adverse effect on our business, financial condition and results of operations.</w:t>
      </w:r>
    </w:p>
    <w:p>
      <w:pPr>
        <w:spacing w:after="0" w:line="17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70"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Our instruments represent significant capital expenditures for our customers.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harm our future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convert our orders in backlog into revenue.</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Our backlog represents product orders from our customers that we have confirmed and for which we have not yet recognized revenue. We may not receive revenue from these orders, and any order backlog we report may not be indicative of our future revenue.</w:t>
      </w:r>
    </w:p>
    <w:p>
      <w:pPr>
        <w:spacing w:after="0" w:line="170" w:lineRule="exact"/>
        <w:rPr>
          <w:sz w:val="20"/>
          <w:szCs w:val="20"/>
          <w:color w:val="auto"/>
        </w:rPr>
      </w:pPr>
    </w:p>
    <w:p>
      <w:pPr>
        <w:ind w:right="60" w:firstLine="648"/>
        <w:spacing w:after="0" w:line="231" w:lineRule="auto"/>
        <w:rPr>
          <w:sz w:val="20"/>
          <w:szCs w:val="20"/>
          <w:color w:val="auto"/>
        </w:rPr>
      </w:pPr>
      <w:r>
        <w:rPr>
          <w:rFonts w:ascii="Arial" w:cs="Arial" w:eastAsia="Arial" w:hAnsi="Arial"/>
          <w:sz w:val="18"/>
          <w:szCs w:val="18"/>
          <w:color w:val="auto"/>
        </w:rPr>
        <w:t>Many events can cause an order to be delayed or not completed at all, some of which may be out of our control, including the potential impacts from COVID-19.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of our products could be delayed or disrupted by factors beyond our control, and we could lose customers as a result.</w:t>
      </w:r>
    </w:p>
    <w:p>
      <w:pPr>
        <w:spacing w:after="0" w:line="198" w:lineRule="exact"/>
        <w:rPr>
          <w:sz w:val="20"/>
          <w:szCs w:val="20"/>
          <w:color w:val="auto"/>
        </w:rPr>
      </w:pPr>
    </w:p>
    <w:p>
      <w:pPr>
        <w:ind w:right="40" w:firstLine="648"/>
        <w:spacing w:after="0" w:line="261" w:lineRule="auto"/>
        <w:rPr>
          <w:sz w:val="20"/>
          <w:szCs w:val="20"/>
          <w:color w:val="auto"/>
        </w:rPr>
      </w:pPr>
      <w:r>
        <w:rPr>
          <w:rFonts w:ascii="Arial" w:cs="Arial" w:eastAsia="Arial" w:hAnsi="Arial"/>
          <w:sz w:val="16"/>
          <w:szCs w:val="16"/>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and acceptance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61" w:lineRule="exact"/>
        <w:rPr>
          <w:sz w:val="20"/>
          <w:szCs w:val="20"/>
          <w:color w:val="auto"/>
        </w:rPr>
      </w:pPr>
    </w:p>
    <w:p>
      <w:pPr>
        <w:ind w:right="280"/>
        <w:spacing w:after="0" w:line="228" w:lineRule="auto"/>
        <w:rPr>
          <w:sz w:val="20"/>
          <w:szCs w:val="20"/>
          <w:color w:val="auto"/>
        </w:rPr>
      </w:pPr>
      <w:r>
        <w:rPr>
          <w:rFonts w:ascii="Arial" w:cs="Arial" w:eastAsia="Arial" w:hAnsi="Arial"/>
          <w:sz w:val="18"/>
          <w:szCs w:val="18"/>
          <w:b w:val="1"/>
          <w:bCs w:val="1"/>
          <w:i w:val="1"/>
          <w:iCs w:val="1"/>
          <w:color w:val="auto"/>
        </w:rPr>
        <w:t>We are, and may become, subject to governmental regulations that may impose burdens on our operations, and the markets for our products may be narrowed.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648"/>
        <w:spacing w:after="0" w:line="237" w:lineRule="auto"/>
        <w:rPr>
          <w:sz w:val="20"/>
          <w:szCs w:val="20"/>
          <w:color w:val="auto"/>
        </w:rPr>
      </w:pPr>
      <w:r>
        <w:rPr>
          <w:rFonts w:ascii="Arial" w:cs="Arial" w:eastAsia="Arial" w:hAnsi="Arial"/>
          <w:sz w:val="17"/>
          <w:szCs w:val="17"/>
          <w:color w:val="auto"/>
        </w:rPr>
        <w:t>We are subject, both directly and indirectly, to the adverse impact of government regulation of our operations and markets. For example, export of our instruments may be subject to strict regulatory control in a number of jurisdictions. We have expanded and are continuing to expand the international jurisdictions into which we supply products, which increase the risks surrounding governmental regulations relating to our business. The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180"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6"/>
          <w:szCs w:val="16"/>
          <w:i w:val="1"/>
          <w:iCs w:val="1"/>
          <w:color w:val="auto"/>
        </w:rPr>
        <w:t>in</w:t>
      </w:r>
    </w:p>
    <w:p>
      <w:pPr>
        <w:spacing w:after="0" w:line="3"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i w:val="1"/>
          <w:iCs w:val="1"/>
          <w:color w:val="auto"/>
        </w:rPr>
        <w:t xml:space="preserve">vitro </w:t>
      </w:r>
      <w:r>
        <w:rPr>
          <w:rFonts w:ascii="Arial" w:cs="Arial" w:eastAsia="Arial" w:hAnsi="Arial"/>
          <w:sz w:val="18"/>
          <w:szCs w:val="18"/>
          <w:color w:val="auto"/>
        </w:rPr>
        <w:t>diagnostics would adversely impact our commercialization of products on which we have expended significant research and development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would in turn have a material adverse impact on our business and prospects.</w:t>
      </w:r>
    </w:p>
    <w:p>
      <w:pPr>
        <w:spacing w:after="0" w:line="176"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b w:val="1"/>
          <w:bCs w:val="1"/>
          <w:i w:val="1"/>
          <w:iCs w:val="1"/>
          <w:color w:val="auto"/>
        </w:rPr>
        <w:t>Our products could become subject to regulation by the U.S. Food and Drug Administration or other domestic and international regulatory agencies, which could increase our costs and impede or delay our commercialization efforts, thereby materially and adversely affecting our business and results of operations.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Our products are not currently subject to U.S. Food and Drug Administration (“FDA”) clearance or approval since they are not intended for use in the diagnosis or treatment of disease. However, in the future, certain of our products or related applications, such as those that may be developed for clinical uses, could be subject to FDA regulation, or the FDA’s regulatory jurisdiction could be expanded to include our products. Even where a product is exempted from FDA clearance or approval, the FDA may impose restrictions as to the types of customers to which we or our partners can market and sell our products. Such regulation and restrictions may materially and adversely affect our business, financial condition and results of operations.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166"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Many countries have laws and regulations that could affect our products, such as 510(k) clearances, premarket approvals or CE Mark requirements, and failure to adhere to applicable statutory or regulatory requirements by us or our business partners would have a material adverse effect on our operations and financial condition.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Any action brought against us for violations of these laws or regulations, even if successfully defended, could cause us to incur significant legal expenses and divert our management’s attention from the operation of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Doing business internationally creates operational and financial risks for our business.</w:t>
      </w:r>
    </w:p>
    <w:p>
      <w:pPr>
        <w:spacing w:after="0" w:line="198" w:lineRule="exact"/>
        <w:rPr>
          <w:sz w:val="20"/>
          <w:szCs w:val="20"/>
          <w:color w:val="auto"/>
        </w:rPr>
      </w:pPr>
    </w:p>
    <w:p>
      <w:pPr>
        <w:ind w:right="260" w:firstLine="648"/>
        <w:spacing w:after="0" w:line="235" w:lineRule="auto"/>
        <w:rPr>
          <w:sz w:val="20"/>
          <w:szCs w:val="20"/>
          <w:color w:val="auto"/>
        </w:rPr>
      </w:pPr>
      <w:r>
        <w:rPr>
          <w:rFonts w:ascii="Arial" w:cs="Arial" w:eastAsia="Arial" w:hAnsi="Arial"/>
          <w:sz w:val="17"/>
          <w:szCs w:val="17"/>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limits to travel as a result of COVID-19</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challenges in staffing and managing foreign operations;</w:t>
      </w:r>
    </w:p>
    <w:p>
      <w:pPr>
        <w:spacing w:after="0" w:line="63" w:lineRule="exact"/>
        <w:rPr>
          <w:sz w:val="20"/>
          <w:szCs w:val="20"/>
          <w:color w:val="auto"/>
        </w:rPr>
      </w:pPr>
    </w:p>
    <w:p>
      <w:pPr>
        <w:ind w:left="1100" w:right="40"/>
        <w:spacing w:after="0" w:line="246" w:lineRule="auto"/>
        <w:rPr>
          <w:sz w:val="20"/>
          <w:szCs w:val="20"/>
          <w:color w:val="auto"/>
        </w:rPr>
      </w:pPr>
      <w:r>
        <w:rPr>
          <w:rFonts w:ascii="Arial" w:cs="Arial" w:eastAsia="Arial" w:hAnsi="Arial"/>
          <w:sz w:val="18"/>
          <w:szCs w:val="18"/>
          <w:color w:val="auto"/>
        </w:rPr>
        <w:t>potentially longer sales cycles and more time required to engage and educate customers on the benefits of our platform outside of the United States;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potential need for localized software and documentation;</w:t>
      </w:r>
    </w:p>
    <w:p>
      <w:pPr>
        <w:spacing w:after="0" w:line="63" w:lineRule="exact"/>
        <w:rPr>
          <w:sz w:val="20"/>
          <w:szCs w:val="20"/>
          <w:color w:val="auto"/>
        </w:rPr>
      </w:pPr>
    </w:p>
    <w:p>
      <w:pPr>
        <w:ind w:left="1100" w:right="120"/>
        <w:spacing w:after="0" w:line="246" w:lineRule="auto"/>
        <w:rPr>
          <w:sz w:val="20"/>
          <w:szCs w:val="20"/>
          <w:color w:val="auto"/>
        </w:rPr>
      </w:pPr>
      <w:r>
        <w:rPr>
          <w:rFonts w:ascii="Arial" w:cs="Arial" w:eastAsia="Arial" w:hAnsi="Arial"/>
          <w:sz w:val="18"/>
          <w:szCs w:val="18"/>
          <w:color w:val="auto"/>
        </w:rPr>
        <w:t>reduced protection for intellectual property rights in some countries and practical difficulties of enforcing intellectual property and contract rights abroad;</w:t>
      </w:r>
    </w:p>
    <w:p>
      <w:pPr>
        <w:spacing w:after="0" w:line="35" w:lineRule="exact"/>
        <w:rPr>
          <w:sz w:val="20"/>
          <w:szCs w:val="20"/>
          <w:color w:val="auto"/>
        </w:rPr>
      </w:pPr>
    </w:p>
    <w:p>
      <w:pPr>
        <w:ind w:left="1100" w:right="60"/>
        <w:spacing w:after="0" w:line="246" w:lineRule="auto"/>
        <w:rPr>
          <w:sz w:val="20"/>
          <w:szCs w:val="20"/>
          <w:color w:val="auto"/>
        </w:rPr>
      </w:pPr>
      <w:r>
        <w:rPr>
          <w:rFonts w:ascii="Arial" w:cs="Arial" w:eastAsia="Arial" w:hAnsi="Arial"/>
          <w:sz w:val="18"/>
          <w:szCs w:val="18"/>
          <w:color w:val="auto"/>
        </w:rPr>
        <w:t>restriction on cross-border investment, including enhanced oversight by the Committee on Foreign Investment in the United States (CFIUS) and substantial restrictions on investment from China;</w:t>
      </w:r>
    </w:p>
    <w:p>
      <w:pPr>
        <w:spacing w:after="0" w:line="35" w:lineRule="exact"/>
        <w:rPr>
          <w:sz w:val="20"/>
          <w:szCs w:val="20"/>
          <w:color w:val="auto"/>
        </w:rPr>
      </w:pPr>
    </w:p>
    <w:p>
      <w:pPr>
        <w:ind w:left="1100" w:right="780"/>
        <w:spacing w:after="0" w:line="299" w:lineRule="auto"/>
        <w:rPr>
          <w:sz w:val="20"/>
          <w:szCs w:val="20"/>
          <w:color w:val="auto"/>
        </w:rPr>
      </w:pPr>
      <w:r>
        <w:rPr>
          <w:rFonts w:ascii="Arial" w:cs="Arial" w:eastAsia="Arial" w:hAnsi="Arial"/>
          <w:sz w:val="16"/>
          <w:szCs w:val="16"/>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1" w:lineRule="exact"/>
        <w:rPr>
          <w:sz w:val="20"/>
          <w:szCs w:val="20"/>
          <w:color w:val="auto"/>
        </w:rPr>
      </w:pPr>
    </w:p>
    <w:p>
      <w:pPr>
        <w:ind w:left="1100" w:right="380"/>
        <w:spacing w:after="0" w:line="246" w:lineRule="auto"/>
        <w:rPr>
          <w:sz w:val="20"/>
          <w:szCs w:val="20"/>
          <w:color w:val="auto"/>
        </w:rPr>
      </w:pPr>
      <w:r>
        <w:rPr>
          <w:rFonts w:ascii="Arial" w:cs="Arial" w:eastAsia="Arial" w:hAnsi="Arial"/>
          <w:sz w:val="18"/>
          <w:szCs w:val="18"/>
          <w:color w:val="auto"/>
        </w:rPr>
        <w:t>changes in diplomatic and trade relationships, including new tariffs, trade protection measures, import or export licensing requirements, trade embargoes and other trade barriers;</w:t>
      </w:r>
    </w:p>
    <w:p>
      <w:pPr>
        <w:spacing w:after="0" w:line="35" w:lineRule="exact"/>
        <w:rPr>
          <w:sz w:val="20"/>
          <w:szCs w:val="20"/>
          <w:color w:val="auto"/>
        </w:rPr>
      </w:pPr>
    </w:p>
    <w:p>
      <w:pPr>
        <w:ind w:left="1100" w:right="100"/>
        <w:spacing w:after="0" w:line="231" w:lineRule="auto"/>
        <w:rPr>
          <w:sz w:val="20"/>
          <w:szCs w:val="20"/>
          <w:color w:val="auto"/>
        </w:rPr>
      </w:pPr>
      <w:r>
        <w:rPr>
          <w:rFonts w:ascii="Arial" w:cs="Arial" w:eastAsia="Arial" w:hAnsi="Arial"/>
          <w:sz w:val="18"/>
          <w:szCs w:val="18"/>
          <w:color w:val="auto"/>
        </w:rPr>
        <w:t>tariffs imposed by the U.S. on goods from other countries and tariffs imposed by other countries on U.S. goods, including the tariffs by the U.S. government on various imports from China, Canada, Mexico and the EU and by the governments of these jurisdictions on certain U.S. goods, and any other possible tariffs that may be imposed on products such as ours, the scope and duration of which, if implemented, remains uncertain;</w:t>
      </w:r>
    </w:p>
    <w:p>
      <w:pPr>
        <w:spacing w:after="0" w:line="40" w:lineRule="exact"/>
        <w:rPr>
          <w:sz w:val="20"/>
          <w:szCs w:val="20"/>
          <w:color w:val="auto"/>
        </w:rPr>
      </w:pPr>
    </w:p>
    <w:p>
      <w:pPr>
        <w:ind w:left="1100" w:right="100"/>
        <w:spacing w:after="0" w:line="246" w:lineRule="auto"/>
        <w:rPr>
          <w:sz w:val="20"/>
          <w:szCs w:val="20"/>
          <w:color w:val="auto"/>
        </w:rPr>
      </w:pPr>
      <w:r>
        <w:rPr>
          <w:rFonts w:ascii="Arial" w:cs="Arial" w:eastAsia="Arial" w:hAnsi="Arial"/>
          <w:sz w:val="18"/>
          <w:szCs w:val="18"/>
          <w:color w:val="auto"/>
        </w:rPr>
        <w:t>deterioration of political relations between the U.S. and China, Canada, the U.K. and the EU, which could have a material adverse effect on our sales and operations in these countries;</w:t>
      </w:r>
    </w:p>
    <w:p>
      <w:pPr>
        <w:spacing w:after="0" w:line="35" w:lineRule="exact"/>
        <w:rPr>
          <w:sz w:val="20"/>
          <w:szCs w:val="20"/>
          <w:color w:val="auto"/>
        </w:rPr>
      </w:pPr>
    </w:p>
    <w:p>
      <w:pPr>
        <w:ind w:left="1100" w:right="120"/>
        <w:spacing w:after="0" w:line="235" w:lineRule="auto"/>
        <w:rPr>
          <w:sz w:val="20"/>
          <w:szCs w:val="20"/>
          <w:color w:val="auto"/>
        </w:rPr>
      </w:pPr>
      <w:r>
        <w:rPr>
          <w:rFonts w:ascii="Arial" w:cs="Arial" w:eastAsia="Arial" w:hAnsi="Arial"/>
          <w:sz w:val="18"/>
          <w:szCs w:val="18"/>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United Kingdom from the European Union;</w:t>
      </w:r>
    </w:p>
    <w:p>
      <w:pPr>
        <w:spacing w:after="0" w:line="40" w:lineRule="exact"/>
        <w:rPr>
          <w:sz w:val="20"/>
          <w:szCs w:val="20"/>
          <w:color w:val="auto"/>
        </w:rPr>
      </w:pPr>
    </w:p>
    <w:p>
      <w:pPr>
        <w:ind w:left="1100" w:right="1440"/>
        <w:spacing w:after="0" w:line="313" w:lineRule="auto"/>
        <w:rPr>
          <w:sz w:val="20"/>
          <w:szCs w:val="20"/>
          <w:color w:val="auto"/>
        </w:rPr>
      </w:pPr>
      <w:r>
        <w:rPr>
          <w:rFonts w:ascii="Arial" w:cs="Arial" w:eastAsia="Arial" w:hAnsi="Arial"/>
          <w:sz w:val="18"/>
          <w:szCs w:val="18"/>
          <w:color w:val="auto"/>
        </w:rPr>
        <w:t>difficulties in obtaining export licenses or in overcoming other trade barriers and restrictions resulting in delivery delays; fluctuations in currency exchange rates and the related effect on our results of operations; increased financial accounting and reporting burdens and complexities;</w:t>
      </w:r>
    </w:p>
    <w:p>
      <w:pPr>
        <w:ind w:left="1100"/>
        <w:spacing w:after="0"/>
        <w:rPr>
          <w:sz w:val="20"/>
          <w:szCs w:val="20"/>
          <w:color w:val="auto"/>
        </w:rPr>
      </w:pPr>
      <w:r>
        <w:rPr>
          <w:rFonts w:ascii="Arial" w:cs="Arial" w:eastAsia="Arial" w:hAnsi="Arial"/>
          <w:sz w:val="18"/>
          <w:szCs w:val="18"/>
          <w:color w:val="auto"/>
        </w:rPr>
        <w:t>disruptions to global trade due to disease outbreaks;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potential increases on tariffs or restrictions on trade generally; and</w:t>
      </w:r>
    </w:p>
    <w:p>
      <w:pPr>
        <w:spacing w:after="0" w:line="63" w:lineRule="exact"/>
        <w:rPr>
          <w:sz w:val="20"/>
          <w:szCs w:val="20"/>
          <w:color w:val="auto"/>
        </w:rPr>
      </w:pPr>
    </w:p>
    <w:p>
      <w:pPr>
        <w:ind w:left="1100" w:right="20"/>
        <w:spacing w:after="0" w:line="307" w:lineRule="auto"/>
        <w:rPr>
          <w:sz w:val="20"/>
          <w:szCs w:val="20"/>
          <w:color w:val="auto"/>
        </w:rPr>
      </w:pPr>
      <w:r>
        <w:rPr>
          <w:rFonts w:ascii="Arial" w:cs="Arial" w:eastAsia="Arial" w:hAnsi="Arial"/>
          <w:sz w:val="16"/>
          <w:szCs w:val="16"/>
          <w:color w:val="auto"/>
        </w:rPr>
        <w:t>significant taxes or other burdens of complying with a variety of foreign laws and regulations, including laws and regulations relating to privacy and data protection such as the EU General Data Protection Regulation (“GDPR”) which took effect in the European Union in 2018.</w:t>
      </w:r>
    </w:p>
    <w:p>
      <w:pPr>
        <w:spacing w:after="0" w:line="96"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176" w:lineRule="exact"/>
        <w:rPr>
          <w:sz w:val="20"/>
          <w:szCs w:val="20"/>
          <w:color w:val="auto"/>
        </w:rPr>
      </w:pPr>
    </w:p>
    <w:p>
      <w:pPr>
        <w:ind w:right="40" w:firstLine="648"/>
        <w:spacing w:after="0" w:line="225" w:lineRule="auto"/>
        <w:rPr>
          <w:sz w:val="20"/>
          <w:szCs w:val="20"/>
          <w:color w:val="auto"/>
        </w:rPr>
      </w:pPr>
      <w:r>
        <w:rPr>
          <w:rFonts w:ascii="Arial" w:cs="Arial" w:eastAsia="Arial" w:hAnsi="Arial"/>
          <w:sz w:val="18"/>
          <w:szCs w:val="18"/>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17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6"/>
          <w:szCs w:val="16"/>
          <w:color w:val="auto"/>
        </w:rPr>
        <w:t>Moreover, changes in the value of the relevant currencies may affect the cost of certain items required in our operations. Changes in currency exchange rates may also affect the relative prices at which we are able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165" w:lineRule="exact"/>
        <w:rPr>
          <w:sz w:val="20"/>
          <w:szCs w:val="20"/>
          <w:color w:val="auto"/>
        </w:rPr>
      </w:pPr>
    </w:p>
    <w:p>
      <w:pPr>
        <w:ind w:right="140" w:firstLine="648"/>
        <w:spacing w:after="0" w:line="242"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Enhanced trade tariffs, import restrictions, export restrictions, Chinese regulations or other trade barriers may materially harm our business.</w:t>
      </w:r>
    </w:p>
    <w:p>
      <w:pPr>
        <w:spacing w:after="0" w:line="221"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We are continuing to expand our international operations as part of our growth strategy and have experienced an increasing concentration of sales in certain regions outside the U.S., especially the Asia-Pacific region. There is currently significant uncertainty about the future relationship between the United States and various other countries, most significantly China, with respect to trade policies, treaties, government regulations and tariffs. The current U.S. presidential administration has called for substantial changes to U.S. foreign trade policy with respect to China and other countries, including the possibility of imposing greater restrictions on international trade and significant increases in tariffs on goods imported into the United States. Starting September 2018, the U.S. Trade Representative (the “USTR”) has enacted various tariffs of 7.5%, 10%, 15% and 25% on the import of Chinese products, including non-U.S. components and materials that may be used in our products. Additionally, China has also imposed tariffs on imports into China from the United States. These tariffs could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 Further,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spacing w:after="0" w:line="175" w:lineRule="exact"/>
        <w:rPr>
          <w:sz w:val="20"/>
          <w:szCs w:val="20"/>
          <w:color w:val="auto"/>
        </w:rPr>
      </w:pPr>
    </w:p>
    <w:p>
      <w:pPr>
        <w:ind w:right="360" w:firstLine="648"/>
        <w:spacing w:after="0" w:line="231" w:lineRule="auto"/>
        <w:rPr>
          <w:sz w:val="20"/>
          <w:szCs w:val="20"/>
          <w:color w:val="auto"/>
        </w:rPr>
      </w:pPr>
      <w:r>
        <w:rPr>
          <w:rFonts w:ascii="Arial" w:cs="Arial" w:eastAsia="Arial" w:hAnsi="Arial"/>
          <w:sz w:val="18"/>
          <w:szCs w:val="18"/>
          <w:color w:val="auto"/>
        </w:rPr>
        <w:t>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Therefore, it is possible that our ability to export our products may be restricted in the future.</w:t>
      </w:r>
    </w:p>
    <w:p>
      <w:pPr>
        <w:spacing w:after="0" w:line="175" w:lineRule="exact"/>
        <w:rPr>
          <w:sz w:val="20"/>
          <w:szCs w:val="20"/>
          <w:color w:val="auto"/>
        </w:rPr>
      </w:pPr>
    </w:p>
    <w:p>
      <w:pPr>
        <w:jc w:val="both"/>
        <w:ind w:right="60" w:firstLine="648"/>
        <w:spacing w:after="0" w:line="235" w:lineRule="auto"/>
        <w:rPr>
          <w:sz w:val="20"/>
          <w:szCs w:val="20"/>
          <w:color w:val="auto"/>
        </w:rPr>
      </w:pPr>
      <w:r>
        <w:rPr>
          <w:rFonts w:ascii="Arial" w:cs="Arial" w:eastAsia="Arial" w:hAnsi="Arial"/>
          <w:sz w:val="18"/>
          <w:szCs w:val="18"/>
          <w:color w:val="auto"/>
        </w:rPr>
        <w:t>Finally, in April 2020, BIS expanded its controls on the export, reexport, and transfer of certain items for military end-use or to military end-users in China, Russia, and Venezuela. These expanded controls could impact our ability to sell our products to certain end-users in these countries, most notably China.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changes in the United States political environment.</w:t>
      </w:r>
    </w:p>
    <w:p>
      <w:pPr>
        <w:spacing w:after="0" w:line="198" w:lineRule="exact"/>
        <w:rPr>
          <w:sz w:val="20"/>
          <w:szCs w:val="20"/>
          <w:color w:val="auto"/>
        </w:rPr>
      </w:pPr>
    </w:p>
    <w:p>
      <w:pPr>
        <w:ind w:right="180" w:firstLine="648"/>
        <w:spacing w:after="0" w:line="228" w:lineRule="auto"/>
        <w:rPr>
          <w:sz w:val="20"/>
          <w:szCs w:val="20"/>
          <w:color w:val="auto"/>
        </w:rPr>
      </w:pPr>
      <w:r>
        <w:rPr>
          <w:rFonts w:ascii="Arial" w:cs="Arial" w:eastAsia="Arial" w:hAnsi="Arial"/>
          <w:sz w:val="18"/>
          <w:szCs w:val="18"/>
          <w:color w:val="auto"/>
        </w:rPr>
        <w:t>There is significant ongoing uncertainty with respect to potential legislation, regulation and government policy at the federal level, as well as the state and local levels, such as during this presidential election year. Any such changes could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61"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b w:val="1"/>
          <w:bCs w:val="1"/>
          <w:i w:val="1"/>
          <w:iCs w:val="1"/>
          <w:color w:val="auto"/>
        </w:rPr>
        <w:t>Our sales cycle is unpredictable and lengthy, which makes it difficult to forecast revenue and may increase the magnitude of quarterly or annual fluctuations in our operating results.</w:t>
      </w:r>
    </w:p>
    <w:p>
      <w:pPr>
        <w:spacing w:after="0" w:line="170"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sales cycle for our sequencing instruments is lengthy because they represent a major capital expenditure and generally require the approval of our customers’ senior management. This may contribute to substantial fluctuations in our quarterly or annual operating results, particularly during the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changes or trends in new technologies and industry standards; and the impact of COVID-19.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revenue and results of operations.</w:t>
      </w:r>
    </w:p>
    <w:p>
      <w:pPr>
        <w:spacing w:after="0" w:line="198"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We operate on a December 31st year-end and believe that there are significant seasonal factors which may cause sales of our products, and particularly our sequencing instruments, to vary on a quarterly or yearly basis, contribute to the lengthy sales cycle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cycles often coincide with government fiscal year ends. For example, the U.S. government’s fiscal year-end occurs in our third quarter and may result in increased sales of our products during this quarter if government-funded customers have unused funds that may be forfeit, or future budgets that may be reduced, if such funds remain unspent at such fiscal year-end. Furthermore, celebrations of the Lunar New Year, which occurs during our first quarter, may last for a week or longer, during which time many of our customers’ offices in China and elsewhere in the Asia-Pacific region may be closed due to the holiday, and have in the past caused, and may in the future cause, decreased sales of our consumables during such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become in the future, more, or less pronounced over time, and have in the past materially affected, and may in the future materially affect, our business, financial condition, results of operations and prospects.</w:t>
      </w:r>
    </w:p>
    <w:p>
      <w:pPr>
        <w:spacing w:after="0" w:line="168" w:lineRule="exact"/>
        <w:rPr>
          <w:sz w:val="20"/>
          <w:szCs w:val="20"/>
          <w:color w:val="auto"/>
        </w:rPr>
      </w:pPr>
    </w:p>
    <w:p>
      <w:pPr>
        <w:ind w:right="440"/>
        <w:spacing w:after="0" w:line="228" w:lineRule="auto"/>
        <w:rPr>
          <w:sz w:val="20"/>
          <w:szCs w:val="20"/>
          <w:color w:val="auto"/>
        </w:rPr>
      </w:pPr>
      <w:r>
        <w:rPr>
          <w:rFonts w:ascii="Arial" w:cs="Arial" w:eastAsia="Arial" w:hAnsi="Arial"/>
          <w:sz w:val="18"/>
          <w:szCs w:val="18"/>
          <w:b w:val="1"/>
          <w:bCs w:val="1"/>
          <w:i w:val="1"/>
          <w:iCs w:val="1"/>
          <w:color w:val="auto"/>
        </w:rPr>
        <w:t>If we fail to comply with healthcare and other governmental laws and regulations, we could face substantial penalties and our business, results of operations and financial condition could be adversely affected.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firstLine="440"/>
        <w:spacing w:after="0"/>
        <w:rPr>
          <w:sz w:val="20"/>
          <w:szCs w:val="20"/>
          <w:color w:val="auto"/>
        </w:rPr>
      </w:pPr>
      <w:r>
        <w:rPr>
          <w:rFonts w:ascii="Arial" w:cs="Arial" w:eastAsia="Arial" w:hAnsi="Arial"/>
          <w:sz w:val="17"/>
          <w:szCs w:val="17"/>
          <w:color w:val="auto"/>
        </w:rPr>
        <w:t>The products that we may develop for clinical uses may be highly regulated, and there can be no assurance that the regulatory environment in which we would operate will not change significantly and adversely in the future. Any arrangements with physicians, hospitals and clinics may expose us to broadly applicable fraud and abuse and other laws and regulations that may restrict the financial arrangements and relationships through which we market, sell and distribute our products and services. Our employees, consultants, and commercial partners may engage in misconduct or other improper activities, including non-compliance with regulatory standards and requirements. Federal and state healthcare and other laws and regulations that may affect our ability to conduct business, include, without limitation:</w:t>
      </w:r>
    </w:p>
    <w:p>
      <w:pPr>
        <w:spacing w:after="0" w:line="42" w:lineRule="exact"/>
        <w:rPr>
          <w:sz w:val="20"/>
          <w:szCs w:val="20"/>
          <w:color w:val="auto"/>
        </w:rPr>
      </w:pPr>
    </w:p>
    <w:p>
      <w:pPr>
        <w:ind w:left="1100"/>
        <w:spacing w:after="0" w:line="246" w:lineRule="auto"/>
        <w:rPr>
          <w:sz w:val="20"/>
          <w:szCs w:val="20"/>
          <w:color w:val="auto"/>
        </w:rPr>
      </w:pPr>
      <w:r>
        <w:rPr>
          <w:rFonts w:ascii="Arial" w:cs="Arial" w:eastAsia="Arial" w:hAnsi="Arial"/>
          <w:sz w:val="18"/>
          <w:szCs w:val="18"/>
          <w:color w:val="auto"/>
        </w:rPr>
        <w:t>federal and state laws and regulations regarding billing and claims payment applicable to products that we may develop for clinical uses, and regulatory agencies enforcing those laws and regulations;</w:t>
      </w:r>
    </w:p>
    <w:p>
      <w:pPr>
        <w:spacing w:after="0" w:line="35" w:lineRule="exact"/>
        <w:rPr>
          <w:sz w:val="20"/>
          <w:szCs w:val="20"/>
          <w:color w:val="auto"/>
        </w:rPr>
      </w:pPr>
    </w:p>
    <w:p>
      <w:pPr>
        <w:jc w:val="both"/>
        <w:ind w:left="1100" w:right="540"/>
        <w:spacing w:after="0" w:line="276" w:lineRule="auto"/>
        <w:rPr>
          <w:sz w:val="20"/>
          <w:szCs w:val="20"/>
          <w:color w:val="auto"/>
        </w:rPr>
      </w:pPr>
      <w:r>
        <w:rPr>
          <w:rFonts w:ascii="Arial" w:cs="Arial" w:eastAsia="Arial" w:hAnsi="Arial"/>
          <w:sz w:val="16"/>
          <w:szCs w:val="16"/>
          <w:color w:val="auto"/>
        </w:rPr>
        <w:t>the federal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w:t>
      </w:r>
    </w:p>
    <w:p>
      <w:pPr>
        <w:spacing w:after="0" w:line="13" w:lineRule="exact"/>
        <w:rPr>
          <w:sz w:val="20"/>
          <w:szCs w:val="20"/>
          <w:color w:val="auto"/>
        </w:rPr>
      </w:pPr>
    </w:p>
    <w:p>
      <w:pPr>
        <w:ind w:left="1100" w:right="520"/>
        <w:spacing w:after="0" w:line="274" w:lineRule="auto"/>
        <w:rPr>
          <w:sz w:val="20"/>
          <w:szCs w:val="20"/>
          <w:color w:val="auto"/>
        </w:rPr>
      </w:pPr>
      <w:r>
        <w:rPr>
          <w:rFonts w:ascii="Arial" w:cs="Arial" w:eastAsia="Arial" w:hAnsi="Arial"/>
          <w:sz w:val="17"/>
          <w:szCs w:val="17"/>
          <w:color w:val="auto"/>
        </w:rPr>
        <w:t>the federal False Claims Act, which prohibits, among other things, individuals or entities from knowingly presenting, or causing to be presented, false claims, or knowingly using false statements, to obtain payment from the federal government;</w:t>
      </w:r>
    </w:p>
    <w:p>
      <w:pPr>
        <w:spacing w:after="0" w:line="13" w:lineRule="exact"/>
        <w:rPr>
          <w:sz w:val="20"/>
          <w:szCs w:val="20"/>
          <w:color w:val="auto"/>
        </w:rPr>
      </w:pPr>
    </w:p>
    <w:p>
      <w:pPr>
        <w:ind w:left="1100" w:right="420"/>
        <w:spacing w:after="0" w:line="246" w:lineRule="auto"/>
        <w:rPr>
          <w:sz w:val="20"/>
          <w:szCs w:val="20"/>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FCPA, the U.K. Bribery Act of 2010, and other local anti-corruption laws that apply to our international activities;</w:t>
      </w:r>
    </w:p>
    <w:p>
      <w:pPr>
        <w:spacing w:after="0" w:line="63" w:lineRule="exact"/>
        <w:rPr>
          <w:sz w:val="20"/>
          <w:szCs w:val="20"/>
          <w:color w:val="auto"/>
        </w:rPr>
      </w:pPr>
    </w:p>
    <w:p>
      <w:pPr>
        <w:ind w:left="1100" w:right="180"/>
        <w:spacing w:after="0" w:line="242" w:lineRule="auto"/>
        <w:rPr>
          <w:sz w:val="20"/>
          <w:szCs w:val="20"/>
          <w:color w:val="auto"/>
        </w:rPr>
      </w:pPr>
      <w:r>
        <w:rPr>
          <w:rFonts w:ascii="Arial" w:cs="Arial" w:eastAsia="Arial" w:hAnsi="Arial"/>
          <w:sz w:val="17"/>
          <w:szCs w:val="17"/>
          <w:color w:val="auto"/>
        </w:rPr>
        <w:t>the federal Physician Payment Sunshine Act, or Open Payments, created under the Affordable Care Act, and its implementing regulations, which requires manufacturers of drugs, medical devices, biologicals and medical supplies for which payment is available under Medicare, Medicaid, or the Children’s Health Insurance Program to report annually to the U.S. Department of Health and Human Services, or HHS, information related to payments or other transfers of value made to licensed physicians and teaching hospitals, as well as ownership and investment interests held by physicians and their immediate family members;</w:t>
      </w:r>
    </w:p>
    <w:p>
      <w:pPr>
        <w:spacing w:after="0" w:line="40" w:lineRule="exact"/>
        <w:rPr>
          <w:sz w:val="20"/>
          <w:szCs w:val="20"/>
          <w:color w:val="auto"/>
        </w:rPr>
      </w:pPr>
    </w:p>
    <w:p>
      <w:pPr>
        <w:ind w:left="1100" w:right="20"/>
        <w:spacing w:after="0" w:line="235" w:lineRule="auto"/>
        <w:rPr>
          <w:sz w:val="20"/>
          <w:szCs w:val="20"/>
          <w:color w:val="auto"/>
        </w:rPr>
      </w:pPr>
      <w:r>
        <w:rPr>
          <w:rFonts w:ascii="Arial" w:cs="Arial" w:eastAsia="Arial" w:hAnsi="Arial"/>
          <w:sz w:val="17"/>
          <w:szCs w:val="17"/>
          <w:color w:val="auto"/>
        </w:rPr>
        <w:t>the Health Insurance Portability and Accountability Act (“HIPAA”), as amended by the Health Information Technology for Economic and Clinical Health Act, and its implementing regulations, and other laws and regulations relating to privacy and data protection including the European Union’s GDPR, which impose certain requirements relating to the privacy, security and transmission of individually identifiable health information; HIPAA also created criminal liability for knowingly and willfully falsifying or concealing a material fact or making a materially false statement in connection with the delivery of or payment for healthcare benefits, items or services; additionally, California has enacted the California Consumer Privacy Act (“CCPA”), which requires enhanced disclosures related to California residents regarding the use or disclosure of their personal information, allows California residents to opt-out of certain uses and disclosures of their personal information without penalty, provides Californians with other choices related to personal data in our possession, and requires obtaining opt-in consent before engaging in certain uses of personal information relating to Californians under the age of 16. The California Attorney General may, once enforcement commences on July 1, 2020, seek substantial monetary penalties and injunctive relief in the event of non-compliance with the CCPA after it became operative on January 1, 2020. The CCPA also allows for private lawsuits from Californians in the event of certain data breaches. Certain aspects of the CCPA and its interpretation remain uncertain, and we may need to modify our policies or practices in an effort to comply with it;</w:t>
      </w:r>
    </w:p>
    <w:p>
      <w:pPr>
        <w:spacing w:after="0" w:line="5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federal physician self-referral prohibition, commonly known as the Stark Law; and</w:t>
      </w:r>
    </w:p>
    <w:p>
      <w:pPr>
        <w:spacing w:after="0" w:line="63" w:lineRule="exact"/>
        <w:rPr>
          <w:sz w:val="20"/>
          <w:szCs w:val="20"/>
          <w:color w:val="auto"/>
        </w:rPr>
      </w:pPr>
    </w:p>
    <w:p>
      <w:pPr>
        <w:ind w:left="1100" w:right="60"/>
        <w:spacing w:after="0" w:line="231" w:lineRule="auto"/>
        <w:rPr>
          <w:sz w:val="20"/>
          <w:szCs w:val="20"/>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48" w:lineRule="exact"/>
        <w:rPr>
          <w:sz w:val="20"/>
          <w:szCs w:val="20"/>
          <w:color w:val="auto"/>
        </w:rPr>
      </w:pPr>
    </w:p>
    <w:p>
      <w:pPr>
        <w:ind w:right="100" w:firstLine="440"/>
        <w:spacing w:after="0" w:line="223"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or Affordable Care Act, was enacted in 2010. The Affordable Care Act, among other things, amends the intent requirement of the federal Anti-Kickback Statute and criminal healthcare fraud statutes. A person or entity no longer needs to have actual knowledge of this statute or specific intent to violate it. In addition, the Affordable Care Act provides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1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that the government may assert that a claim including items or services resulting from a violation of the federal Anti-Kickback Statute constitutes a false or fraudulent claim for purposes of the False Claims Act.</w:t>
      </w:r>
    </w:p>
    <w:p>
      <w:pPr>
        <w:spacing w:after="0" w:line="62" w:lineRule="exact"/>
        <w:rPr>
          <w:sz w:val="20"/>
          <w:szCs w:val="20"/>
          <w:color w:val="auto"/>
        </w:rPr>
      </w:pPr>
    </w:p>
    <w:p>
      <w:pPr>
        <w:ind w:right="160" w:firstLine="440"/>
        <w:spacing w:after="0" w:line="242"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it is possible that some of our activities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 with potential liability under the federal False Claims Act including mandatory treble damages and significant per-claim penalties.</w:t>
      </w:r>
    </w:p>
    <w:p>
      <w:pPr>
        <w:spacing w:after="0" w:line="67" w:lineRule="exact"/>
        <w:rPr>
          <w:sz w:val="20"/>
          <w:szCs w:val="20"/>
          <w:color w:val="auto"/>
        </w:rPr>
      </w:pPr>
    </w:p>
    <w:p>
      <w:pPr>
        <w:ind w:firstLine="440"/>
        <w:spacing w:after="0" w:line="237" w:lineRule="auto"/>
        <w:rPr>
          <w:sz w:val="20"/>
          <w:szCs w:val="20"/>
          <w:color w:val="auto"/>
        </w:rPr>
      </w:pPr>
      <w:r>
        <w:rPr>
          <w:rFonts w:ascii="Arial" w:cs="Arial" w:eastAsia="Arial" w:hAnsi="Arial"/>
          <w:sz w:val="17"/>
          <w:szCs w:val="17"/>
          <w:color w:val="auto"/>
        </w:rPr>
        <w:t>The growth of our business and sales organization and our expansion outside of the United States may increase the potential of violating these laws.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for individuals, exclusion from participation in government programs, such as Medicare and Medicaid, and we could be required to curtail or cease certain of our operations. Any of the foregoing consequences could seriously harm our business and our financial results.</w:t>
      </w:r>
    </w:p>
    <w:p>
      <w:pPr>
        <w:spacing w:after="0" w:line="18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170" w:lineRule="exact"/>
        <w:rPr>
          <w:sz w:val="20"/>
          <w:szCs w:val="20"/>
          <w:color w:val="auto"/>
        </w:rPr>
      </w:pPr>
    </w:p>
    <w:p>
      <w:pPr>
        <w:ind w:right="100" w:firstLine="648"/>
        <w:spacing w:after="0" w:line="228"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178" w:lineRule="exact"/>
        <w:rPr>
          <w:sz w:val="20"/>
          <w:szCs w:val="20"/>
          <w:color w:val="auto"/>
        </w:rPr>
      </w:pPr>
    </w:p>
    <w:p>
      <w:pPr>
        <w:ind w:right="20" w:firstLine="648"/>
        <w:spacing w:after="0" w:line="25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or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63" w:lineRule="exact"/>
        <w:rPr>
          <w:sz w:val="20"/>
          <w:szCs w:val="20"/>
          <w:color w:val="auto"/>
        </w:rPr>
      </w:pPr>
    </w:p>
    <w:p>
      <w:pPr>
        <w:ind w:right="80" w:firstLine="648"/>
        <w:spacing w:after="0" w:line="242" w:lineRule="auto"/>
        <w:rPr>
          <w:sz w:val="20"/>
          <w:szCs w:val="20"/>
          <w:color w:val="auto"/>
        </w:rPr>
      </w:pPr>
      <w:r>
        <w:rPr>
          <w:rFonts w:ascii="Arial" w:cs="Arial" w:eastAsia="Arial" w:hAnsi="Arial"/>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170" w:lineRule="exact"/>
        <w:rPr>
          <w:sz w:val="20"/>
          <w:szCs w:val="20"/>
          <w:color w:val="auto"/>
        </w:rPr>
      </w:pPr>
    </w:p>
    <w:p>
      <w:pPr>
        <w:ind w:right="40" w:firstLine="648"/>
        <w:spacing w:after="0" w:line="235" w:lineRule="auto"/>
        <w:rPr>
          <w:sz w:val="20"/>
          <w:szCs w:val="20"/>
          <w:color w:val="auto"/>
        </w:rPr>
      </w:pPr>
      <w:r>
        <w:rPr>
          <w:rFonts w:ascii="Arial" w:cs="Arial" w:eastAsia="Arial" w:hAnsi="Arial"/>
          <w:sz w:val="17"/>
          <w:szCs w:val="17"/>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enacted on December 22, 2017 have materially impacted the value of our deferred tax assets and liabilities, and could adversely affect our future taxable income and effective tax rate.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170"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6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70"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7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Ethical, legal, privacy and social concerns or governmental restrictions surrounding the use of genetic information could reduce demand for our technology.</w:t>
      </w:r>
    </w:p>
    <w:p>
      <w:pPr>
        <w:spacing w:after="0" w:line="170" w:lineRule="exact"/>
        <w:rPr>
          <w:sz w:val="20"/>
          <w:szCs w:val="20"/>
          <w:color w:val="auto"/>
        </w:rPr>
      </w:pPr>
    </w:p>
    <w:p>
      <w:pPr>
        <w:ind w:right="20" w:firstLine="648"/>
        <w:spacing w:after="0" w:line="261" w:lineRule="auto"/>
        <w:rPr>
          <w:sz w:val="20"/>
          <w:szCs w:val="20"/>
          <w:color w:val="auto"/>
        </w:rPr>
      </w:pPr>
      <w:r>
        <w:rPr>
          <w:rFonts w:ascii="Arial" w:cs="Arial" w:eastAsia="Arial" w:hAnsi="Arial"/>
          <w:sz w:val="16"/>
          <w:szCs w:val="16"/>
          <w:color w:val="auto"/>
        </w:rPr>
        <w:t>Our products may be used to provide genetic information about humans, agricultural crops and other living organisms. The information obtained from our products could be used in a variety of applications which may have underlying ethical, legal, privacy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Such concerns or governmental restrictions could limit the use of our products, which could have a material adverse effect on our business, financial condition and results of operations.</w:t>
      </w:r>
    </w:p>
    <w:p>
      <w:pPr>
        <w:spacing w:after="0" w:line="16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Disruption of critical information technology systems or material breaches in the security of our systems could harm our business, customer relations and financial condition.</w:t>
      </w:r>
    </w:p>
    <w:p>
      <w:pPr>
        <w:spacing w:after="0" w:line="170" w:lineRule="exact"/>
        <w:rPr>
          <w:sz w:val="20"/>
          <w:szCs w:val="20"/>
          <w:color w:val="auto"/>
        </w:rPr>
      </w:pPr>
    </w:p>
    <w:p>
      <w:pPr>
        <w:ind w:right="20" w:firstLine="648"/>
        <w:spacing w:after="0" w:line="234" w:lineRule="auto"/>
        <w:rPr>
          <w:sz w:val="20"/>
          <w:szCs w:val="20"/>
          <w:color w:val="auto"/>
        </w:rPr>
      </w:pPr>
      <w:r>
        <w:rPr>
          <w:rFonts w:ascii="Arial" w:cs="Arial" w:eastAsia="Arial" w:hAnsi="Arial"/>
          <w:sz w:val="17"/>
          <w:szCs w:val="17"/>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IT systems may be vulnerable to damage from a variety of sources, including telecommunications or network failures, power loss, natural disasters, human acts, computer viruses, computer denial-of-service attacks, unauthorized access to customer or employee data or company trade secrets, and other attempts to harm our systems.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648"/>
        <w:spacing w:after="0" w:line="258" w:lineRule="auto"/>
        <w:rPr>
          <w:sz w:val="20"/>
          <w:szCs w:val="20"/>
          <w:color w:val="auto"/>
        </w:rPr>
      </w:pPr>
      <w:r>
        <w:rPr>
          <w:rFonts w:ascii="Arial" w:cs="Arial" w:eastAsia="Arial" w:hAnsi="Arial"/>
          <w:sz w:val="16"/>
          <w:szCs w:val="16"/>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16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unauthorized access attempts, and cyber- or phishing-attacks, or breached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We and our third-party service providers may face difficulties in identifying, or promptly responding to, potential security breaches and other instances of unauthorized access to, or disclosure or other loss of, information.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w:t>
      </w:r>
    </w:p>
    <w:p>
      <w:pPr>
        <w:spacing w:after="0" w:line="18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that require us to conduct diligence, and report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Reputational harm could materially and adversely affect our business,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170" w:lineRule="exact"/>
        <w:rPr>
          <w:sz w:val="20"/>
          <w:szCs w:val="20"/>
          <w:color w:val="auto"/>
        </w:rPr>
      </w:pPr>
    </w:p>
    <w:p>
      <w:pPr>
        <w:ind w:right="200" w:firstLine="648"/>
        <w:spacing w:after="0" w:line="256" w:lineRule="auto"/>
        <w:rPr>
          <w:sz w:val="20"/>
          <w:szCs w:val="20"/>
          <w:color w:val="auto"/>
        </w:rPr>
      </w:pPr>
      <w:r>
        <w:rPr>
          <w:rFonts w:ascii="Arial" w:cs="Arial" w:eastAsia="Arial" w:hAnsi="Arial"/>
          <w:sz w:val="16"/>
          <w:szCs w:val="16"/>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right="580"/>
        <w:spacing w:after="0" w:line="246" w:lineRule="auto"/>
        <w:rPr>
          <w:sz w:val="20"/>
          <w:szCs w:val="20"/>
          <w:color w:val="auto"/>
        </w:rPr>
      </w:pPr>
      <w:r>
        <w:rPr>
          <w:rFonts w:ascii="Arial" w:cs="Arial" w:eastAsia="Arial" w:hAnsi="Arial"/>
          <w:sz w:val="18"/>
          <w:szCs w:val="18"/>
          <w:color w:val="auto"/>
        </w:rPr>
        <w:t>we or our licensors might not have been the first to make the inventions covered by each of our pending patent applications or issued patents;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or our licensors might not have been the first to file patent applications for these inventions;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it is possible that neither our pending patent applications nor the pending patent applications of our licensors will result in issued patents;</w:t>
      </w:r>
    </w:p>
    <w:p>
      <w:pPr>
        <w:spacing w:after="0" w:line="86"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40" w:lineRule="exact"/>
        <w:rPr>
          <w:sz w:val="20"/>
          <w:szCs w:val="20"/>
          <w:color w:val="auto"/>
        </w:rPr>
      </w:pPr>
    </w:p>
    <w:p>
      <w:pPr>
        <w:ind w:left="1100" w:right="80"/>
        <w:spacing w:after="0" w:line="235" w:lineRule="auto"/>
        <w:rPr>
          <w:sz w:val="20"/>
          <w:szCs w:val="20"/>
          <w:color w:val="auto"/>
        </w:rPr>
      </w:pPr>
      <w:r>
        <w:rPr>
          <w:rFonts w:ascii="Arial" w:cs="Arial" w:eastAsia="Arial" w:hAnsi="Arial"/>
          <w:sz w:val="18"/>
          <w:szCs w:val="18"/>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enforcement of patents and proprietary rights in other countries may be problematic or unpredictable;</w:t>
      </w:r>
    </w:p>
    <w:p>
      <w:pPr>
        <w:spacing w:after="0" w:line="63" w:lineRule="exact"/>
        <w:rPr>
          <w:sz w:val="20"/>
          <w:szCs w:val="20"/>
          <w:color w:val="auto"/>
        </w:rPr>
      </w:pPr>
    </w:p>
    <w:p>
      <w:pPr>
        <w:ind w:left="1100" w:right="520"/>
        <w:spacing w:after="0" w:line="246" w:lineRule="auto"/>
        <w:rPr>
          <w:sz w:val="20"/>
          <w:szCs w:val="20"/>
          <w:color w:val="auto"/>
        </w:rPr>
      </w:pPr>
      <w:r>
        <w:rPr>
          <w:rFonts w:ascii="Arial" w:cs="Arial" w:eastAsia="Arial" w:hAnsi="Arial"/>
          <w:sz w:val="18"/>
          <w:szCs w:val="18"/>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or our partners may not adequately protect our trade secrets;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may not develop additional proprietary technologies that are patentable; or</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patents of others may limit our freedom to operate and prevent us from commercializing our technology in accordance with our plans.</w:t>
      </w:r>
    </w:p>
    <w:p>
      <w:pPr>
        <w:spacing w:after="0" w:line="194" w:lineRule="exact"/>
        <w:rPr>
          <w:sz w:val="20"/>
          <w:szCs w:val="20"/>
          <w:color w:val="auto"/>
        </w:rPr>
      </w:pPr>
    </w:p>
    <w:p>
      <w:pPr>
        <w:ind w:right="280" w:firstLine="324"/>
        <w:spacing w:after="0" w:line="246" w:lineRule="auto"/>
        <w:rPr>
          <w:sz w:val="20"/>
          <w:szCs w:val="20"/>
          <w:color w:val="auto"/>
        </w:rPr>
      </w:pPr>
      <w:r>
        <w:rPr>
          <w:rFonts w:ascii="Arial" w:cs="Arial" w:eastAsia="Arial" w:hAnsi="Arial"/>
          <w:sz w:val="18"/>
          <w:szCs w:val="18"/>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Variability in intellectual property laws may adversely affect our intellectual property position.</w:t>
      </w:r>
    </w:p>
    <w:p>
      <w:pPr>
        <w:spacing w:after="0" w:line="198"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6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170" w:lineRule="exact"/>
        <w:rPr>
          <w:sz w:val="20"/>
          <w:szCs w:val="20"/>
          <w:color w:val="auto"/>
        </w:rPr>
      </w:pPr>
    </w:p>
    <w:p>
      <w:pPr>
        <w:ind w:right="20" w:firstLine="648"/>
        <w:spacing w:after="0" w:line="247" w:lineRule="auto"/>
        <w:rPr>
          <w:sz w:val="20"/>
          <w:szCs w:val="20"/>
          <w:color w:val="auto"/>
        </w:rPr>
      </w:pPr>
      <w:r>
        <w:rPr>
          <w:rFonts w:ascii="Arial" w:cs="Arial" w:eastAsia="Arial" w:hAnsi="Arial"/>
          <w:sz w:val="16"/>
          <w:szCs w:val="16"/>
          <w:color w:val="auto"/>
        </w:rPr>
        <w:t>We license from third parties some of the intellectual property that is important to our business. If we fail to meet our obligations under these licenses, or if we have a dispute regarding the terms of the licenses, these third parties could terminate the licenses. If the third parties who license intellectual property to us fail to maintain the intellectual property that we have licensed, or lose rights to that intellectual property, the rights we have licensed may be reduced or eliminated, which could subject us to claims of intellectual property infringement.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licenses and technologies from these third parties at all or on reasonable terms. The occurrence of these events may have a material adverse effect on our business, financial condition or results of operations.</w:t>
      </w:r>
    </w:p>
    <w:p>
      <w:pPr>
        <w:spacing w:after="0" w:line="170"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123" w:lineRule="exact"/>
        <w:rPr>
          <w:sz w:val="20"/>
          <w:szCs w:val="20"/>
          <w:color w:val="auto"/>
        </w:rPr>
      </w:pPr>
    </w:p>
    <w:p>
      <w:pPr>
        <w:ind w:right="40" w:firstLine="648"/>
        <w:spacing w:after="0" w:line="235" w:lineRule="auto"/>
        <w:rPr>
          <w:sz w:val="20"/>
          <w:szCs w:val="20"/>
          <w:color w:val="auto"/>
        </w:rPr>
      </w:pPr>
      <w:r>
        <w:rPr>
          <w:rFonts w:ascii="Arial" w:cs="Arial" w:eastAsia="Arial" w:hAnsi="Arial"/>
          <w:sz w:val="17"/>
          <w:szCs w:val="17"/>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our agreement with them,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18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Our intellectual property may be subject to challenges in the United States or foreign jurisdictions that could adversely affect our intellectual property position.</w:t>
      </w:r>
    </w:p>
    <w:p>
      <w:pPr>
        <w:spacing w:after="0" w:line="170"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 xml:space="preserve">Our pending, issued and granted U.S. and foreign patents and patent applications have been, are and may in the future be, subject to challenges by Oxford Nanopore Technologies Ltd. (“ONT Ltd.”), Oxford Nanopore Technologies, Inc. (“ONT Inc.”) and Metrichor, Ltd. (“Metrichor” and, together with ONT Ltd. and ONT Inc., “ONT”) and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certain patents that we have asserted against ONT Inc. and ONT Ltd. in litigation proceedings for patent infringement. While none of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requested by ONT were instituted by the U.S. Patent and Trademark Office, challenges of this nature in the future could result in determinations that our patents or pending patent applications are unpatentable to us, invalidated or unenforceable in whole or in part. Accordingly, adverse rulings in such proceedings could negatively impact the scope of our intellectual property protection for our products and technology, and could materially and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technology is subject to “march-in” rights by the U.S. government.</w:t>
      </w:r>
    </w:p>
    <w:p>
      <w:pPr>
        <w:spacing w:after="0" w:line="198"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involved in legal proceedings to enforce our intellectual property rights.</w:t>
      </w: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648"/>
        <w:spacing w:after="0" w:line="235" w:lineRule="auto"/>
        <w:rPr>
          <w:sz w:val="20"/>
          <w:szCs w:val="20"/>
          <w:color w:val="auto"/>
        </w:rPr>
      </w:pPr>
      <w:r>
        <w:rPr>
          <w:rFonts w:ascii="Arial" w:cs="Arial" w:eastAsia="Arial" w:hAnsi="Arial"/>
          <w:sz w:val="17"/>
          <w:szCs w:val="17"/>
          <w:color w:val="auto"/>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are involved in legal proceedings for patent infringement and related matters in the United States with ONT and with PGI, and we were previously involved in other legal proceedings with ONT and Harvard University in several United States and European jurisdictions. We have received adverse rulings against us with respect to our complaint with the USITC in one of these proceedings and additionally as described in </w:t>
      </w:r>
      <w:r>
        <w:rPr>
          <w:rFonts w:ascii="Arial" w:cs="Arial" w:eastAsia="Arial" w:hAnsi="Arial"/>
          <w:sz w:val="17"/>
          <w:szCs w:val="17"/>
          <w:i w:val="1"/>
          <w:iCs w:val="1"/>
          <w:color w:val="auto"/>
        </w:rPr>
        <w:t>Note 6. Commitments and Contingencies</w:t>
      </w:r>
      <w:r>
        <w:rPr>
          <w:rFonts w:ascii="Arial" w:cs="Arial" w:eastAsia="Arial" w:hAnsi="Arial"/>
          <w:sz w:val="17"/>
          <w:szCs w:val="17"/>
          <w:color w:val="auto"/>
        </w:rPr>
        <w:t xml:space="preserve"> of Item 1. of Financial Statements under Part I – Financial Information. Legal actions to enforce our patent rights have been, and will continue to be, expensive, and may divert significant management time and resources. Adverse parties from previous legal actions have brought, and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that could prevent us from selling any products found to be infringing the intellectual property rights of another party.</w:t>
      </w:r>
    </w:p>
    <w:p>
      <w:pPr>
        <w:spacing w:after="0" w:line="18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183" w:lineRule="exact"/>
        <w:rPr>
          <w:sz w:val="20"/>
          <w:szCs w:val="20"/>
          <w:color w:val="auto"/>
        </w:rPr>
      </w:pPr>
    </w:p>
    <w:p>
      <w:pPr>
        <w:ind w:right="100" w:firstLine="648"/>
        <w:spacing w:after="0" w:line="266" w:lineRule="auto"/>
        <w:rPr>
          <w:sz w:val="20"/>
          <w:szCs w:val="20"/>
          <w:color w:val="auto"/>
        </w:rPr>
      </w:pPr>
      <w:r>
        <w:rPr>
          <w:rFonts w:ascii="Arial" w:cs="Arial" w:eastAsia="Arial" w:hAnsi="Arial"/>
          <w:sz w:val="16"/>
          <w:szCs w:val="16"/>
          <w:color w:val="auto"/>
        </w:rPr>
        <w:t xml:space="preserve">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ONT Ltd. and Harvard University previously filed claims against us in the High Court of England and Wales and the District Court of Mannheim, Germany for patent infringement, and PGI has filed claims against us in the U.S. District Court for the District of Delaware and </w:t>
      </w:r>
      <w:r>
        <w:rPr>
          <w:rFonts w:ascii="Arial" w:cs="Arial" w:eastAsia="Arial" w:hAnsi="Arial"/>
          <w:sz w:val="17"/>
          <w:szCs w:val="17"/>
          <w:color w:val="auto"/>
        </w:rPr>
        <w:t>in</w:t>
      </w:r>
      <w:r>
        <w:rPr>
          <w:rFonts w:ascii="Arial" w:cs="Arial" w:eastAsia="Arial" w:hAnsi="Arial"/>
          <w:sz w:val="16"/>
          <w:szCs w:val="16"/>
          <w:color w:val="auto"/>
        </w:rPr>
        <w:t xml:space="preserve"> the Wuhan People’s Court in China. We are aware of other issued patents and patent applications owned by third parties that could be construed to read on our products and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develop further, commercialize, or sell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157"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selling some or all of our products, which could materially and adversely affect our business.</w:t>
      </w:r>
    </w:p>
    <w:p>
      <w:pPr>
        <w:spacing w:after="0" w:line="161"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b w:val="1"/>
          <w:bCs w:val="1"/>
          <w:i w:val="1"/>
          <w:iCs w:val="1"/>
          <w:color w:val="auto"/>
        </w:rPr>
        <w:t>We have not yet registered some of our trademarks in all of our potential markets, and failure to secure those registrations could adversely affect our business.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firstLine="648"/>
        <w:spacing w:after="0" w:line="231" w:lineRule="auto"/>
        <w:rPr>
          <w:sz w:val="20"/>
          <w:szCs w:val="20"/>
          <w:color w:val="auto"/>
        </w:rPr>
      </w:pPr>
      <w:r>
        <w:rPr>
          <w:rFonts w:ascii="Arial" w:cs="Arial" w:eastAsia="Arial" w:hAnsi="Arial"/>
          <w:sz w:val="18"/>
          <w:szCs w:val="18"/>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products and subject us to possible litigation.</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The price of our common stock has been, is, and may continue to be, highly volatile, and you may be unable to sell your shares at or above the price you paid to acquire them.</w:t>
      </w:r>
    </w:p>
    <w:p>
      <w:pPr>
        <w:spacing w:after="0" w:line="170"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actual or anticipated fluctuations in our financial condition and operating results;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announcements of new products, technological innovations or strategic partnerships by us or our competitors;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overall conditions in our industry and market;</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addition or loss of significant customers;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changes in laws or regulations applicable to our products;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actual or anticipated changes in our growth rate relative to our competitors;</w:t>
      </w:r>
    </w:p>
    <w:p>
      <w:pPr>
        <w:spacing w:after="0" w:line="63" w:lineRule="exact"/>
        <w:rPr>
          <w:sz w:val="20"/>
          <w:szCs w:val="20"/>
          <w:color w:val="auto"/>
        </w:rPr>
      </w:pPr>
    </w:p>
    <w:p>
      <w:pPr>
        <w:ind w:left="1100" w:right="800"/>
        <w:spacing w:after="0" w:line="246" w:lineRule="auto"/>
        <w:rPr>
          <w:sz w:val="20"/>
          <w:szCs w:val="20"/>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additions or departures of key personnel;</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competition from existing products or new products that may emerge;</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issuance of new or updated research or reports by securities analysts;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63" w:lineRule="exact"/>
        <w:rPr>
          <w:sz w:val="20"/>
          <w:szCs w:val="20"/>
          <w:color w:val="auto"/>
        </w:rPr>
      </w:pPr>
    </w:p>
    <w:p>
      <w:pPr>
        <w:ind w:left="1100" w:right="60"/>
        <w:spacing w:after="0" w:line="246" w:lineRule="auto"/>
        <w:rPr>
          <w:sz w:val="20"/>
          <w:szCs w:val="20"/>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announcement or expectation of additional financing efforts;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sales of our common stock by us or our stockholders;</w:t>
      </w:r>
    </w:p>
    <w:p>
      <w:pPr>
        <w:spacing w:after="0" w:line="63" w:lineRule="exact"/>
        <w:rPr>
          <w:sz w:val="20"/>
          <w:szCs w:val="20"/>
          <w:color w:val="auto"/>
        </w:rPr>
      </w:pPr>
    </w:p>
    <w:p>
      <w:pPr>
        <w:ind w:left="5540" w:right="2980" w:hanging="4437"/>
        <w:spacing w:after="0" w:line="246" w:lineRule="auto"/>
        <w:rPr>
          <w:sz w:val="20"/>
          <w:szCs w:val="20"/>
          <w:color w:val="auto"/>
        </w:rPr>
      </w:pPr>
      <w:r>
        <w:rPr>
          <w:rFonts w:ascii="Arial" w:cs="Arial" w:eastAsia="Arial" w:hAnsi="Arial"/>
          <w:sz w:val="18"/>
          <w:szCs w:val="18"/>
          <w:color w:val="auto"/>
        </w:rPr>
        <w:t>stock price and volume fluctuations attributable to inconsistent trading volume levels of our shares;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right="4440"/>
        <w:spacing w:after="0" w:line="352" w:lineRule="auto"/>
        <w:rPr>
          <w:sz w:val="20"/>
          <w:szCs w:val="20"/>
          <w:color w:val="auto"/>
        </w:rPr>
      </w:pPr>
      <w:r>
        <w:rPr>
          <w:rFonts w:ascii="Arial" w:cs="Arial" w:eastAsia="Arial" w:hAnsi="Arial"/>
          <w:sz w:val="16"/>
          <w:szCs w:val="16"/>
          <w:color w:val="auto"/>
        </w:rPr>
        <w:t>reports, guidance and ratings issued by securities or industry analysts; operating results below the expectations of securities analysts or investors; and</w:t>
      </w:r>
    </w:p>
    <w:p>
      <w:pPr>
        <w:ind w:left="1100"/>
        <w:spacing w:after="0"/>
        <w:rPr>
          <w:sz w:val="20"/>
          <w:szCs w:val="20"/>
          <w:color w:val="auto"/>
        </w:rPr>
      </w:pPr>
      <w:r>
        <w:rPr>
          <w:rFonts w:ascii="Arial" w:cs="Arial" w:eastAsia="Arial" w:hAnsi="Arial"/>
          <w:sz w:val="18"/>
          <w:szCs w:val="18"/>
          <w:color w:val="auto"/>
        </w:rPr>
        <w:t>general economic and market conditions, which could be impacted by various events including COVID-19.</w:t>
      </w:r>
    </w:p>
    <w:p>
      <w:pPr>
        <w:spacing w:after="0" w:line="171"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If any of the forgoing occurs, it would cause our stock price or trading volume to decline. Stock markets in general and the market for companies in our industry in particular have experienced price and volume fluctuations, which have been exacerbated by COVID-19,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our stock price to fall.</w:t>
      </w:r>
    </w:p>
    <w:p>
      <w:pPr>
        <w:spacing w:after="0" w:line="63" w:lineRule="exact"/>
        <w:rPr>
          <w:sz w:val="20"/>
          <w:szCs w:val="20"/>
          <w:color w:val="auto"/>
        </w:rPr>
      </w:pPr>
    </w:p>
    <w:p>
      <w:pPr>
        <w:ind w:right="100" w:firstLine="440"/>
        <w:spacing w:after="0" w:line="256" w:lineRule="auto"/>
        <w:rPr>
          <w:sz w:val="20"/>
          <w:szCs w:val="20"/>
          <w:color w:val="auto"/>
        </w:rPr>
      </w:pPr>
      <w:r>
        <w:rPr>
          <w:rFonts w:ascii="Arial" w:cs="Arial" w:eastAsia="Arial" w:hAnsi="Arial"/>
          <w:sz w:val="16"/>
          <w:szCs w:val="16"/>
          <w:color w:val="auto"/>
        </w:rPr>
        <w:t>We filed a shelf registration statement on Form S-3 with the SEC that was declared effective on July 14, 2020, pursuant to which we may, from time to time, sell up to an aggregate of $250.0 million of our common stock, preferred stock, debt securities, depositary shares, warrants, subscription rights, purchase contracts or units. We have sold, and plan in the future to sell, shares of our common stock in underwritten offerings and have established, and may in the future establish, “at-the-market” offering programs pursuant to which we may offer and sell shares of our common stock. However, up to the $52.0 million of Continuation Advances actually paid to us are repayable without interest to Illumina if, within two years of March 31, 2020, we raise at least $100 million in equity financing in a single transaction (with the amount repayable dependent on the amount raised by us). Sales of securities have resulted and will continue to result in dilution of our existing stockholders, and such sales could cause our stock price to fall.</w:t>
      </w:r>
    </w:p>
    <w:p>
      <w:pPr>
        <w:spacing w:after="0" w:line="165"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from time to time in connection with financings, acquisitions, investments or otherwise. Any such issuance would result in dilution to our existing stockholders and could cause our stock price to fall.</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ownership by our principal stockholders may result in control by such stockholders of the composition of our board of directors.</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As a result, these stockholders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6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ind w:right="420" w:firstLine="648"/>
        <w:spacing w:after="0" w:line="274" w:lineRule="auto"/>
        <w:rPr>
          <w:sz w:val="20"/>
          <w:szCs w:val="20"/>
          <w:color w:val="auto"/>
        </w:rPr>
      </w:pPr>
      <w:r>
        <w:rPr>
          <w:rFonts w:ascii="Arial" w:cs="Arial" w:eastAsia="Arial" w:hAnsi="Arial"/>
          <w:sz w:val="17"/>
          <w:szCs w:val="17"/>
          <w:color w:val="auto"/>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spacing w:after="0" w:line="13" w:lineRule="exact"/>
        <w:rPr>
          <w:sz w:val="20"/>
          <w:szCs w:val="20"/>
          <w:color w:val="auto"/>
        </w:rPr>
      </w:pPr>
    </w:p>
    <w:p>
      <w:pPr>
        <w:ind w:left="1100" w:right="40"/>
        <w:spacing w:after="0" w:line="246" w:lineRule="auto"/>
        <w:rPr>
          <w:sz w:val="20"/>
          <w:szCs w:val="20"/>
          <w:color w:val="auto"/>
        </w:rPr>
      </w:pPr>
      <w:r>
        <w:rPr>
          <w:rFonts w:ascii="Arial" w:cs="Arial" w:eastAsia="Arial" w:hAnsi="Arial"/>
          <w:sz w:val="18"/>
          <w:szCs w:val="18"/>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86" w:lineRule="exact"/>
        <w:rPr>
          <w:sz w:val="20"/>
          <w:szCs w:val="20"/>
          <w:color w:val="auto"/>
        </w:rPr>
      </w:pPr>
    </w:p>
    <w:p>
      <w:pPr>
        <w:ind w:left="1100" w:right="680"/>
        <w:spacing w:after="0" w:line="228" w:lineRule="auto"/>
        <w:rPr>
          <w:sz w:val="20"/>
          <w:szCs w:val="20"/>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right="440"/>
        <w:spacing w:after="0" w:line="246" w:lineRule="auto"/>
        <w:rPr>
          <w:sz w:val="20"/>
          <w:szCs w:val="20"/>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35" w:lineRule="exact"/>
        <w:rPr>
          <w:sz w:val="20"/>
          <w:szCs w:val="20"/>
          <w:color w:val="auto"/>
        </w:rPr>
      </w:pPr>
    </w:p>
    <w:p>
      <w:pPr>
        <w:ind w:left="1100" w:right="360"/>
        <w:spacing w:after="0" w:line="313" w:lineRule="auto"/>
        <w:rPr>
          <w:sz w:val="20"/>
          <w:szCs w:val="20"/>
          <w:color w:val="auto"/>
        </w:rPr>
      </w:pPr>
      <w:r>
        <w:rPr>
          <w:rFonts w:ascii="Arial" w:cs="Arial" w:eastAsia="Arial" w:hAnsi="Arial"/>
          <w:sz w:val="18"/>
          <w:szCs w:val="18"/>
          <w:color w:val="auto"/>
        </w:rPr>
        <w:t>establish that our board of directors is divided into three classes, Class I, Class II and Class III, with each class serving staggered terms; provide that our directors may be removed only for cause; and</w:t>
      </w:r>
    </w:p>
    <w:p>
      <w:pPr>
        <w:ind w:left="1100"/>
        <w:spacing w:after="0"/>
        <w:rPr>
          <w:sz w:val="20"/>
          <w:szCs w:val="20"/>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94"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breach of fiduciary duty owed by any of our current or former directors, officers or other employees to us or our stockholders; (iii) any action asserting a claim arising pursuant to any provision of the Delaware General Corporation Law; (iv) any action to interpret, apply, enforce or determine the validity of our amended and restated certificate of incorporation or our amended and restated bylaws; or (v) any action asserting a claim against us that is governed by the internal affairs doctrine, subject to the court having personal jurisdiction over the indispensable parties named as defendants therein. This provision is not intended to apply to actions arising under the Securities Act or the Exchange Act, or any claim for which the federal courts have exclusive jurisdiction. Any person or entity purchasing or otherwise acquiring any interest in shares of our capital stock shall be deemed to have notice of and consented to this provision. This exclusive-forum provision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 number of authorized but unissued shares of common stock may potentially dilute existing stockholders’ stockholdings.</w:t>
      </w:r>
    </w:p>
    <w:p>
      <w:pPr>
        <w:spacing w:after="0" w:line="198"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98"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720" w:type="dxa"/>
            <w:vAlign w:val="bottom"/>
            <w:gridSpan w:val="8"/>
          </w:tcPr>
          <w:p>
            <w:pPr>
              <w:ind w:left="140"/>
              <w:spacing w:after="0"/>
              <w:rPr>
                <w:sz w:val="20"/>
                <w:szCs w:val="20"/>
                <w:color w:val="auto"/>
              </w:rPr>
            </w:pPr>
            <w:r>
              <w:rPr>
                <w:rFonts w:ascii="Arial" w:cs="Arial" w:eastAsia="Arial" w:hAnsi="Arial"/>
                <w:sz w:val="18"/>
                <w:szCs w:val="18"/>
                <w:b w:val="1"/>
                <w:bCs w:val="1"/>
                <w:color w:val="auto"/>
              </w:rPr>
              <w:t>Exhibits</w:t>
            </w: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20" w:type="dxa"/>
            <w:vAlign w:val="bottom"/>
            <w:gridSpan w:val="5"/>
            <w:vMerge w:val="restart"/>
          </w:tcPr>
          <w:p>
            <w:pPr>
              <w:ind w:left="2700"/>
              <w:spacing w:after="0"/>
              <w:rPr>
                <w:sz w:val="20"/>
                <w:szCs w:val="20"/>
                <w:color w:val="auto"/>
              </w:rPr>
            </w:pPr>
            <w:r>
              <w:rPr>
                <w:rFonts w:ascii="Arial" w:cs="Arial" w:eastAsia="Arial" w:hAnsi="Arial"/>
                <w:sz w:val="14"/>
                <w:szCs w:val="14"/>
                <w:b w:val="1"/>
                <w:bCs w:val="1"/>
                <w:color w:val="auto"/>
              </w:rPr>
              <w:t>Description</w:t>
            </w: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 No.</w:t>
            </w:r>
          </w:p>
        </w:tc>
        <w:tc>
          <w:tcPr>
            <w:tcW w:w="19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20" w:type="dxa"/>
            <w:vAlign w:val="bottom"/>
            <w:tcBorders>
              <w:bottom w:val="single" w:sz="8" w:color="auto"/>
            </w:tcBorders>
            <w:gridSpan w:val="5"/>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rPr>
              <w:t>31.1</w:t>
            </w:r>
          </w:p>
        </w:tc>
        <w:tc>
          <w:tcPr>
            <w:tcW w:w="3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20" w:type="dxa"/>
            <w:vAlign w:val="bottom"/>
            <w:tcBorders>
              <w:bottom w:val="single" w:sz="8" w:color="0000FF"/>
            </w:tcBorders>
            <w:gridSpan w:val="4"/>
            <w:shd w:val="clear" w:color="auto" w:fill="CCEEFF"/>
          </w:tcPr>
          <w:p>
            <w:pPr>
              <w:spacing w:after="0" w:line="162"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Certification of Chief Executive Officer pursuant to Exchange Act Rules 13a-14(a)</w:t>
              </w:r>
            </w:hyperlink>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vMerge w:val="restart"/>
            <w:shd w:val="clear" w:color="auto" w:fill="CCEEFF"/>
          </w:tcPr>
          <w:p>
            <w:pPr>
              <w:ind w:left="1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20" w:type="dxa"/>
            <w:vAlign w:val="bottom"/>
            <w:gridSpan w:val="5"/>
            <w:shd w:val="clear" w:color="auto" w:fill="CCEEFF"/>
          </w:tcPr>
          <w:p>
            <w:pPr>
              <w:spacing w:after="0" w:line="196" w:lineRule="exact"/>
              <w:rPr>
                <w:rFonts w:ascii="Arial" w:cs="Arial" w:eastAsia="Arial" w:hAnsi="Arial"/>
                <w:sz w:val="18"/>
                <w:szCs w:val="18"/>
                <w:u w:val="single" w:color="auto"/>
                <w:color w:val="0000FF"/>
                <w:w w:val="90"/>
              </w:rPr>
            </w:pPr>
            <w:hyperlink w:anchor="page56">
              <w:r>
                <w:rPr>
                  <w:rFonts w:ascii="Arial" w:cs="Arial" w:eastAsia="Arial" w:hAnsi="Arial"/>
                  <w:sz w:val="18"/>
                  <w:szCs w:val="18"/>
                  <w:u w:val="single" w:color="auto"/>
                  <w:color w:val="0000FF"/>
                  <w:w w:val="90"/>
                </w:rPr>
                <w:t>and 15d-14(a), as adopted pursuant to Section 302 of the Sarbanes-Oxley Act of 2002</w:t>
              </w:r>
            </w:hyperlink>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31.2</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80" w:type="dxa"/>
            <w:vAlign w:val="bottom"/>
            <w:tcBorders>
              <w:bottom w:val="single" w:sz="8" w:color="0000FF"/>
            </w:tcBorders>
            <w:gridSpan w:val="3"/>
          </w:tcPr>
          <w:p>
            <w:pPr>
              <w:spacing w:after="0" w:line="162" w:lineRule="exact"/>
              <w:rPr>
                <w:rFonts w:ascii="Arial" w:cs="Arial" w:eastAsia="Arial" w:hAnsi="Arial"/>
                <w:sz w:val="18"/>
                <w:szCs w:val="18"/>
                <w:color w:val="0000FF"/>
                <w:w w:val="92"/>
              </w:rPr>
            </w:pPr>
            <w:hyperlink w:anchor="page57">
              <w:r>
                <w:rPr>
                  <w:rFonts w:ascii="Arial" w:cs="Arial" w:eastAsia="Arial" w:hAnsi="Arial"/>
                  <w:sz w:val="18"/>
                  <w:szCs w:val="18"/>
                  <w:color w:val="0000FF"/>
                  <w:w w:val="92"/>
                </w:rPr>
                <w:t>Certification of Chief Financial Officer pursuant to Exchange Act Rules 13a-14(a)</w:t>
              </w:r>
            </w:hyperlink>
          </w:p>
        </w:tc>
        <w:tc>
          <w:tcPr>
            <w:tcW w:w="24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vMerge w:val="restart"/>
          </w:tcPr>
          <w:p>
            <w:pPr>
              <w:ind w:left="1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gridSpan w:val="5"/>
          </w:tcPr>
          <w:p>
            <w:pPr>
              <w:spacing w:after="0" w:line="196" w:lineRule="exact"/>
              <w:rPr>
                <w:rFonts w:ascii="Arial" w:cs="Arial" w:eastAsia="Arial" w:hAnsi="Arial"/>
                <w:sz w:val="18"/>
                <w:szCs w:val="18"/>
                <w:u w:val="single" w:color="auto"/>
                <w:color w:val="0000FF"/>
                <w:w w:val="90"/>
              </w:rPr>
            </w:pPr>
            <w:hyperlink w:anchor="page57">
              <w:r>
                <w:rPr>
                  <w:rFonts w:ascii="Arial" w:cs="Arial" w:eastAsia="Arial" w:hAnsi="Arial"/>
                  <w:sz w:val="18"/>
                  <w:szCs w:val="18"/>
                  <w:u w:val="single" w:color="auto"/>
                  <w:color w:val="0000FF"/>
                  <w:w w:val="90"/>
                </w:rPr>
                <w:t>and 15d-14(a), as adopted pursuant to Section 302 of the Sarbanes-Oxley Act of 2002</w:t>
              </w:r>
            </w:hyperlink>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32.1*</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320" w:type="dxa"/>
            <w:vAlign w:val="bottom"/>
            <w:gridSpan w:val="6"/>
            <w:shd w:val="clear" w:color="auto" w:fill="CCEEFF"/>
          </w:tcPr>
          <w:p>
            <w:pPr>
              <w:ind w:left="100"/>
              <w:spacing w:after="0" w:line="162" w:lineRule="exact"/>
              <w:rPr>
                <w:rFonts w:ascii="Arial" w:cs="Arial" w:eastAsia="Arial" w:hAnsi="Arial"/>
                <w:sz w:val="18"/>
                <w:szCs w:val="18"/>
                <w:color w:val="0000FF"/>
                <w:w w:val="99"/>
              </w:rPr>
            </w:pPr>
            <w:hyperlink w:anchor="page58">
              <w:r>
                <w:rPr>
                  <w:rFonts w:ascii="Arial" w:cs="Arial" w:eastAsia="Arial" w:hAnsi="Arial"/>
                  <w:sz w:val="18"/>
                  <w:szCs w:val="18"/>
                  <w:color w:val="0000FF"/>
                  <w:w w:val="99"/>
                </w:rPr>
                <w:t>Certification of Chief Executive Officer pursuant to 18 U.S.C. Section 1350, as</w:t>
              </w:r>
            </w:hyperlink>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ind w:left="120"/>
              <w:spacing w:after="0"/>
              <w:rPr>
                <w:sz w:val="20"/>
                <w:szCs w:val="20"/>
                <w:color w:val="auto"/>
              </w:rPr>
            </w:pPr>
            <w:r>
              <w:rPr>
                <w:rFonts w:ascii="Arial" w:cs="Arial" w:eastAsia="Arial" w:hAnsi="Arial"/>
                <w:sz w:val="20"/>
                <w:szCs w:val="20"/>
                <w:color w:val="auto"/>
              </w:rPr>
              <w:t>Furnished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76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adopted pursuant to Section 906 of the Sarbanes-Oxley Act of 2002</w:t>
              </w:r>
            </w:hyperlink>
          </w:p>
        </w:tc>
        <w:tc>
          <w:tcPr>
            <w:tcW w:w="460" w:type="dxa"/>
            <w:vAlign w:val="bottom"/>
            <w:tcBorders>
              <w:top w:val="single" w:sz="8" w:color="CCEEFF"/>
            </w:tcBorders>
            <w:gridSpan w:val="3"/>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32.2*</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20" w:type="dxa"/>
            <w:vAlign w:val="bottom"/>
            <w:gridSpan w:val="6"/>
          </w:tcPr>
          <w:p>
            <w:pPr>
              <w:ind w:left="100"/>
              <w:spacing w:after="0" w:line="162" w:lineRule="exact"/>
              <w:rPr>
                <w:rFonts w:ascii="Arial" w:cs="Arial" w:eastAsia="Arial" w:hAnsi="Arial"/>
                <w:sz w:val="18"/>
                <w:szCs w:val="18"/>
                <w:color w:val="0000FF"/>
              </w:rPr>
            </w:pPr>
            <w:hyperlink w:anchor="page59">
              <w:r>
                <w:rPr>
                  <w:rFonts w:ascii="Arial" w:cs="Arial" w:eastAsia="Arial" w:hAnsi="Arial"/>
                  <w:sz w:val="18"/>
                  <w:szCs w:val="18"/>
                  <w:color w:val="0000FF"/>
                </w:rPr>
                <w:t>Certification of Chief Financial Officer pursuant to 18 U.S.C. Section 1350, as</w:t>
              </w:r>
            </w:hyperlink>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vMerge w:val="restart"/>
          </w:tcPr>
          <w:p>
            <w:pPr>
              <w:ind w:left="120"/>
              <w:spacing w:after="0"/>
              <w:rPr>
                <w:sz w:val="20"/>
                <w:szCs w:val="20"/>
                <w:color w:val="auto"/>
              </w:rPr>
            </w:pPr>
            <w:r>
              <w:rPr>
                <w:rFonts w:ascii="Arial" w:cs="Arial" w:eastAsia="Arial" w:hAnsi="Arial"/>
                <w:sz w:val="20"/>
                <w:szCs w:val="20"/>
                <w:color w:val="auto"/>
              </w:rPr>
              <w:t>Furnished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00" w:type="dxa"/>
            <w:vAlign w:val="bottom"/>
            <w:tcBorders>
              <w:top w:val="single" w:sz="8" w:color="0000FF"/>
            </w:tcBorders>
          </w:tcPr>
          <w:p>
            <w:pPr>
              <w:spacing w:after="0" w:line="196" w:lineRule="exact"/>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adopted pursuant to Section 906 of the Sarbanes-Oxley Act of 2002</w:t>
              </w:r>
            </w:hyperlink>
          </w:p>
        </w:tc>
        <w:tc>
          <w:tcPr>
            <w:tcW w:w="5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101.INS</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320" w:type="dxa"/>
            <w:vAlign w:val="bottom"/>
            <w:gridSpan w:val="6"/>
            <w:shd w:val="clear" w:color="auto" w:fill="CCEEFF"/>
          </w:tcPr>
          <w:p>
            <w:pPr>
              <w:ind w:left="100"/>
              <w:spacing w:after="0" w:line="161" w:lineRule="exact"/>
              <w:rPr>
                <w:sz w:val="20"/>
                <w:szCs w:val="20"/>
                <w:color w:val="auto"/>
              </w:rPr>
            </w:pPr>
            <w:r>
              <w:rPr>
                <w:rFonts w:ascii="Arial" w:cs="Arial" w:eastAsia="Arial" w:hAnsi="Arial"/>
                <w:sz w:val="18"/>
                <w:szCs w:val="18"/>
                <w:color w:val="auto"/>
                <w:w w:val="92"/>
              </w:rPr>
              <w:t>XBRL Instance Document (the instance document does not appear in the Interactive</w:t>
            </w:r>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3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w w:val="95"/>
              </w:rPr>
              <w:t>Data File because its XBRL tags are embedded within the Inline XBRL document)</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2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XBRL Taxonomy Extension Schema Document</w:t>
            </w: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101.CAL</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320" w:type="dxa"/>
            <w:vAlign w:val="bottom"/>
            <w:gridSpan w:val="6"/>
            <w:shd w:val="clear" w:color="auto" w:fill="CCEEFF"/>
          </w:tcPr>
          <w:p>
            <w:pPr>
              <w:ind w:left="100"/>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2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101.LAB</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320" w:type="dxa"/>
            <w:vAlign w:val="bottom"/>
            <w:gridSpan w:val="6"/>
            <w:shd w:val="clear" w:color="auto" w:fill="CCEEFF"/>
          </w:tcPr>
          <w:p>
            <w:pPr>
              <w:ind w:left="100"/>
              <w:spacing w:after="0" w:line="202" w:lineRule="exact"/>
              <w:rPr>
                <w:sz w:val="20"/>
                <w:szCs w:val="20"/>
                <w:color w:val="auto"/>
              </w:rPr>
            </w:pPr>
            <w:r>
              <w:rPr>
                <w:rFonts w:ascii="Arial" w:cs="Arial" w:eastAsia="Arial" w:hAnsi="Arial"/>
                <w:sz w:val="18"/>
                <w:szCs w:val="18"/>
                <w:color w:val="auto"/>
              </w:rPr>
              <w:t>XBRL Taxonomy Extension Labels Linkbase Document</w:t>
            </w: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tcPr>
          <w:p>
            <w:pPr>
              <w:spacing w:after="0" w:line="191" w:lineRule="exact"/>
              <w:rPr>
                <w:sz w:val="20"/>
                <w:szCs w:val="20"/>
                <w:color w:val="auto"/>
              </w:rPr>
            </w:pPr>
            <w:r>
              <w:rPr>
                <w:rFonts w:ascii="Arial" w:cs="Arial" w:eastAsia="Arial" w:hAnsi="Arial"/>
                <w:sz w:val="18"/>
                <w:szCs w:val="18"/>
                <w:color w:val="auto"/>
              </w:rPr>
              <w:t>101.PRE</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320" w:type="dxa"/>
            <w:vAlign w:val="bottom"/>
            <w:gridSpan w:val="6"/>
          </w:tcPr>
          <w:p>
            <w:pPr>
              <w:ind w:left="100"/>
              <w:spacing w:after="0" w:line="191" w:lineRule="exact"/>
              <w:rPr>
                <w:sz w:val="20"/>
                <w:szCs w:val="20"/>
                <w:color w:val="auto"/>
              </w:rPr>
            </w:pPr>
            <w:r>
              <w:rPr>
                <w:rFonts w:ascii="Arial" w:cs="Arial" w:eastAsia="Arial" w:hAnsi="Arial"/>
                <w:sz w:val="18"/>
                <w:szCs w:val="18"/>
                <w:color w:val="auto"/>
              </w:rPr>
              <w:t>XBRL Taxonomy Extension Presentation Linkbase Document</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340" w:hanging="1319"/>
        <w:spacing w:after="0"/>
        <w:tabs>
          <w:tab w:leader="none" w:pos="1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File (formatted as inline XBRL and contained in Exhibit 101)</w:t>
      </w:r>
    </w:p>
    <w:p>
      <w:pPr>
        <w:spacing w:after="0" w:line="200" w:lineRule="exact"/>
        <w:rPr>
          <w:rFonts w:ascii="Arial" w:cs="Arial" w:eastAsia="Arial" w:hAnsi="Arial"/>
          <w:sz w:val="18"/>
          <w:szCs w:val="18"/>
          <w:color w:val="auto"/>
        </w:rPr>
      </w:pPr>
    </w:p>
    <w:p>
      <w:pPr>
        <w:spacing w:after="0" w:line="279" w:lineRule="exact"/>
        <w:rPr>
          <w:rFonts w:ascii="Arial" w:cs="Arial" w:eastAsia="Arial" w:hAnsi="Arial"/>
          <w:sz w:val="18"/>
          <w:szCs w:val="18"/>
          <w:color w:val="auto"/>
        </w:rPr>
      </w:pPr>
    </w:p>
    <w:p>
      <w:pPr>
        <w:ind w:right="60"/>
        <w:spacing w:after="0" w:line="231" w:lineRule="auto"/>
        <w:rPr>
          <w:rFonts w:ascii="Arial" w:cs="Arial" w:eastAsia="Arial" w:hAnsi="Arial"/>
          <w:sz w:val="18"/>
          <w:szCs w:val="18"/>
          <w:color w:val="auto"/>
        </w:rPr>
      </w:pPr>
      <w:r>
        <w:rPr>
          <w:rFonts w:ascii="Arial" w:cs="Arial" w:eastAsia="Arial" w:hAnsi="Arial"/>
          <w:sz w:val="18"/>
          <w:szCs w:val="18"/>
          <w:color w:val="auto"/>
        </w:rPr>
        <w:t>* 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30175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40" w:firstLine="440"/>
        <w:spacing w:after="0" w:line="246"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360" w:type="dxa"/>
            <w:vAlign w:val="bottom"/>
            <w:gridSpan w:val="2"/>
          </w:tcPr>
          <w:p>
            <w:pPr>
              <w:ind w:left="23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ACIFIC</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IOSCIENCES OF</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ALIFORNIA</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Date: August 6, 2020</w:t>
            </w:r>
          </w:p>
        </w:tc>
        <w:tc>
          <w:tcPr>
            <w:tcW w:w="2640" w:type="dxa"/>
            <w:vAlign w:val="bottom"/>
            <w:vMerge w:val="restart"/>
          </w:tcPr>
          <w:p>
            <w:pPr>
              <w:ind w:left="2340"/>
              <w:spacing w:after="0"/>
              <w:rPr>
                <w:sz w:val="20"/>
                <w:szCs w:val="20"/>
                <w:color w:val="auto"/>
              </w:rPr>
            </w:pPr>
            <w:r>
              <w:rPr>
                <w:rFonts w:ascii="Arial" w:cs="Arial" w:eastAsia="Arial" w:hAnsi="Arial"/>
                <w:sz w:val="18"/>
                <w:szCs w:val="18"/>
                <w:color w:val="auto"/>
              </w:rPr>
              <w:t>By:</w:t>
            </w:r>
          </w:p>
        </w:tc>
        <w:tc>
          <w:tcPr>
            <w:tcW w:w="4720" w:type="dxa"/>
            <w:vAlign w:val="bottom"/>
          </w:tcPr>
          <w:p>
            <w:pPr>
              <w:ind w:left="140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USAN</w:t>
            </w:r>
            <w:r>
              <w:rPr>
                <w:rFonts w:ascii="Arial" w:cs="Arial" w:eastAsia="Arial" w:hAnsi="Arial"/>
                <w:sz w:val="18"/>
                <w:szCs w:val="18"/>
                <w:color w:val="auto"/>
              </w:rPr>
              <w:t xml:space="preserve"> K. B</w:t>
            </w:r>
            <w:r>
              <w:rPr>
                <w:rFonts w:ascii="Arial" w:cs="Arial" w:eastAsia="Arial" w:hAnsi="Arial"/>
                <w:sz w:val="13"/>
                <w:szCs w:val="13"/>
                <w:color w:val="auto"/>
              </w:rPr>
              <w:t>ARNES</w:t>
            </w:r>
          </w:p>
        </w:tc>
        <w:tc>
          <w:tcPr>
            <w:tcW w:w="0" w:type="dxa"/>
            <w:vAlign w:val="bottom"/>
          </w:tcPr>
          <w:p>
            <w:pPr>
              <w:spacing w:after="0"/>
              <w:rPr>
                <w:sz w:val="1"/>
                <w:szCs w:val="1"/>
                <w:color w:val="auto"/>
              </w:rPr>
            </w:pPr>
          </w:p>
        </w:tc>
      </w:tr>
      <w:tr>
        <w:trPr>
          <w:trHeight w:val="94"/>
        </w:trPr>
        <w:tc>
          <w:tcPr>
            <w:tcW w:w="3860" w:type="dxa"/>
            <w:vAlign w:val="bottom"/>
          </w:tcPr>
          <w:p>
            <w:pPr>
              <w:spacing w:after="0"/>
              <w:rPr>
                <w:sz w:val="8"/>
                <w:szCs w:val="8"/>
                <w:color w:val="auto"/>
              </w:rPr>
            </w:pPr>
          </w:p>
        </w:tc>
        <w:tc>
          <w:tcPr>
            <w:tcW w:w="2640" w:type="dxa"/>
            <w:vAlign w:val="bottom"/>
            <w:vMerge w:val="continue"/>
          </w:tcPr>
          <w:p>
            <w:pPr>
              <w:spacing w:after="0"/>
              <w:rPr>
                <w:sz w:val="8"/>
                <w:szCs w:val="8"/>
                <w:color w:val="auto"/>
              </w:rPr>
            </w:pPr>
          </w:p>
        </w:tc>
        <w:tc>
          <w:tcPr>
            <w:tcW w:w="4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8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7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Susan K. Barnes</w:t>
            </w: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720" w:type="dxa"/>
            <w:vAlign w:val="bottom"/>
          </w:tcPr>
          <w:p>
            <w:pPr>
              <w:jc w:val="center"/>
              <w:spacing w:after="0"/>
              <w:rPr>
                <w:sz w:val="20"/>
                <w:szCs w:val="20"/>
                <w:color w:val="auto"/>
              </w:rPr>
            </w:pPr>
            <w:r>
              <w:rPr>
                <w:rFonts w:ascii="Arial" w:cs="Arial" w:eastAsia="Arial" w:hAnsi="Arial"/>
                <w:sz w:val="13"/>
                <w:szCs w:val="13"/>
                <w:b w:val="1"/>
                <w:bCs w:val="1"/>
                <w:color w:val="auto"/>
                <w:w w:val="94"/>
              </w:rPr>
              <w:t>Executive Vice President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August 6, 2020</w:t>
            </w:r>
          </w:p>
        </w:tc>
        <w:tc>
          <w:tcPr>
            <w:tcW w:w="2640" w:type="dxa"/>
            <w:vAlign w:val="bottom"/>
            <w:vMerge w:val="restart"/>
          </w:tcPr>
          <w:p>
            <w:pPr>
              <w:ind w:left="2340"/>
              <w:spacing w:after="0"/>
              <w:rPr>
                <w:sz w:val="20"/>
                <w:szCs w:val="20"/>
                <w:color w:val="auto"/>
              </w:rPr>
            </w:pPr>
            <w:r>
              <w:rPr>
                <w:rFonts w:ascii="Arial" w:cs="Arial" w:eastAsia="Arial" w:hAnsi="Arial"/>
                <w:sz w:val="18"/>
                <w:szCs w:val="18"/>
                <w:color w:val="auto"/>
              </w:rPr>
              <w:t>By:</w:t>
            </w:r>
          </w:p>
        </w:tc>
        <w:tc>
          <w:tcPr>
            <w:tcW w:w="4720" w:type="dxa"/>
            <w:vAlign w:val="bottom"/>
          </w:tcPr>
          <w:p>
            <w:pPr>
              <w:ind w:left="1460"/>
              <w:spacing w:after="0"/>
              <w:rPr>
                <w:sz w:val="20"/>
                <w:szCs w:val="20"/>
                <w:color w:val="auto"/>
              </w:rPr>
            </w:pPr>
            <w:r>
              <w:rPr>
                <w:rFonts w:ascii="Arial" w:cs="Arial" w:eastAsia="Arial" w:hAnsi="Arial"/>
                <w:sz w:val="18"/>
                <w:szCs w:val="18"/>
                <w:color w:val="auto"/>
              </w:rPr>
              <w:t>/s/   Eric E. Schaefer</w:t>
            </w:r>
          </w:p>
        </w:tc>
        <w:tc>
          <w:tcPr>
            <w:tcW w:w="0" w:type="dxa"/>
            <w:vAlign w:val="bottom"/>
          </w:tcPr>
          <w:p>
            <w:pPr>
              <w:spacing w:after="0"/>
              <w:rPr>
                <w:sz w:val="1"/>
                <w:szCs w:val="1"/>
                <w:color w:val="auto"/>
              </w:rPr>
            </w:pPr>
          </w:p>
        </w:tc>
      </w:tr>
      <w:tr>
        <w:trPr>
          <w:trHeight w:val="81"/>
        </w:trPr>
        <w:tc>
          <w:tcPr>
            <w:tcW w:w="386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4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4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7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Eric E. Schaefer</w:t>
            </w: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720" w:type="dxa"/>
            <w:vAlign w:val="bottom"/>
          </w:tcPr>
          <w:p>
            <w:pPr>
              <w:jc w:val="center"/>
              <w:spacing w:after="0"/>
              <w:rPr>
                <w:sz w:val="20"/>
                <w:szCs w:val="20"/>
                <w:color w:val="auto"/>
              </w:rPr>
            </w:pPr>
            <w:r>
              <w:rPr>
                <w:rFonts w:ascii="Arial" w:cs="Arial" w:eastAsia="Arial" w:hAnsi="Arial"/>
                <w:sz w:val="13"/>
                <w:szCs w:val="13"/>
                <w:b w:val="1"/>
                <w:bCs w:val="1"/>
                <w:color w:val="auto"/>
                <w:w w:val="94"/>
              </w:rPr>
              <w:t>Vice President and Chief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139"/>
          </w:cols>
          <w:pgMar w:left="320" w:top="112" w:right="1440" w:bottom="1440" w:gutter="0" w:footer="0" w:header="0"/>
        </w:sectPr>
      </w:pPr>
    </w:p>
    <w:bookmarkStart w:id="55" w:name="page56"/>
    <w:bookmarkEnd w:id="55"/>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ind w:left="180" w:right="199"/>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13a-15(e), AS ADOPTED PURSUANT TO SECTION 302 OF THE SARBANES-OXLEY ACT OF 2002</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Michael Hunkapiller, certify that:</w:t>
      </w:r>
    </w:p>
    <w:p>
      <w:pPr>
        <w:spacing w:after="0" w:line="50" w:lineRule="exact"/>
        <w:rPr>
          <w:sz w:val="20"/>
          <w:szCs w:val="20"/>
          <w:color w:val="auto"/>
        </w:rPr>
      </w:pPr>
    </w:p>
    <w:p>
      <w:pPr>
        <w:ind w:left="800" w:hanging="17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Pacific Biosciences of California, Inc.;</w:t>
      </w:r>
    </w:p>
    <w:p>
      <w:pPr>
        <w:spacing w:after="0" w:line="130" w:lineRule="exact"/>
        <w:rPr>
          <w:rFonts w:ascii="Arial" w:cs="Arial" w:eastAsia="Arial" w:hAnsi="Arial"/>
          <w:sz w:val="18"/>
          <w:szCs w:val="18"/>
          <w:color w:val="auto"/>
        </w:rPr>
      </w:pPr>
    </w:p>
    <w:p>
      <w:pPr>
        <w:ind w:left="180" w:right="319" w:firstLine="445"/>
        <w:spacing w:after="0" w:line="224" w:lineRule="auto"/>
        <w:tabs>
          <w:tab w:leader="none" w:pos="80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180" w:right="219" w:firstLine="445"/>
        <w:spacing w:after="0" w:line="224" w:lineRule="auto"/>
        <w:tabs>
          <w:tab w:leader="none" w:pos="80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180" w:right="219" w:firstLine="445"/>
        <w:spacing w:after="0" w:line="237" w:lineRule="auto"/>
        <w:tabs>
          <w:tab w:leader="none" w:pos="79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180" w:right="279" w:firstLine="445"/>
        <w:spacing w:after="0" w:line="219" w:lineRule="auto"/>
        <w:tabs>
          <w:tab w:leader="none" w:pos="806"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8"/>
          <w:szCs w:val="18"/>
          <w:color w:val="auto"/>
        </w:rPr>
      </w:pPr>
    </w:p>
    <w:p>
      <w:pPr>
        <w:ind w:left="180" w:right="219" w:firstLine="445"/>
        <w:spacing w:after="0" w:line="219" w:lineRule="auto"/>
        <w:tabs>
          <w:tab w:leader="none" w:pos="816"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180" w:right="199" w:firstLine="445"/>
        <w:spacing w:after="0" w:line="224" w:lineRule="auto"/>
        <w:tabs>
          <w:tab w:leader="none" w:pos="806"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180" w:right="439" w:firstLine="445"/>
        <w:spacing w:after="0" w:line="219" w:lineRule="auto"/>
        <w:tabs>
          <w:tab w:leader="none" w:pos="816"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180" w:right="219" w:firstLine="445"/>
        <w:spacing w:after="0" w:line="224" w:lineRule="auto"/>
        <w:tabs>
          <w:tab w:leader="none" w:pos="7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299" w:firstLine="445"/>
        <w:spacing w:after="0" w:line="224" w:lineRule="auto"/>
        <w:tabs>
          <w:tab w:leader="none" w:pos="796"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80" w:right="299" w:firstLine="445"/>
        <w:spacing w:after="0" w:line="235" w:lineRule="auto"/>
        <w:tabs>
          <w:tab w:leader="none" w:pos="806"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55" w:lineRule="exact"/>
        <w:rPr>
          <w:sz w:val="20"/>
          <w:szCs w:val="20"/>
          <w:color w:val="auto"/>
        </w:rPr>
      </w:pPr>
    </w:p>
    <w:p>
      <w:pPr>
        <w:ind w:left="488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Hunkapiller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23056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4"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Michael Hunkapiller</w:t>
      </w:r>
    </w:p>
    <w:p>
      <w:pPr>
        <w:jc w:val="center"/>
        <w:ind w:left="4980"/>
        <w:spacing w:after="0" w:line="215" w:lineRule="auto"/>
        <w:rPr>
          <w:sz w:val="20"/>
          <w:szCs w:val="20"/>
          <w:color w:val="auto"/>
        </w:rPr>
      </w:pPr>
      <w:r>
        <w:rPr>
          <w:rFonts w:ascii="Arial" w:cs="Arial" w:eastAsia="Arial" w:hAnsi="Arial"/>
          <w:sz w:val="17"/>
          <w:szCs w:val="17"/>
          <w:color w:val="auto"/>
        </w:rPr>
        <w:t>Chief Executive Officer and President (Principal</w:t>
      </w:r>
    </w:p>
    <w:p>
      <w:pPr>
        <w:jc w:val="center"/>
        <w:ind w:left="4980"/>
        <w:spacing w:after="0"/>
        <w:rPr>
          <w:sz w:val="20"/>
          <w:szCs w:val="20"/>
          <w:color w:val="auto"/>
        </w:rPr>
      </w:pPr>
      <w:r>
        <w:rPr>
          <w:rFonts w:ascii="Arial" w:cs="Arial" w:eastAsia="Arial" w:hAnsi="Arial"/>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-12065</wp:posOffset>
            </wp:positionV>
            <wp:extent cx="550354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6" w:name="page57"/>
    <w:bookmarkEnd w:id="56"/>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ind w:left="180" w:right="199"/>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13a-15(e), AS ADOPTED PURSUANT TO SECTION 302 OF THE SARBANES-OXLEY ACT OF 2002</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Susan Barnes, certify that:</w:t>
      </w:r>
    </w:p>
    <w:p>
      <w:pPr>
        <w:spacing w:after="0" w:line="50" w:lineRule="exact"/>
        <w:rPr>
          <w:sz w:val="20"/>
          <w:szCs w:val="20"/>
          <w:color w:val="auto"/>
        </w:rPr>
      </w:pPr>
    </w:p>
    <w:p>
      <w:pPr>
        <w:ind w:left="800" w:hanging="17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Pacific Biosciences of California, Inc.;</w:t>
      </w:r>
    </w:p>
    <w:p>
      <w:pPr>
        <w:spacing w:after="0" w:line="130" w:lineRule="exact"/>
        <w:rPr>
          <w:rFonts w:ascii="Arial" w:cs="Arial" w:eastAsia="Arial" w:hAnsi="Arial"/>
          <w:sz w:val="18"/>
          <w:szCs w:val="18"/>
          <w:color w:val="auto"/>
        </w:rPr>
      </w:pPr>
    </w:p>
    <w:p>
      <w:pPr>
        <w:ind w:left="180" w:right="319" w:firstLine="445"/>
        <w:spacing w:after="0" w:line="224" w:lineRule="auto"/>
        <w:tabs>
          <w:tab w:leader="none" w:pos="80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180" w:right="219" w:firstLine="445"/>
        <w:spacing w:after="0" w:line="224" w:lineRule="auto"/>
        <w:tabs>
          <w:tab w:leader="none" w:pos="80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180" w:right="219" w:firstLine="445"/>
        <w:spacing w:after="0" w:line="237" w:lineRule="auto"/>
        <w:tabs>
          <w:tab w:leader="none" w:pos="7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180" w:right="279" w:firstLine="445"/>
        <w:spacing w:after="0" w:line="219" w:lineRule="auto"/>
        <w:tabs>
          <w:tab w:leader="none" w:pos="806"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80" w:right="219" w:firstLine="445"/>
        <w:spacing w:after="0" w:line="219" w:lineRule="auto"/>
        <w:tabs>
          <w:tab w:leader="none" w:pos="816"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180" w:right="199" w:firstLine="445"/>
        <w:spacing w:after="0" w:line="224" w:lineRule="auto"/>
        <w:tabs>
          <w:tab w:leader="none" w:pos="806"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180" w:right="439" w:firstLine="445"/>
        <w:spacing w:after="0" w:line="219" w:lineRule="auto"/>
        <w:tabs>
          <w:tab w:leader="none" w:pos="816"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180" w:right="219" w:firstLine="445"/>
        <w:spacing w:after="0" w:line="224" w:lineRule="auto"/>
        <w:tabs>
          <w:tab w:leader="none" w:pos="7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299" w:firstLine="445"/>
        <w:spacing w:after="0" w:line="224" w:lineRule="auto"/>
        <w:tabs>
          <w:tab w:leader="none" w:pos="7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80" w:right="299" w:firstLine="445"/>
        <w:spacing w:after="0" w:line="235" w:lineRule="auto"/>
        <w:tabs>
          <w:tab w:leader="none" w:pos="8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55" w:lineRule="exact"/>
        <w:rPr>
          <w:sz w:val="20"/>
          <w:szCs w:val="20"/>
          <w:color w:val="auto"/>
        </w:rPr>
      </w:pPr>
    </w:p>
    <w:p>
      <w:pPr>
        <w:ind w:left="488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K.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23056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4"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Susan K. Barnes</w:t>
      </w:r>
    </w:p>
    <w:p>
      <w:pPr>
        <w:jc w:val="center"/>
        <w:ind w:left="4980"/>
        <w:spacing w:after="0" w:line="203" w:lineRule="auto"/>
        <w:rPr>
          <w:sz w:val="20"/>
          <w:szCs w:val="20"/>
          <w:color w:val="auto"/>
        </w:rPr>
      </w:pPr>
      <w:r>
        <w:rPr>
          <w:rFonts w:ascii="Arial" w:cs="Arial" w:eastAsia="Arial" w:hAnsi="Arial"/>
          <w:sz w:val="18"/>
          <w:szCs w:val="18"/>
          <w:color w:val="auto"/>
        </w:rPr>
        <w:t>Executive Vice President and Chief</w:t>
      </w:r>
    </w:p>
    <w:p>
      <w:pPr>
        <w:jc w:val="center"/>
        <w:ind w:left="4980"/>
        <w:spacing w:after="0"/>
        <w:rPr>
          <w:sz w:val="20"/>
          <w:szCs w:val="20"/>
          <w:color w:val="auto"/>
        </w:rPr>
      </w:pPr>
      <w:r>
        <w:rPr>
          <w:rFonts w:ascii="Arial" w:cs="Arial" w:eastAsia="Arial" w:hAnsi="Arial"/>
          <w:sz w:val="18"/>
          <w:szCs w:val="18"/>
          <w:color w:val="auto"/>
        </w:rPr>
        <w:t>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-12065</wp:posOffset>
            </wp:positionV>
            <wp:extent cx="550354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7" w:name="page58"/>
    <w:bookmarkEnd w:id="57"/>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CEO Furnished Pursuant to 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5" w:lineRule="exact"/>
        <w:rPr>
          <w:sz w:val="20"/>
          <w:szCs w:val="20"/>
          <w:color w:val="auto"/>
        </w:rPr>
      </w:pPr>
    </w:p>
    <w:p>
      <w:pPr>
        <w:ind w:left="180" w:right="319"/>
        <w:spacing w:after="0" w:line="216" w:lineRule="auto"/>
        <w:rPr>
          <w:sz w:val="20"/>
          <w:szCs w:val="20"/>
          <w:color w:val="auto"/>
        </w:rPr>
      </w:pPr>
      <w:r>
        <w:rPr>
          <w:rFonts w:ascii="Arial" w:cs="Arial" w:eastAsia="Arial" w:hAnsi="Arial"/>
          <w:sz w:val="18"/>
          <w:szCs w:val="18"/>
          <w:color w:val="auto"/>
        </w:rPr>
        <w:t>In connection with the Quarterly Report of Pacific Biosciences of California, Inc. (the “Company”) on Form 10-Q for the period ended June 30, 2020, as filed with the Securities and Exchange Commission on the date hereof, I, Michael Hunkapiller, Chief Executive Officer of the Company, certify for the purposes of section 1350 of chapter 63 of title 18 of the United States Code, as adopted pursuant to Section 906 of the Sarbanes-Oxley Act of 2002, that, to the best of my knowledge,</w:t>
      </w:r>
    </w:p>
    <w:p>
      <w:pPr>
        <w:spacing w:after="0" w:line="108" w:lineRule="exact"/>
        <w:rPr>
          <w:sz w:val="20"/>
          <w:szCs w:val="20"/>
          <w:color w:val="auto"/>
        </w:rPr>
      </w:pPr>
    </w:p>
    <w:p>
      <w:pPr>
        <w:ind w:left="180" w:right="359" w:firstLine="445"/>
        <w:spacing w:after="0" w:line="258" w:lineRule="auto"/>
        <w:tabs>
          <w:tab w:leader="none" w:pos="8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June 30, 2020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180" w:right="499" w:firstLine="445"/>
        <w:spacing w:after="0" w:line="235" w:lineRule="auto"/>
        <w:tabs>
          <w:tab w:leader="none" w:pos="8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ind w:left="180"/>
        <w:spacing w:after="0"/>
        <w:tabs>
          <w:tab w:leader="none" w:pos="582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7"/>
          <w:szCs w:val="17"/>
          <w:color w:val="auto"/>
        </w:rPr>
        <w:t>/s/ Michael Hunkapiller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27000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0"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Michael Hunkapiller</w:t>
      </w:r>
    </w:p>
    <w:p>
      <w:pPr>
        <w:spacing w:after="0" w:line="7"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Chief Executive Officer and President</w:t>
      </w:r>
    </w:p>
    <w:p>
      <w:pPr>
        <w:jc w:val="cente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278765</wp:posOffset>
            </wp:positionV>
            <wp:extent cx="550354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8" w:name="page59"/>
    <w:bookmarkEnd w:id="58"/>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CFO Furnished Pursuant to 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5" w:lineRule="exact"/>
        <w:rPr>
          <w:sz w:val="20"/>
          <w:szCs w:val="20"/>
          <w:color w:val="auto"/>
        </w:rPr>
      </w:pPr>
    </w:p>
    <w:p>
      <w:pPr>
        <w:ind w:left="180" w:right="259"/>
        <w:spacing w:after="0" w:line="216" w:lineRule="auto"/>
        <w:rPr>
          <w:sz w:val="20"/>
          <w:szCs w:val="20"/>
          <w:color w:val="auto"/>
        </w:rPr>
      </w:pPr>
      <w:r>
        <w:rPr>
          <w:rFonts w:ascii="Arial" w:cs="Arial" w:eastAsia="Arial" w:hAnsi="Arial"/>
          <w:sz w:val="18"/>
          <w:szCs w:val="18"/>
          <w:color w:val="auto"/>
        </w:rPr>
        <w:t>In connection with the Quarterly Report of Pacific Biosciences of California, Inc. (the “Company”) on Form 10-Q for the period ended June 30, 2020, as filed with the Securities and Exchange Commission on the date hereof, I, Susan Barnes, Chief Financial Officer of the Company, certify for the purposes of section 1350 of chapter 63 of title 18 of the United States Code, as adopted pursuant to Section 906 of the Sarbanes-Oxley Act of 2002, that, to the best of my knowledge,</w:t>
      </w:r>
    </w:p>
    <w:p>
      <w:pPr>
        <w:spacing w:after="0" w:line="108" w:lineRule="exact"/>
        <w:rPr>
          <w:sz w:val="20"/>
          <w:szCs w:val="20"/>
          <w:color w:val="auto"/>
        </w:rPr>
      </w:pPr>
    </w:p>
    <w:p>
      <w:pPr>
        <w:ind w:left="180" w:right="359" w:firstLine="445"/>
        <w:spacing w:after="0" w:line="258" w:lineRule="auto"/>
        <w:tabs>
          <w:tab w:leader="none" w:pos="8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June 30, 2020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180" w:right="499" w:firstLine="445"/>
        <w:spacing w:after="0" w:line="235" w:lineRule="auto"/>
        <w:tabs>
          <w:tab w:leader="none" w:pos="8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180"/>
        <w:spacing w:after="0"/>
        <w:tabs>
          <w:tab w:leader="none" w:pos="598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5"/>
          <w:szCs w:val="15"/>
          <w:color w:val="auto"/>
        </w:rPr>
        <w:t>/s/ Susan K.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7000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jc w:val="center"/>
        <w:ind w:left="4380"/>
        <w:spacing w:after="0"/>
        <w:rPr>
          <w:sz w:val="20"/>
          <w:szCs w:val="20"/>
          <w:color w:val="auto"/>
        </w:rPr>
      </w:pPr>
      <w:r>
        <w:rPr>
          <w:rFonts w:ascii="Arial" w:cs="Arial" w:eastAsia="Arial" w:hAnsi="Arial"/>
          <w:sz w:val="18"/>
          <w:szCs w:val="18"/>
          <w:color w:val="auto"/>
        </w:rPr>
        <w:t>Susan K. Barnes</w:t>
      </w:r>
    </w:p>
    <w:p>
      <w:pPr>
        <w:jc w:val="center"/>
        <w:ind w:left="4380"/>
        <w:spacing w:after="0" w:line="203" w:lineRule="auto"/>
        <w:rPr>
          <w:sz w:val="20"/>
          <w:szCs w:val="20"/>
          <w:color w:val="auto"/>
        </w:rPr>
      </w:pPr>
      <w:r>
        <w:rPr>
          <w:rFonts w:ascii="Arial" w:cs="Arial" w:eastAsia="Arial" w:hAnsi="Arial"/>
          <w:sz w:val="18"/>
          <w:szCs w:val="18"/>
          <w:color w:val="auto"/>
        </w:rPr>
        <w:t>Executive Vice President and Chief Financial Officer</w:t>
      </w:r>
    </w:p>
    <w:p>
      <w:pPr>
        <w:jc w:val="cente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827405</wp:posOffset>
            </wp:positionV>
            <wp:extent cx="550354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lvl w:ilvl="1">
      <w:lvlJc w:val="left"/>
      <w:lvlText w:val="%2"/>
      <w:numFmt w:val="decimal"/>
      <w:start w:val="104"/>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2020-08-06T15:52:27Z</dcterms:created>
  <dcterms:modified xsi:type="dcterms:W3CDTF">2020-08-06T15:52:27Z</dcterms:modified>
</cp:coreProperties>
</file>