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001-34899</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spacing w:before="60" w:after="283"/>
        <w:jc w:val="center"/>
        <w:rPr/>
      </w:pPr>
      <w:r>
        <w:rPr/>
        <w:drawing>
          <wp:inline distT="0" distB="6350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Pacific Biosciences of California,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tbl>
      <w:tblPr>
        <w:tblW w:w="4408" w:type="dxa"/>
        <w:jc w:val="left"/>
        <w:tblInd w:w="0" w:type="dxa"/>
        <w:tblCellMar>
          <w:top w:w="28" w:type="dxa"/>
          <w:left w:w="28" w:type="dxa"/>
          <w:bottom w:w="28" w:type="dxa"/>
          <w:right w:w="28" w:type="dxa"/>
        </w:tblCellMar>
      </w:tblPr>
      <w:tblGrid>
        <w:gridCol w:w="1060"/>
        <w:gridCol w:w="929"/>
        <w:gridCol w:w="935"/>
        <w:gridCol w:w="432"/>
        <w:gridCol w:w="432"/>
        <w:gridCol w:w="620"/>
      </w:tblGrid>
      <w:tr>
        <w:trPr/>
        <w:tc>
          <w:tcPr>
            <w:tcW w:w="106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16-1590339</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1305 O’Brien Drive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Menlo Park, CA</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94025</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(650) 521-8000</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99" w:type="dxa"/>
        <w:jc w:val="left"/>
        <w:tblInd w:w="0" w:type="dxa"/>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60" w:after="283"/>
        <w:ind w:left="0" w:right="0" w:firstLine="540"/>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200" w:after="283"/>
        <w:ind w:left="0" w:right="0" w:firstLine="540"/>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200" w:after="283"/>
        <w:ind w:left="0" w:right="0" w:firstLine="540"/>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200" w:after="283"/>
        <w:ind w:left="0" w:right="0" w:firstLine="540"/>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200" w:after="283"/>
        <w:ind w:left="0" w:right="0" w:firstLine="540"/>
        <w:rPr>
          <w:rFonts w:ascii="Times New Roman;sans-serif" w:hAnsi="Times New Roman;sans-serif"/>
          <w:b w:val="false"/>
          <w:color w:val="000000"/>
          <w:sz w:val="16"/>
        </w:rPr>
      </w:pPr>
      <w:r>
        <w:rPr>
          <w:rFonts w:ascii="Times New Roman;sans-serif" w:hAnsi="Times New Roman;sans-serif"/>
          <w:b w:val="false"/>
          <w:color w:val="000000"/>
          <w:sz w:val="16"/>
        </w:rPr>
        <w:t xml:space="preserve">Number of shares outstanding of the issuer’s common stock as of April 30, 2023: 249,891,404.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CellMar>
          <w:top w:w="28" w:type="dxa"/>
          <w:left w:w="28" w:type="dxa"/>
          <w:bottom w:w="28" w:type="dxa"/>
          <w:right w:w="28" w:type="dxa"/>
        </w:tblCellMar>
      </w:tblPr>
      <w:tblGrid>
        <w:gridCol w:w="3314"/>
        <w:gridCol w:w="2912"/>
        <w:gridCol w:w="2926"/>
        <w:gridCol w:w="307"/>
        <w:gridCol w:w="307"/>
        <w:gridCol w:w="439"/>
      </w:tblGrid>
      <w:tr>
        <w:trPr/>
        <w:tc>
          <w:tcPr>
            <w:tcW w:w="3314"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d15d706814f4821992e3c53513cc1e0_10">
              <w:r>
                <w:rPr>
                  <w:rStyle w:val="InternetLink"/>
                  <w:rFonts w:ascii="Roboto;sans-serif" w:hAnsi="Roboto;sans-serif"/>
                  <w:b/>
                  <w:strike w:val="false"/>
                  <w:dstrike w:val="false"/>
                  <w:color w:val="000000"/>
                  <w:sz w:val="20"/>
                  <w:u w:val="none"/>
                  <w:effect w:val="none"/>
                </w:rPr>
                <w:t>PART I. FINANCIAL INFORMATION</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color w:val="000000"/>
                <w:sz w:val="20"/>
                <w:u w:val="single"/>
              </w:rPr>
            </w:pPr>
            <w:r>
              <w:rPr>
                <w:rFonts w:ascii="Roboto;sans-serif" w:hAnsi="Roboto;sans-serif"/>
                <w:b/>
                <w:color w:val="000000"/>
                <w:sz w:val="20"/>
                <w:u w:val="single"/>
              </w:rPr>
              <w:t>PAGE No.</w:t>
            </w:r>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3">
              <w:r>
                <w:rPr>
                  <w:rStyle w:val="InternetLink"/>
                  <w:rFonts w:ascii="Roboto;sans-serif" w:hAnsi="Roboto;sans-serif"/>
                  <w:b w:val="false"/>
                  <w:color w:val="0000FF"/>
                  <w:sz w:val="20"/>
                  <w:u w:val="single"/>
                </w:rPr>
                <w:t>Item 1. Financial Statements (unaudited):</w:t>
              </w:r>
            </w:hyperlink>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6">
              <w:r>
                <w:rPr>
                  <w:rStyle w:val="InternetLink"/>
                </w:rPr>
                <w:t xml:space="preserve">Condensed Consolidated Balance Sheets as of </w:t>
              </w:r>
            </w:hyperlink>
            <w:hyperlink w:anchor="idd15d706814f4821992e3c53513cc1e0_16">
              <w:r>
                <w:rPr>
                  <w:rStyle w:val="InternetLink"/>
                </w:rPr>
                <w:t>March 31</w:t>
              </w:r>
            </w:hyperlink>
            <w:hyperlink w:anchor="idd15d706814f4821992e3c53513cc1e0_16">
              <w:r>
                <w:rPr>
                  <w:rStyle w:val="InternetLink"/>
                </w:rPr>
                <w:t>, 202</w:t>
              </w:r>
            </w:hyperlink>
            <w:hyperlink w:anchor="idd15d706814f4821992e3c53513cc1e0_16">
              <w:r>
                <w:rPr>
                  <w:rStyle w:val="InternetLink"/>
                </w:rPr>
                <w:t>3</w:t>
              </w:r>
            </w:hyperlink>
            <w:hyperlink w:anchor="idd15d706814f4821992e3c53513cc1e0_16">
              <w:r>
                <w:rPr>
                  <w:rStyle w:val="InternetLink"/>
                </w:rPr>
                <w:t xml:space="preserve"> and December 31, 202</w:t>
              </w:r>
            </w:hyperlink>
            <w:hyperlink w:anchor="idd15d706814f4821992e3c53513cc1e0_16">
              <w:r>
                <w:rPr>
                  <w:rStyle w:val="InternetLink"/>
                </w:rPr>
                <w:t>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6">
              <w:r>
                <w:rPr>
                  <w:rStyle w:val="InternetLink"/>
                  <w:rFonts w:ascii="Roboto;sans-serif" w:hAnsi="Roboto;sans-serif"/>
                  <w:b w:val="false"/>
                  <w:strike w:val="false"/>
                  <w:dstrike w:val="false"/>
                  <w:color w:val="000000"/>
                  <w:sz w:val="20"/>
                  <w:u w:val="none"/>
                  <w:effect w:val="none"/>
                </w:rPr>
                <w:t>3</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9">
              <w:r>
                <w:rPr>
                  <w:rStyle w:val="InternetLink"/>
                </w:rPr>
                <w:t xml:space="preserve">Condensed Consolidated Statements of Operations and Comprehensive </w:t>
              </w:r>
            </w:hyperlink>
            <w:hyperlink w:anchor="idd15d706814f4821992e3c53513cc1e0_19">
              <w:r>
                <w:rPr>
                  <w:rStyle w:val="InternetLink"/>
                </w:rPr>
                <w:t>Loss</w:t>
              </w:r>
            </w:hyperlink>
            <w:hyperlink w:anchor="idd15d706814f4821992e3c53513cc1e0_19">
              <w:r>
                <w:rPr>
                  <w:rStyle w:val="InternetLink"/>
                </w:rPr>
                <w:t xml:space="preserve"> for the Three </w:t>
              </w:r>
            </w:hyperlink>
            <w:hyperlink w:anchor="idd15d706814f4821992e3c53513cc1e0_19">
              <w:r>
                <w:rPr>
                  <w:rStyle w:val="InternetLink"/>
                </w:rPr>
                <w:t xml:space="preserve">Months Ended </w:t>
              </w:r>
            </w:hyperlink>
            <w:hyperlink w:anchor="idd15d706814f4821992e3c53513cc1e0_19">
              <w:r>
                <w:rPr>
                  <w:rStyle w:val="InternetLink"/>
                </w:rPr>
                <w:t>March 31</w:t>
              </w:r>
            </w:hyperlink>
            <w:hyperlink w:anchor="idd15d706814f4821992e3c53513cc1e0_19">
              <w:r>
                <w:rPr>
                  <w:rStyle w:val="InternetLink"/>
                </w:rPr>
                <w:t>, 202</w:t>
              </w:r>
            </w:hyperlink>
            <w:hyperlink w:anchor="idd15d706814f4821992e3c53513cc1e0_19">
              <w:r>
                <w:rPr>
                  <w:rStyle w:val="InternetLink"/>
                </w:rPr>
                <w:t>3</w:t>
              </w:r>
            </w:hyperlink>
            <w:hyperlink w:anchor="idd15d706814f4821992e3c53513cc1e0_19">
              <w:r>
                <w:rPr>
                  <w:rStyle w:val="InternetLink"/>
                </w:rPr>
                <w:t xml:space="preserve"> and 202</w:t>
              </w:r>
            </w:hyperlink>
            <w:hyperlink w:anchor="idd15d706814f4821992e3c53513cc1e0_19">
              <w:r>
                <w:rPr>
                  <w:rStyle w:val="InternetLink"/>
                </w:rPr>
                <w:t>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9">
              <w:r>
                <w:rPr>
                  <w:rStyle w:val="InternetLink"/>
                  <w:rFonts w:ascii="Roboto;sans-serif" w:hAnsi="Roboto;sans-serif"/>
                  <w:b w:val="false"/>
                  <w:strike w:val="false"/>
                  <w:dstrike w:val="false"/>
                  <w:color w:val="000000"/>
                  <w:sz w:val="20"/>
                  <w:u w:val="none"/>
                  <w:effect w:val="none"/>
                </w:rPr>
                <w:t>4</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22">
              <w:r>
                <w:rPr>
                  <w:rStyle w:val="InternetLink"/>
                </w:rPr>
                <w:t xml:space="preserve">Condensed Consolidated Statements of Stockholders’ Equity for the Three </w:t>
              </w:r>
            </w:hyperlink>
            <w:hyperlink w:anchor="idd15d706814f4821992e3c53513cc1e0_22">
              <w:r>
                <w:rPr>
                  <w:rStyle w:val="InternetLink"/>
                </w:rPr>
                <w:t xml:space="preserve">Months Ended </w:t>
              </w:r>
            </w:hyperlink>
            <w:hyperlink w:anchor="idd15d706814f4821992e3c53513cc1e0_22">
              <w:r>
                <w:rPr>
                  <w:rStyle w:val="InternetLink"/>
                </w:rPr>
                <w:t>March 31</w:t>
              </w:r>
            </w:hyperlink>
            <w:hyperlink w:anchor="idd15d706814f4821992e3c53513cc1e0_22">
              <w:r>
                <w:rPr>
                  <w:rStyle w:val="InternetLink"/>
                </w:rPr>
                <w:t>, 202</w:t>
              </w:r>
            </w:hyperlink>
            <w:hyperlink w:anchor="idd15d706814f4821992e3c53513cc1e0_22">
              <w:r>
                <w:rPr>
                  <w:rStyle w:val="InternetLink"/>
                </w:rPr>
                <w:t>3</w:t>
              </w:r>
            </w:hyperlink>
            <w:hyperlink w:anchor="idd15d706814f4821992e3c53513cc1e0_22">
              <w:r>
                <w:rPr>
                  <w:rStyle w:val="InternetLink"/>
                </w:rPr>
                <w:t xml:space="preserve"> and 202</w:t>
              </w:r>
            </w:hyperlink>
            <w:hyperlink w:anchor="idd15d706814f4821992e3c53513cc1e0_22">
              <w:r>
                <w:rPr>
                  <w:rStyle w:val="InternetLink"/>
                </w:rPr>
                <w:t>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22">
              <w:r>
                <w:rPr>
                  <w:rStyle w:val="InternetLink"/>
                  <w:rFonts w:ascii="Roboto;sans-serif" w:hAnsi="Roboto;sans-serif"/>
                  <w:b w:val="false"/>
                  <w:strike w:val="false"/>
                  <w:dstrike w:val="false"/>
                  <w:color w:val="000000"/>
                  <w:sz w:val="20"/>
                  <w:u w:val="none"/>
                  <w:effect w:val="none"/>
                </w:rPr>
                <w:t>5</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25">
              <w:r>
                <w:rPr>
                  <w:rStyle w:val="InternetLink"/>
                </w:rPr>
                <w:t xml:space="preserve">Condensed Consolidated Statements of Cash Flows for the </w:t>
              </w:r>
            </w:hyperlink>
            <w:hyperlink w:anchor="idd15d706814f4821992e3c53513cc1e0_25">
              <w:r>
                <w:rPr>
                  <w:rStyle w:val="InternetLink"/>
                </w:rPr>
                <w:t>Three</w:t>
              </w:r>
            </w:hyperlink>
            <w:hyperlink w:anchor="idd15d706814f4821992e3c53513cc1e0_25">
              <w:r>
                <w:rPr>
                  <w:rStyle w:val="InternetLink"/>
                </w:rPr>
                <w:t xml:space="preserve"> Months Ended </w:t>
              </w:r>
            </w:hyperlink>
            <w:hyperlink w:anchor="idd15d706814f4821992e3c53513cc1e0_25">
              <w:r>
                <w:rPr>
                  <w:rStyle w:val="InternetLink"/>
                </w:rPr>
                <w:t>March 31</w:t>
              </w:r>
            </w:hyperlink>
            <w:hyperlink w:anchor="idd15d706814f4821992e3c53513cc1e0_25">
              <w:r>
                <w:rPr>
                  <w:rStyle w:val="InternetLink"/>
                </w:rPr>
                <w:t>, 202</w:t>
              </w:r>
            </w:hyperlink>
            <w:hyperlink w:anchor="idd15d706814f4821992e3c53513cc1e0_25">
              <w:r>
                <w:rPr>
                  <w:rStyle w:val="InternetLink"/>
                </w:rPr>
                <w:t>3</w:t>
              </w:r>
            </w:hyperlink>
            <w:hyperlink w:anchor="idd15d706814f4821992e3c53513cc1e0_25">
              <w:r>
                <w:rPr>
                  <w:rStyle w:val="InternetLink"/>
                </w:rPr>
                <w:t xml:space="preserve"> and 202</w:t>
              </w:r>
            </w:hyperlink>
            <w:hyperlink w:anchor="idd15d706814f4821992e3c53513cc1e0_25">
              <w:r>
                <w:rPr>
                  <w:rStyle w:val="InternetLink"/>
                </w:rPr>
                <w:t>2</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25">
              <w:r>
                <w:rPr>
                  <w:rStyle w:val="InternetLink"/>
                  <w:rFonts w:ascii="Roboto;sans-serif" w:hAnsi="Roboto;sans-serif"/>
                  <w:b w:val="false"/>
                  <w:strike w:val="false"/>
                  <w:dstrike w:val="false"/>
                  <w:color w:val="000000"/>
                  <w:sz w:val="20"/>
                  <w:u w:val="none"/>
                  <w:effect w:val="none"/>
                </w:rPr>
                <w:t>6</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28">
              <w:r>
                <w:rPr>
                  <w:rStyle w:val="InternetLink"/>
                  <w:rFonts w:ascii="Roboto;sans-serif" w:hAnsi="Roboto;sans-serif"/>
                  <w:b w:val="false"/>
                  <w:color w:val="0000FF"/>
                  <w:sz w:val="20"/>
                  <w:u w:val="single"/>
                </w:rPr>
                <w:t xml:space="preserve">Notes to Condensed Consolidated Financial Statements </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28">
              <w:r>
                <w:rPr>
                  <w:rStyle w:val="InternetLink"/>
                  <w:rFonts w:ascii="Roboto;sans-serif" w:hAnsi="Roboto;sans-serif"/>
                  <w:b w:val="false"/>
                  <w:strike w:val="false"/>
                  <w:dstrike w:val="false"/>
                  <w:color w:val="000000"/>
                  <w:sz w:val="20"/>
                  <w:u w:val="none"/>
                  <w:effect w:val="none"/>
                </w:rPr>
                <w:t>7</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64">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64">
              <w:r>
                <w:rPr>
                  <w:rStyle w:val="InternetLink"/>
                  <w:rFonts w:ascii="Roboto;sans-serif" w:hAnsi="Roboto;sans-serif"/>
                  <w:b w:val="false"/>
                  <w:strike w:val="false"/>
                  <w:dstrike w:val="false"/>
                  <w:color w:val="000000"/>
                  <w:sz w:val="20"/>
                  <w:u w:val="none"/>
                  <w:effect w:val="none"/>
                </w:rPr>
                <w:t>20</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82">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82">
              <w:r>
                <w:rPr>
                  <w:rStyle w:val="InternetLink"/>
                  <w:rFonts w:ascii="Roboto;sans-serif" w:hAnsi="Roboto;sans-serif"/>
                  <w:b w:val="false"/>
                  <w:strike w:val="false"/>
                  <w:dstrike w:val="false"/>
                  <w:color w:val="000000"/>
                  <w:sz w:val="20"/>
                  <w:u w:val="none"/>
                  <w:effect w:val="none"/>
                </w:rPr>
                <w:t>26</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85">
              <w:r>
                <w:rPr>
                  <w:rStyle w:val="InternetLink"/>
                  <w:rFonts w:ascii="Roboto;sans-serif" w:hAnsi="Roboto;sans-serif"/>
                  <w:b w:val="false"/>
                  <w:color w:val="0000FF"/>
                  <w:sz w:val="20"/>
                  <w:u w:val="single"/>
                </w:rPr>
                <w:t>Item 4. Controls and Procedures</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85">
              <w:r>
                <w:rPr>
                  <w:rStyle w:val="InternetLink"/>
                  <w:rFonts w:ascii="Roboto;sans-serif" w:hAnsi="Roboto;sans-serif"/>
                  <w:b w:val="false"/>
                  <w:strike w:val="false"/>
                  <w:dstrike w:val="false"/>
                  <w:color w:val="000000"/>
                  <w:sz w:val="20"/>
                  <w:u w:val="none"/>
                  <w:effect w:val="none"/>
                </w:rPr>
                <w:t>26</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d15d706814f4821992e3c53513cc1e0_88">
              <w:r>
                <w:rPr>
                  <w:rStyle w:val="InternetLink"/>
                  <w:rFonts w:ascii="Roboto;sans-serif" w:hAnsi="Roboto;sans-serif"/>
                  <w:b/>
                  <w:strike w:val="false"/>
                  <w:dstrike w:val="false"/>
                  <w:color w:val="000000"/>
                  <w:sz w:val="20"/>
                  <w:u w:val="none"/>
                  <w:effect w:val="none"/>
                </w:rPr>
                <w:t>PART II. OTHER INFORMATION</w:t>
              </w:r>
            </w:hyperlink>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91">
              <w:r>
                <w:rPr>
                  <w:rStyle w:val="InternetLink"/>
                  <w:rFonts w:ascii="Roboto;sans-serif" w:hAnsi="Roboto;sans-serif"/>
                  <w:b w:val="false"/>
                  <w:color w:val="0000FF"/>
                  <w:sz w:val="20"/>
                  <w:u w:val="single"/>
                </w:rPr>
                <w:t>Item 1. Legal Proceedings</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91">
              <w:r>
                <w:rPr>
                  <w:rStyle w:val="InternetLink"/>
                  <w:rFonts w:ascii="Roboto;sans-serif" w:hAnsi="Roboto;sans-serif"/>
                  <w:b w:val="false"/>
                  <w:strike w:val="false"/>
                  <w:dstrike w:val="false"/>
                  <w:color w:val="000000"/>
                  <w:sz w:val="20"/>
                  <w:u w:val="none"/>
                  <w:effect w:val="none"/>
                </w:rPr>
                <w:t>27</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94">
              <w:r>
                <w:rPr>
                  <w:rStyle w:val="InternetLink"/>
                  <w:rFonts w:ascii="Roboto;sans-serif" w:hAnsi="Roboto;sans-serif"/>
                  <w:b w:val="false"/>
                  <w:color w:val="0000FF"/>
                  <w:sz w:val="20"/>
                  <w:u w:val="single"/>
                </w:rPr>
                <w:t xml:space="preserve">Item 1A. Risk Factors </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94">
              <w:r>
                <w:rPr>
                  <w:rStyle w:val="InternetLink"/>
                  <w:rFonts w:ascii="Roboto;sans-serif" w:hAnsi="Roboto;sans-serif"/>
                  <w:b w:val="false"/>
                  <w:strike w:val="false"/>
                  <w:dstrike w:val="false"/>
                  <w:color w:val="000000"/>
                  <w:sz w:val="20"/>
                  <w:u w:val="none"/>
                  <w:effect w:val="none"/>
                </w:rPr>
                <w:t>28</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97">
              <w:r>
                <w:rPr>
                  <w:rStyle w:val="InternetLink"/>
                  <w:rFonts w:ascii="Roboto;sans-serif" w:hAnsi="Roboto;sans-serif"/>
                  <w:b w:val="false"/>
                  <w:color w:val="0000FF"/>
                  <w:sz w:val="20"/>
                  <w:u w:val="single"/>
                </w:rPr>
                <w:t>Item 2. Unregistered Sales of Equity Securities and Use of Proceeds</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97">
              <w:r>
                <w:rPr>
                  <w:rStyle w:val="InternetLink"/>
                  <w:rFonts w:ascii="Roboto;sans-serif" w:hAnsi="Roboto;sans-serif"/>
                  <w:b w:val="false"/>
                  <w:strike w:val="false"/>
                  <w:dstrike w:val="false"/>
                  <w:color w:val="000000"/>
                  <w:sz w:val="20"/>
                  <w:u w:val="none"/>
                  <w:effect w:val="none"/>
                </w:rPr>
                <w:t>63</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00">
              <w:r>
                <w:rPr>
                  <w:rStyle w:val="InternetLink"/>
                  <w:rFonts w:ascii="Roboto;sans-serif" w:hAnsi="Roboto;sans-serif"/>
                  <w:b w:val="false"/>
                  <w:color w:val="0000FF"/>
                  <w:sz w:val="20"/>
                  <w:u w:val="single"/>
                </w:rPr>
                <w:t xml:space="preserve">Item 3. Default Upon Senior Securities </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00">
              <w:r>
                <w:rPr>
                  <w:rStyle w:val="InternetLink"/>
                  <w:rFonts w:ascii="Roboto;sans-serif" w:hAnsi="Roboto;sans-serif"/>
                  <w:b w:val="false"/>
                  <w:strike w:val="false"/>
                  <w:dstrike w:val="false"/>
                  <w:color w:val="000000"/>
                  <w:sz w:val="20"/>
                  <w:u w:val="none"/>
                  <w:effect w:val="none"/>
                </w:rPr>
                <w:t>63</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03">
              <w:r>
                <w:rPr>
                  <w:rStyle w:val="InternetLink"/>
                  <w:rFonts w:ascii="Roboto;sans-serif" w:hAnsi="Roboto;sans-serif"/>
                  <w:b w:val="false"/>
                  <w:color w:val="0000FF"/>
                  <w:sz w:val="20"/>
                  <w:u w:val="single"/>
                </w:rPr>
                <w:t xml:space="preserve">Item 4. Mine Safety Disclosures </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03">
              <w:r>
                <w:rPr>
                  <w:rStyle w:val="InternetLink"/>
                  <w:rFonts w:ascii="Roboto;sans-serif" w:hAnsi="Roboto;sans-serif"/>
                  <w:b w:val="false"/>
                  <w:strike w:val="false"/>
                  <w:dstrike w:val="false"/>
                  <w:color w:val="000000"/>
                  <w:sz w:val="20"/>
                  <w:u w:val="none"/>
                  <w:effect w:val="none"/>
                </w:rPr>
                <w:t>63</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06">
              <w:r>
                <w:rPr>
                  <w:rStyle w:val="InternetLink"/>
                  <w:rFonts w:ascii="Roboto;sans-serif" w:hAnsi="Roboto;sans-serif"/>
                  <w:b w:val="false"/>
                  <w:color w:val="0000FF"/>
                  <w:sz w:val="20"/>
                  <w:u w:val="single"/>
                </w:rPr>
                <w:t>Item 5. Other Information</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06">
              <w:r>
                <w:rPr>
                  <w:rStyle w:val="InternetLink"/>
                  <w:rFonts w:ascii="Roboto;sans-serif" w:hAnsi="Roboto;sans-serif"/>
                  <w:b w:val="false"/>
                  <w:strike w:val="false"/>
                  <w:dstrike w:val="false"/>
                  <w:color w:val="000000"/>
                  <w:sz w:val="20"/>
                  <w:u w:val="none"/>
                  <w:effect w:val="none"/>
                </w:rPr>
                <w:t>63</w:t>
              </w:r>
            </w:hyperlink>
          </w:p>
        </w:tc>
      </w:tr>
      <w:tr>
        <w:trPr/>
        <w:tc>
          <w:tcPr>
            <w:tcW w:w="9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d15d706814f4821992e3c53513cc1e0_109">
              <w:r>
                <w:rPr>
                  <w:rStyle w:val="InternetLink"/>
                  <w:rFonts w:ascii="Roboto;sans-serif" w:hAnsi="Roboto;sans-serif"/>
                  <w:b w:val="false"/>
                  <w:color w:val="0000FF"/>
                  <w:sz w:val="20"/>
                  <w:u w:val="single"/>
                </w:rPr>
                <w:t>Item 6. Exhibits</w:t>
              </w:r>
            </w:hyperlink>
            <w:r>
              <w:rPr>
                <w:color w:val="000000"/>
              </w:rPr>
              <w:t xml:space="preserve"> </w:t>
            </w:r>
          </w:p>
        </w:tc>
        <w:tc>
          <w:tcPr>
            <w:tcW w:w="10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d15d706814f4821992e3c53513cc1e0_109">
              <w:r>
                <w:rPr>
                  <w:rStyle w:val="InternetLink"/>
                  <w:rFonts w:ascii="Roboto;sans-serif" w:hAnsi="Roboto;sans-serif"/>
                  <w:b w:val="false"/>
                  <w:strike w:val="false"/>
                  <w:dstrike w:val="false"/>
                  <w:color w:val="000000"/>
                  <w:sz w:val="20"/>
                  <w:u w:val="none"/>
                  <w:effect w:val="none"/>
                </w:rPr>
                <w:t>63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Roboto;sans-serif" w:hAnsi="Roboto;sans-serif"/>
          <w:b/>
          <w:color w:val="000000"/>
          <w:sz w:val="20"/>
        </w:rPr>
      </w:pPr>
      <w:r>
        <w:rPr>
          <w:rFonts w:ascii="Roboto;sans-serif" w:hAnsi="Roboto;sans-serif"/>
          <w:b/>
          <w:color w:val="000000"/>
          <w:sz w:val="20"/>
        </w:rPr>
        <w:t xml:space="preserve">Item 1.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spacing w:lineRule="auto" w:line="288" w:before="120" w:after="283"/>
        <w:jc w:val="center"/>
        <w:rPr>
          <w:rFonts w:ascii="Roboto;sans-serif" w:hAnsi="Roboto;sans-serif"/>
          <w:b/>
          <w:color w:val="000000"/>
          <w:sz w:val="20"/>
        </w:rPr>
      </w:pPr>
      <w:bookmarkStart w:id="0" w:name="i71fd6429d51541aca85ce707635ba737_360"/>
      <w:bookmarkEnd w:id="0"/>
      <w:r>
        <w:rPr>
          <w:rFonts w:ascii="Roboto;sans-serif" w:hAnsi="Roboto;sans-serif"/>
          <w:b/>
          <w:color w:val="000000"/>
          <w:sz w:val="20"/>
        </w:rPr>
        <w:t>Condensed Consolidated Balance Sheets</w:t>
      </w:r>
    </w:p>
    <w:p>
      <w:pPr>
        <w:pStyle w:val="TextBody"/>
        <w:spacing w:lineRule="auto" w:line="288" w:before="0" w:after="0"/>
        <w:jc w:val="center"/>
        <w:rPr/>
      </w:pPr>
      <w:r>
        <w:rPr>
          <w:rFonts w:ascii="Roboto;sans-serif" w:hAnsi="Roboto;sans-serif"/>
          <w:b/>
          <w:color w:val="000000"/>
          <w:sz w:val="20"/>
        </w:rPr>
        <w:t>(Unaudited)</w:t>
      </w:r>
      <w:r>
        <w:rPr>
          <w:color w:val="000000"/>
        </w:rPr>
        <w:t xml:space="preserve"> </w:t>
      </w:r>
    </w:p>
    <w:tbl>
      <w:tblPr>
        <w:tblW w:w="10205" w:type="dxa"/>
        <w:jc w:val="left"/>
        <w:tblInd w:w="0" w:type="dxa"/>
        <w:tblCellMar>
          <w:top w:w="28" w:type="dxa"/>
          <w:left w:w="28" w:type="dxa"/>
          <w:bottom w:w="28" w:type="dxa"/>
          <w:right w:w="28" w:type="dxa"/>
        </w:tblCellMar>
      </w:tblPr>
      <w:tblGrid>
        <w:gridCol w:w="2676"/>
        <w:gridCol w:w="2255"/>
        <w:gridCol w:w="2262"/>
        <w:gridCol w:w="211"/>
        <w:gridCol w:w="976"/>
        <w:gridCol w:w="109"/>
        <w:gridCol w:w="109"/>
        <w:gridCol w:w="109"/>
        <w:gridCol w:w="109"/>
        <w:gridCol w:w="218"/>
        <w:gridCol w:w="1010"/>
        <w:gridCol w:w="161"/>
      </w:tblGrid>
      <w:tr>
        <w:trPr/>
        <w:tc>
          <w:tcPr>
            <w:tcW w:w="2676"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7"/>
              </w:rPr>
            </w:pPr>
            <w:r>
              <w:rPr>
                <w:rFonts w:ascii="Roboto;sans-serif" w:hAnsi="Roboto;sans-serif"/>
                <w:b/>
                <w:color w:val="000000"/>
                <w:sz w:val="17"/>
              </w:rPr>
              <w:t>(in thousands, except per share amounts)</w:t>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7"/>
              </w:rPr>
            </w:pPr>
            <w:r>
              <w:rPr>
                <w:rFonts w:ascii="Roboto;sans-serif" w:hAnsi="Roboto;sans-serif"/>
                <w:b/>
                <w:color w:val="000000"/>
                <w:sz w:val="17"/>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7"/>
              </w:rPr>
            </w:pPr>
            <w:r>
              <w:rPr>
                <w:rFonts w:ascii="Roboto;sans-serif" w:hAnsi="Roboto;sans-serif"/>
                <w:b/>
                <w:color w:val="000000"/>
                <w:sz w:val="17"/>
              </w:rPr>
              <w:t>December 31,</w:t>
              <w:br/>
              <w:t>2022</w:t>
            </w:r>
          </w:p>
        </w:tc>
      </w:tr>
      <w:tr>
        <w:trPr/>
        <w:tc>
          <w:tcPr>
            <w:tcW w:w="71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7"/>
              </w:rPr>
            </w:pPr>
            <w:r>
              <w:rPr>
                <w:rFonts w:ascii="Roboto;sans-serif" w:hAnsi="Roboto;sans-serif"/>
                <w:b/>
                <w:color w:val="000000"/>
                <w:sz w:val="17"/>
              </w:rPr>
              <w:t>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Current assets </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353,834 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325,089 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Investments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521,058 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447,229 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29,589 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18,786 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Inventory,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61,955 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50,381 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10,289 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Short-term 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assets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981,111 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852,074 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Property and equipment,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41,580 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right-of-use assets, net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38,247 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39,763 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Long-term 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2,922 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410,011 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410,245 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409,974 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409,974 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long-term assets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10,528 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1,896,417 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1,767,086 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7"/>
              </w:rPr>
            </w:pPr>
            <w:r>
              <w:rPr>
                <w:rFonts w:ascii="Roboto;sans-serif" w:hAnsi="Roboto;sans-serif"/>
                <w:b/>
                <w:color w:val="000000"/>
                <w:sz w:val="17"/>
              </w:rPr>
              <w:t xml:space="preserve">Liabilities and Stockholders’ Equity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Accounts payable </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Accrued expenses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19,380 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32,596 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current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30,498 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9,018 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8,886 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current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7,233 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Contingent consideration liability, current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184,350 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172,094 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liabilities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265,674 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263,335 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non-current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1,794 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liabilities, non-current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38,969 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41,070 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Convertible senior notes, net, non-current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896,839 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896,683 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non-current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1,204,300 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1,204,182 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Commitments and contingencies </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Stockholders’ equity</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Preferred stock, $0.001 par value: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Authorized 50,000 shares; No shares issued or outstanding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Common stock, $0.001 par value: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Authorized 1,000,000 shares; issued and outstanding 249,803 and 226,505 shares at March 31, 2023 and December 31, 2022, respectively </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227 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Additional paid-in capital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2,314,146 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2,099,782 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(1,924)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(4,765)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Accumulated deficit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(1,620,355)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(1,532,340)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stockholders’ equity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692,117 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562,904 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1,896,417 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1,767,086 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pPr>
      <w:r>
        <w:rPr>
          <w:rFonts w:ascii="Roboto;sans-serif" w:hAnsi="Roboto;sans-serif"/>
          <w:b w:val="false"/>
          <w:color w:val="000000"/>
          <w:sz w:val="20"/>
        </w:rPr>
        <w:t xml:space="preserve">See accompanying </w:t>
      </w:r>
      <w:hyperlink w:anchor="idd15d706814f4821992e3c53513cc1e0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CellMar>
          <w:top w:w="28" w:type="dxa"/>
          <w:left w:w="28" w:type="dxa"/>
          <w:bottom w:w="28" w:type="dxa"/>
          <w:right w:w="28" w:type="dxa"/>
        </w:tblCellMar>
      </w:tblPr>
      <w:tblGrid>
        <w:gridCol w:w="2345"/>
        <w:gridCol w:w="2003"/>
        <w:gridCol w:w="2014"/>
        <w:gridCol w:w="270"/>
        <w:gridCol w:w="1083"/>
        <w:gridCol w:w="130"/>
        <w:gridCol w:w="130"/>
        <w:gridCol w:w="130"/>
        <w:gridCol w:w="130"/>
        <w:gridCol w:w="270"/>
        <w:gridCol w:w="1083"/>
        <w:gridCol w:w="130"/>
        <w:gridCol w:w="109"/>
        <w:gridCol w:w="109"/>
        <w:gridCol w:w="109"/>
        <w:gridCol w:w="160"/>
      </w:tblGrid>
      <w:tr>
        <w:trPr/>
        <w:tc>
          <w:tcPr>
            <w:tcW w:w="2345"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3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20"/>
              </w:rPr>
            </w:pPr>
            <w:r>
              <w:rPr>
                <w:rFonts w:ascii="Roboto;sans-serif" w:hAnsi="Roboto;sans-serif"/>
                <w:b/>
                <w:color w:val="000000"/>
                <w:sz w:val="20"/>
              </w:rPr>
              <w:t>(in thousands, except per share amounts)</w:t>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Revenue:</w:t>
            </w:r>
          </w:p>
        </w:tc>
        <w:tc>
          <w:tcPr>
            <w:tcW w:w="1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Product revenue </w:t>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34,654 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28,244 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Service and other revenue </w:t>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4,246 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4,929 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revenue </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38,900 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33,173 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Cost of Revenue:</w:t>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Cost of product revenue </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25,164 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14,820 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Cost of service and other revenue </w:t>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3,792 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4,015 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Amortization of intangible assets</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cost of revenue </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29,139 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19,018 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Gross profit </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9,761 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14,155 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Operating Expense:</w:t>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Research and development </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48,939 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52,937 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Sales, general and administrative </w:t>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39,818 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39,804 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Change in fair value of contingent consideration</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12,256 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(1,063)</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Total operating expense </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101,013 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91,678 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Operating loss </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(91,252)</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(77,523)</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Interest expense </w:t>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(3,630)</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(3,697)</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Other income (expense), net </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6,867 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(279)</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Loss before expense (benefit) from income taxes</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(88,015)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(81,499)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Expense (benefit) from income taxes</w:t>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loss</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(88,015)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(81,499)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Other comprehensive income (loss):</w:t>
            </w:r>
          </w:p>
        </w:tc>
        <w:tc>
          <w:tcPr>
            <w:tcW w:w="1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Unrealized gain (loss) on investments </w:t>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2,841 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(2,998)</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Comprehensive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(85,174)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(84,497)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loss per share:</w:t>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Basic </w:t>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Diluted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(0.36)</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8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(0.37)</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Weighted average shares outstanding used in calculating net loss per share:</w:t>
            </w:r>
          </w:p>
        </w:tc>
        <w:tc>
          <w:tcPr>
            <w:tcW w:w="1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Basic </w:t>
            </w:r>
          </w:p>
        </w:tc>
        <w:tc>
          <w:tcPr>
            <w:tcW w:w="148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242,032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222,289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Diluted </w:t>
            </w:r>
          </w:p>
        </w:tc>
        <w:tc>
          <w:tcPr>
            <w:tcW w:w="148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242,032</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222,289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pPr>
      <w:r>
        <w:rPr>
          <w:rFonts w:ascii="Roboto;sans-serif" w:hAnsi="Roboto;sans-serif"/>
          <w:b w:val="false"/>
          <w:color w:val="000000"/>
          <w:sz w:val="20"/>
        </w:rPr>
        <w:t xml:space="preserve">See accompanying </w:t>
      </w:r>
      <w:hyperlink w:anchor="idd15d706814f4821992e3c53513cc1e0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Stockholders’ Equity</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57" w:type="dxa"/>
        <w:jc w:val="left"/>
        <w:tblInd w:w="0" w:type="dxa"/>
        <w:tblCellMar>
          <w:top w:w="28" w:type="dxa"/>
          <w:left w:w="28" w:type="dxa"/>
          <w:bottom w:w="28" w:type="dxa"/>
          <w:right w:w="28" w:type="dxa"/>
        </w:tblCellMar>
      </w:tblPr>
      <w:tblGrid>
        <w:gridCol w:w="717"/>
        <w:gridCol w:w="354"/>
        <w:gridCol w:w="355"/>
        <w:gridCol w:w="259"/>
        <w:gridCol w:w="259"/>
        <w:gridCol w:w="263"/>
        <w:gridCol w:w="109"/>
        <w:gridCol w:w="109"/>
        <w:gridCol w:w="109"/>
        <w:gridCol w:w="225"/>
        <w:gridCol w:w="498"/>
        <w:gridCol w:w="118"/>
        <w:gridCol w:w="109"/>
        <w:gridCol w:w="109"/>
        <w:gridCol w:w="109"/>
        <w:gridCol w:w="211"/>
        <w:gridCol w:w="976"/>
        <w:gridCol w:w="109"/>
        <w:gridCol w:w="109"/>
        <w:gridCol w:w="109"/>
        <w:gridCol w:w="109"/>
        <w:gridCol w:w="339"/>
        <w:gridCol w:w="1015"/>
        <w:gridCol w:w="177"/>
        <w:gridCol w:w="109"/>
        <w:gridCol w:w="109"/>
        <w:gridCol w:w="109"/>
        <w:gridCol w:w="211"/>
        <w:gridCol w:w="1001"/>
        <w:gridCol w:w="109"/>
        <w:gridCol w:w="109"/>
        <w:gridCol w:w="109"/>
        <w:gridCol w:w="109"/>
        <w:gridCol w:w="252"/>
        <w:gridCol w:w="988"/>
        <w:gridCol w:w="186"/>
      </w:tblGrid>
      <w:tr>
        <w:trPr/>
        <w:tc>
          <w:tcPr>
            <w:tcW w:w="717"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 xml:space="preserve">Additional </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Other</w:t>
              <w:br/>
              <w:t xml:space="preserve">Comprehensive </w:t>
              <w:b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 xml:space="preserve">Accumulated </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Total</w:t>
              <w:br/>
              <w:t>Stockholders'</w:t>
              <w:br/>
              <w:t>Equity</w:t>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(in thousands)</w:t>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i/>
                <w:color w:val="000000"/>
                <w:sz w:val="16"/>
                <w:u w:val="single"/>
              </w:rPr>
            </w:pPr>
            <w:r>
              <w:rPr>
                <w:rFonts w:ascii="Roboto;sans-serif" w:hAnsi="Roboto;sans-serif"/>
                <w:b/>
                <w:i/>
                <w:color w:val="000000"/>
                <w:sz w:val="16"/>
                <w:u w:val="single"/>
              </w:rPr>
              <w:t>For the three months ended March 31, 2023</w:t>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Balance at December 31, 2022</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226,505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2,099,782 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1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(4,765)</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562,904 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(88,015)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(88,015)</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Other comprehensive income</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2,841 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2,841 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from Underwritten Public Equity Offering, net of issuance costs</w:t>
            </w:r>
          </w:p>
        </w:tc>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20,125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189,180 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189,200 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7,235 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17,952 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Balance at March 31, 2023</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249,803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2,314,146 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(1,620,355)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692,117 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i/>
                <w:color w:val="000000"/>
                <w:sz w:val="16"/>
                <w:u w:val="single"/>
              </w:rPr>
            </w:pPr>
            <w:r>
              <w:rPr>
                <w:rFonts w:ascii="Roboto;sans-serif" w:hAnsi="Roboto;sans-serif"/>
                <w:b/>
                <w:i/>
                <w:color w:val="000000"/>
                <w:sz w:val="16"/>
                <w:u w:val="single"/>
              </w:rPr>
              <w:t>For the three months ended March 31, 2022</w:t>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Balance at December 31, 2021</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220,978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2,009,945 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1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(1,087)</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(1,218,092)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790,987 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(81,499)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(81,499)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Other comprehensive loss</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(2,998)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(2,998)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5,592 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22,496 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Balance at March 31, 2022</w:t>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224,329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2,038,030 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(4,085)</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(1,299,591)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734,578 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pPr>
      <w:r>
        <w:rPr>
          <w:rFonts w:ascii="Roboto;sans-serif" w:hAnsi="Roboto;sans-serif"/>
          <w:b w:val="false"/>
          <w:color w:val="000000"/>
          <w:sz w:val="20"/>
        </w:rPr>
        <w:t xml:space="preserve">See accompanying </w:t>
      </w:r>
      <w:hyperlink w:anchor="idd15d706814f4821992e3c53513cc1e0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CellMar>
          <w:top w:w="28" w:type="dxa"/>
          <w:left w:w="28" w:type="dxa"/>
          <w:bottom w:w="28" w:type="dxa"/>
          <w:right w:w="28" w:type="dxa"/>
        </w:tblCellMar>
      </w:tblPr>
      <w:tblGrid>
        <w:gridCol w:w="2590"/>
        <w:gridCol w:w="2276"/>
        <w:gridCol w:w="2280"/>
        <w:gridCol w:w="242"/>
        <w:gridCol w:w="949"/>
        <w:gridCol w:w="124"/>
        <w:gridCol w:w="124"/>
        <w:gridCol w:w="124"/>
        <w:gridCol w:w="124"/>
        <w:gridCol w:w="242"/>
        <w:gridCol w:w="949"/>
        <w:gridCol w:w="181"/>
      </w:tblGrid>
      <w:tr>
        <w:trPr/>
        <w:tc>
          <w:tcPr>
            <w:tcW w:w="2590"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7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r>
      <w:tr>
        <w:trPr/>
        <w:tc>
          <w:tcPr>
            <w:tcW w:w="7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(in thousands)</w:t>
            </w:r>
          </w:p>
        </w:tc>
        <w:tc>
          <w:tcPr>
            <w:tcW w:w="1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2022</w:t>
            </w:r>
          </w:p>
        </w:tc>
      </w:tr>
      <w:tr>
        <w:trPr/>
        <w:tc>
          <w:tcPr>
            <w:tcW w:w="7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Cash flows from operating activities</w:t>
            </w:r>
          </w:p>
        </w:tc>
        <w:tc>
          <w:tcPr>
            <w:tcW w:w="13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24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(88,015)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(81,499)</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Adjustments to reconcile net loss to net cash used in operating activities</w:t>
            </w:r>
          </w:p>
        </w:tc>
        <w:tc>
          <w:tcPr>
            <w:tcW w:w="1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Depreciation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2,755 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2,268 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intangible assets</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right-of-use assets</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1,527 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1,696 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debt discount and financing costs</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17,952 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22,703 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Accretion of discount and amortization of premium on marketable securities, net</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(2,155)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758 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Change in the estimated fair value of contingent consideration</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12,256 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(1,063)</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provision</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3,521 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386 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Loss on disposition of equipment</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Changes in assets and liabilities </w:t>
            </w:r>
          </w:p>
        </w:tc>
        <w:tc>
          <w:tcPr>
            <w:tcW w:w="1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Accounts receivable, net</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(10,803)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(3,611)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Inventory, net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(13,319)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(6,661)</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Prepaid expenses and other assets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(6,888)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(1,185)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Accounts payable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5,068 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6,373 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Accrued expenses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(13,186)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(17,234)</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Deferred revenue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1,949 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Operating lease liabilities</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(1,969)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(1,884)</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Other liabilities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(2,455)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(2,512)</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operating activities </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(94,691)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(79,029)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Cash flows from investing activities</w:t>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 of property and equipment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(3,721)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(3,638)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 of investments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(233,291)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(76,369)</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Sales of investments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Maturities of investments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163,864 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122,060 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provided by investing activities </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(72,553)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42,053 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Cash flows from financing activities</w:t>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under equity offerings, net of issuance costs</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189,200 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from equity plans</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7,235 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5,592 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Notes payable principal payoff</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(377)</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financing activities </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195,989 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5,215 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increase (decrease) in cash, cash equivalents, and restricted cash</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28,745 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(31,761)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beginning of period </w:t>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328,311 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465,817 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357,056 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434,056 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at end of period </w:t>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353,834 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428,574 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Restricted cash at end of period </w:t>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3,222 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5,482 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357,056 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434,056 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pPr>
      <w:r>
        <w:rPr>
          <w:rFonts w:ascii="Roboto;sans-serif" w:hAnsi="Roboto;sans-serif"/>
          <w:b w:val="false"/>
          <w:color w:val="000000"/>
          <w:sz w:val="20"/>
        </w:rPr>
        <w:t xml:space="preserve">See accompanying </w:t>
      </w:r>
      <w:hyperlink w:anchor="idd15d706814f4821992e3c53513cc1e0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spacing w:lineRule="auto" w:line="288" w:before="120" w:after="283"/>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NOTE 1. ORGANIZATION AND SIGNIFICANT ACCOUNTING POLICIES</w:t>
      </w:r>
    </w:p>
    <w:p>
      <w:pPr>
        <w:pStyle w:val="TextBody"/>
        <w:spacing w:lineRule="auto" w:line="268" w:before="120" w:after="283"/>
        <w:jc w:val="both"/>
        <w:rPr/>
      </w:pPr>
      <w:r>
        <w:rPr>
          <w:rFonts w:ascii="Roboto;sans-serif" w:hAnsi="Roboto;sans-serif"/>
          <w:b w:val="false"/>
          <w:color w:val="000000"/>
          <w:sz w:val="20"/>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existing HiFi long-read sequencing technology and our emerging short-read Sequencing by Binding (SBB</w:t>
      </w:r>
      <w:r>
        <w:rPr>
          <w:rFonts w:ascii="Roboto;sans-serif" w:hAnsi="Roboto;sans-serif"/>
          <w:b w:val="false"/>
          <w:color w:val="000000"/>
          <w:sz w:val="13"/>
        </w:rPr>
        <w:t>TM</w:t>
      </w:r>
      <w:r>
        <w:rPr>
          <w:rFonts w:ascii="Roboto;sans-serif" w:hAnsi="Roboto;sans-serif"/>
          <w:b w:val="false"/>
          <w:color w:val="000000"/>
          <w:sz w:val="20"/>
        </w:rPr>
        <w:t>) technology. Our products address solutions across a broad set of applications including human genomics, plant and animal sciences, infectious disease and microbiology, oncology, and other emerging applications. Our focus is on providing our customers with advanced sequencing technologies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Basis of Presentation and Consolidation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2022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2022.</w:t>
      </w: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Use of Estimates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current macroeconomic conditions on our business is highly uncertain, we considered information available related to assumptions and estimates used to determine the results reported and asset valuations as of March 31, 2023. Actual results could differ materially from these estimates. </w:t>
      </w: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Cash, Cash Equivalents, Restricted Cash and Investments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Concentration and Other Risks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For the three months ended March 31, 2023, no customer represented 10% or greater of our total revenue during the period. For the three months ended March 31, 2022, two customers accounted for approximately 14% and 11%, respectively, of total revenue during the period. No other customers exceeded 10% during those periods.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2023, 49% of our accounts receivable were from domestic customers, compared to 57% as of December 31, 2022. As of March 31, 2023, no customer represented 10% or greater of our accounts receivable, while one customer represented approximately 10% of our net accounts receivable as of December 31, 2022.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Recent Accounting Pronouncements </w:t>
      </w:r>
    </w:p>
    <w:p>
      <w:pPr>
        <w:pStyle w:val="TextBody"/>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Recently Adopted Accounting Standards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October 2021, the FASB issued Accounting Standards Update ("ASU") No. 2021-08, Business Combinations (Topic 805): Accounting for Contract Assets and Contract Liabilities from Contracts with Customers. This ASU provides specific guidance on how to recognize contract assets and contract liabilities related to revenue contracts with customers acquired in a business combination. This amendment improves comparability for both the recognition and measurement of acquired revenue contracts with customers at the date of and after a business combination. We adopted this ASU on January 1, 2023. The adoption of this guidance did not have a material effect on our consolidated financial statements.</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Significant Accounting Policies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NOTE 2. FINANCIAL INSTRUMENTS</w:t>
      </w:r>
    </w:p>
    <w:p>
      <w:pPr>
        <w:pStyle w:val="TextBody"/>
        <w:spacing w:lineRule="auto" w:line="288" w:before="200" w:after="283"/>
        <w:jc w:val="both"/>
        <w:rPr>
          <w:rFonts w:ascii="Roboto;sans-serif" w:hAnsi="Roboto;sans-serif"/>
          <w:b/>
          <w:i/>
          <w:color w:val="000000"/>
          <w:sz w:val="20"/>
        </w:rPr>
      </w:pPr>
      <w:r>
        <w:rPr>
          <w:rFonts w:ascii="Roboto;sans-serif" w:hAnsi="Roboto;sans-serif"/>
          <w:b/>
          <w:i/>
          <w:color w:val="000000"/>
          <w:sz w:val="20"/>
        </w:rPr>
        <w:t>Fair Value of Financial Instruments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GAAP requires an entity to maximize the use of observable inputs and minimize the use of unobservable inputs when measuring fair value. The three levels of inputs that may be used to measure fair value are as follows: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Level 1: quoted prices in active markets for identical assets or liabilities;</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carrying amount of our accounts receivable, prepaid expenses, other current assets, accounts payable, accrued expenses and other liabilities, current, approximate fair value due to their short maturities. </w:t>
      </w:r>
    </w:p>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Assets and Liabilities Measured at Fair Value on a Recurring Basis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 (in thousands):</w:t>
      </w:r>
    </w:p>
    <w:tbl>
      <w:tblPr>
        <w:tblW w:w="12763" w:type="dxa"/>
        <w:jc w:val="left"/>
        <w:tblInd w:w="0" w:type="dxa"/>
        <w:tblCellMar>
          <w:top w:w="28" w:type="dxa"/>
          <w:left w:w="28" w:type="dxa"/>
          <w:bottom w:w="28" w:type="dxa"/>
          <w:right w:w="28" w:type="dxa"/>
        </w:tblCellMar>
      </w:tblPr>
      <w:tblGrid>
        <w:gridCol w:w="561"/>
        <w:gridCol w:w="348"/>
        <w:gridCol w:w="35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6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Assets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103,753 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250,081 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353,834 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137,636 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325,089 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Commercial paper </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109,873 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109,873 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127,302 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127,302 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87,381 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87,381 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323,804 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323,804 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270,436 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270,436 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521,058 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521,058 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447,229 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447,229 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106,975 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771,139 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878,114 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140,858 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634,682 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775,540 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6"/>
              </w:rPr>
            </w:pPr>
            <w:r>
              <w:rPr>
                <w:rFonts w:ascii="Roboto;sans-serif" w:hAnsi="Roboto;sans-serif"/>
                <w:b/>
                <w:color w:val="000000"/>
                <w:sz w:val="16"/>
              </w:rPr>
              <w:t>Liabilities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Contingent consideration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184,350 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184,350 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liabilities measured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184,350 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184,350 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172,094 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classify contingent consideration, which was incurred in connection with the acquisition of Omniome, within Level 3 as factors used to develop the estimate of fair value include unobservable inputs that are not supported by market activity and are significant to the fair value.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the contingent consideration liability by discounting the probability-weighted outcomes to present value using an estimate of our borrowing rate and the risk-free rate. The potential outcomes of milestone achievement dates are within the period from June 30, 2023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ranges from 9.3% to 10.2%. Changes in our estimated subordinated credit spread can result in changes in the fair value of the contingent consideration liability, where a lower credit spread may result in an increased liability valuation.</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for the three months ended March 31, 2023 were as follows (in thousands):</w:t>
      </w:r>
    </w:p>
    <w:tbl>
      <w:tblPr>
        <w:tblW w:w="5496" w:type="dxa"/>
        <w:jc w:val="left"/>
        <w:tblInd w:w="0" w:type="dxa"/>
        <w:tblCellMar>
          <w:top w:w="28" w:type="dxa"/>
          <w:left w:w="28" w:type="dxa"/>
          <w:bottom w:w="28" w:type="dxa"/>
          <w:right w:w="28" w:type="dxa"/>
        </w:tblCellMar>
      </w:tblPr>
      <w:tblGrid>
        <w:gridCol w:w="1512"/>
        <w:gridCol w:w="1325"/>
        <w:gridCol w:w="1333"/>
        <w:gridCol w:w="226"/>
        <w:gridCol w:w="946"/>
        <w:gridCol w:w="154"/>
      </w:tblGrid>
      <w:tr>
        <w:trPr/>
        <w:tc>
          <w:tcPr>
            <w:tcW w:w="1512"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Level 3</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Ending balance as of March 31, 2023</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184,350 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change in fair value of contingent consideration in the Condensed Consolidated Statement of Operations and Comprehensive Loss.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For the three months ended March 31, 2023, there were no transfers between Level 1, Level 2, or Level 3 assets or liabilities reported at fair value on a recurring basis, and our valuation techniques did not change compared to the prior year. </w:t>
      </w:r>
    </w:p>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and investments (in thousands):</w:t>
      </w:r>
    </w:p>
    <w:tbl>
      <w:tblPr>
        <w:tblW w:w="10205" w:type="dxa"/>
        <w:jc w:val="left"/>
        <w:tblInd w:w="0" w:type="dxa"/>
        <w:tblCellMar>
          <w:top w:w="28" w:type="dxa"/>
          <w:left w:w="28" w:type="dxa"/>
          <w:bottom w:w="28" w:type="dxa"/>
          <w:right w:w="28" w:type="dxa"/>
        </w:tblCellMar>
      </w:tblPr>
      <w:tblGrid>
        <w:gridCol w:w="1540"/>
        <w:gridCol w:w="1350"/>
        <w:gridCol w:w="1354"/>
        <w:gridCol w:w="226"/>
        <w:gridCol w:w="946"/>
        <w:gridCol w:w="109"/>
        <w:gridCol w:w="109"/>
        <w:gridCol w:w="109"/>
        <w:gridCol w:w="109"/>
        <w:gridCol w:w="311"/>
        <w:gridCol w:w="724"/>
        <w:gridCol w:w="151"/>
        <w:gridCol w:w="109"/>
        <w:gridCol w:w="109"/>
        <w:gridCol w:w="109"/>
        <w:gridCol w:w="253"/>
        <w:gridCol w:w="809"/>
        <w:gridCol w:w="124"/>
        <w:gridCol w:w="109"/>
        <w:gridCol w:w="109"/>
        <w:gridCol w:w="109"/>
        <w:gridCol w:w="226"/>
        <w:gridCol w:w="946"/>
        <w:gridCol w:w="155"/>
      </w:tblGrid>
      <w:tr>
        <w:trPr/>
        <w:tc>
          <w:tcPr>
            <w:tcW w:w="154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As of March 31, 2023</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Amortized</w:t>
              <w:br/>
              <w:t xml:space="preserve">Cost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Fair</w:t>
              <w:br/>
              <w:t>Value</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353,834 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Commercial paper </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109,873 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87,381 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(2,316)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323,804 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522,979 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(2,813)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521,058 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cash, cash equivalents and investments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(2,840)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874,892 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2022</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Fair</w:t>
              <w:br/>
              <w:t>Value</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325,089 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Commercial paper</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127,302 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49,491 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270,436 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(4,720)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447,229 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(4,781)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772,318 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2,922 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2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March 31, 2023 (in thousands):</w:t>
      </w:r>
    </w:p>
    <w:tbl>
      <w:tblPr>
        <w:tblW w:w="4910" w:type="dxa"/>
        <w:jc w:val="left"/>
        <w:tblInd w:w="0" w:type="dxa"/>
        <w:tblCellMar>
          <w:top w:w="28" w:type="dxa"/>
          <w:left w:w="28" w:type="dxa"/>
          <w:bottom w:w="28" w:type="dxa"/>
          <w:right w:w="28" w:type="dxa"/>
        </w:tblCellMar>
      </w:tblPr>
      <w:tblGrid>
        <w:gridCol w:w="1298"/>
        <w:gridCol w:w="1136"/>
        <w:gridCol w:w="1150"/>
        <w:gridCol w:w="226"/>
        <w:gridCol w:w="946"/>
        <w:gridCol w:w="154"/>
      </w:tblGrid>
      <w:tr>
        <w:trPr/>
        <w:tc>
          <w:tcPr>
            <w:tcW w:w="1298"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634,191 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136,948 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771,139 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NOTE 3. BALANCE SHEET COMPONENTS</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Inventory, net</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 (in thousands):</w:t>
      </w:r>
    </w:p>
    <w:tbl>
      <w:tblPr>
        <w:tblW w:w="4998" w:type="dxa"/>
        <w:jc w:val="left"/>
        <w:tblInd w:w="0" w:type="dxa"/>
        <w:tblCellMar>
          <w:top w:w="28" w:type="dxa"/>
          <w:left w:w="28" w:type="dxa"/>
          <w:bottom w:w="28" w:type="dxa"/>
          <w:right w:w="28" w:type="dxa"/>
        </w:tblCellMar>
      </w:tblPr>
      <w:tblGrid>
        <w:gridCol w:w="706"/>
        <w:gridCol w:w="620"/>
        <w:gridCol w:w="624"/>
        <w:gridCol w:w="226"/>
        <w:gridCol w:w="826"/>
        <w:gridCol w:w="109"/>
        <w:gridCol w:w="109"/>
        <w:gridCol w:w="109"/>
        <w:gridCol w:w="109"/>
        <w:gridCol w:w="292"/>
        <w:gridCol w:w="1069"/>
        <w:gridCol w:w="199"/>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2022</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24,139 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14,062 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12,180 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50,381 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Intangible Assets and Goodwill</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Intangible assets include acquired in-process research and development ("IPR&amp;D") of $400 million as a result of the Omniome acquisition in September 2021.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addition to IPR&amp;D, definite-lived intangible assets included the following (in thousands, except years): </w:t>
      </w:r>
    </w:p>
    <w:tbl>
      <w:tblPr>
        <w:tblW w:w="11935" w:type="dxa"/>
        <w:jc w:val="left"/>
        <w:tblInd w:w="0" w:type="dxa"/>
        <w:tblCellMar>
          <w:top w:w="28" w:type="dxa"/>
          <w:left w:w="28" w:type="dxa"/>
          <w:bottom w:w="28" w:type="dxa"/>
          <w:right w:w="28" w:type="dxa"/>
        </w:tblCellMar>
      </w:tblPr>
      <w:tblGrid>
        <w:gridCol w:w="543"/>
        <w:gridCol w:w="358"/>
        <w:gridCol w:w="360"/>
        <w:gridCol w:w="380"/>
        <w:gridCol w:w="380"/>
        <w:gridCol w:w="381"/>
        <w:gridCol w:w="109"/>
        <w:gridCol w:w="109"/>
        <w:gridCol w:w="109"/>
        <w:gridCol w:w="226"/>
        <w:gridCol w:w="826"/>
        <w:gridCol w:w="109"/>
        <w:gridCol w:w="109"/>
        <w:gridCol w:w="109"/>
        <w:gridCol w:w="109"/>
        <w:gridCol w:w="308"/>
        <w:gridCol w:w="983"/>
        <w:gridCol w:w="150"/>
        <w:gridCol w:w="109"/>
        <w:gridCol w:w="109"/>
        <w:gridCol w:w="109"/>
        <w:gridCol w:w="226"/>
        <w:gridCol w:w="826"/>
        <w:gridCol w:w="109"/>
        <w:gridCol w:w="109"/>
        <w:gridCol w:w="109"/>
        <w:gridCol w:w="109"/>
        <w:gridCol w:w="226"/>
        <w:gridCol w:w="826"/>
        <w:gridCol w:w="109"/>
        <w:gridCol w:w="109"/>
        <w:gridCol w:w="109"/>
        <w:gridCol w:w="109"/>
        <w:gridCol w:w="308"/>
        <w:gridCol w:w="983"/>
        <w:gridCol w:w="150"/>
        <w:gridCol w:w="109"/>
        <w:gridCol w:w="109"/>
        <w:gridCol w:w="109"/>
        <w:gridCol w:w="226"/>
        <w:gridCol w:w="826"/>
        <w:gridCol w:w="154"/>
      </w:tblGrid>
      <w:tr>
        <w:trPr/>
        <w:tc>
          <w:tcPr>
            <w:tcW w:w="54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Estimated</w:t>
              <w:br/>
              <w:t>Useful Life</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(1,228)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(1,528)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(1,294)</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definite lives is as follows (in thousands):</w:t>
      </w:r>
    </w:p>
    <w:tbl>
      <w:tblPr>
        <w:tblW w:w="3170" w:type="dxa"/>
        <w:jc w:val="left"/>
        <w:tblInd w:w="0" w:type="dxa"/>
        <w:tblCellMar>
          <w:top w:w="28" w:type="dxa"/>
          <w:left w:w="28" w:type="dxa"/>
          <w:bottom w:w="28" w:type="dxa"/>
          <w:right w:w="28" w:type="dxa"/>
        </w:tblCellMar>
      </w:tblPr>
      <w:tblGrid>
        <w:gridCol w:w="712"/>
        <w:gridCol w:w="625"/>
        <w:gridCol w:w="627"/>
        <w:gridCol w:w="226"/>
        <w:gridCol w:w="826"/>
        <w:gridCol w:w="154"/>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2023</w:t>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 and thereafter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definite-lived intangible assets for impairment when indication of potential impairment exists, such as a significant reduction in cash flows associated with the assets.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performed our annual assessment for goodwill impairment in the second quarter of 2022, noting no impairment.</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Deferred Revenue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June 24, 2022, we entered into an Amended and Restated Development and Commercialization Agreement (the “Amended and Restated Agreement”) with Invitae Corporation (“Invitae”). During the three months ended March 31, 2023, Invitae did not purchase any of the instruments or consumables under the terms of the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pPr>
      <w:r>
        <w:rPr>
          <w:rFonts w:ascii="Roboto;sans-serif" w:hAnsi="Roboto;sans-serif"/>
          <w:b w:val="false"/>
          <w:color w:val="000000"/>
          <w:sz w:val="20"/>
        </w:rPr>
        <w:t xml:space="preserve">Amended and Restated Agreement. As of March 31, 2023 and December 31, 2022, $21.4 million of deferred revenue, current, is recorded on the Condensed Consolidated Balance Sheet relating to all future performance obligations under the Amended and Restated Agreement. Refer to </w:t>
      </w:r>
      <w:r>
        <w:rPr>
          <w:rFonts w:ascii="Roboto;sans-serif" w:hAnsi="Roboto;sans-serif"/>
          <w:b w:val="false"/>
          <w:i/>
          <w:color w:val="000000"/>
          <w:sz w:val="20"/>
        </w:rPr>
        <w:t>Note 3 – Invitae Collaboration</w:t>
      </w:r>
      <w:r>
        <w:rPr>
          <w:rFonts w:ascii="Roboto;sans-serif" w:hAnsi="Roboto;sans-serif"/>
          <w:b w:val="false"/>
          <w:color w:val="000000"/>
          <w:sz w:val="20"/>
        </w:rPr>
        <w:t>, in Part II, Item 8 of the Annual Report on Form 10-K for the year ended December 31, 2022 for more information</w:t>
      </w:r>
      <w:r>
        <w:rPr>
          <w:rFonts w:ascii="Roboto;sans-serif" w:hAnsi="Roboto;sans-serif"/>
          <w:b w:val="false"/>
          <w:color w:val="000000"/>
          <w:sz w:val="20"/>
          <w:highlight w:val="white"/>
        </w:rPr>
        <w:t>.</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2023, we had a total of $32.7 million of deferred revenue, $30.9 million of which was recorded as deferred revenue, current, and primarily relates to future performance obligations under the Amended and Restated Agreement with Invitae. The deferred revenue, non-current balance of $1.8 million primarily relates to deferred service contract revenues and is scheduled to be recognized in the next 5 years. Revenue recorded in the three months ended March 31, 2023 includes $3.5 million of previously deferred revenue that was included in deferred revenue as of December 31, 2022.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Product Warranties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 (in thousands):</w:t>
      </w:r>
    </w:p>
    <w:tbl>
      <w:tblPr>
        <w:tblW w:w="8008" w:type="dxa"/>
        <w:jc w:val="left"/>
        <w:tblInd w:w="0" w:type="dxa"/>
        <w:tblCellMar>
          <w:top w:w="28" w:type="dxa"/>
          <w:left w:w="28" w:type="dxa"/>
          <w:bottom w:w="28" w:type="dxa"/>
          <w:right w:w="28" w:type="dxa"/>
        </w:tblCellMar>
      </w:tblPr>
      <w:tblGrid>
        <w:gridCol w:w="1537"/>
        <w:gridCol w:w="1352"/>
        <w:gridCol w:w="1356"/>
        <w:gridCol w:w="308"/>
        <w:gridCol w:w="963"/>
        <w:gridCol w:w="148"/>
        <w:gridCol w:w="148"/>
        <w:gridCol w:w="148"/>
        <w:gridCol w:w="148"/>
        <w:gridCol w:w="308"/>
        <w:gridCol w:w="963"/>
        <w:gridCol w:w="148"/>
        <w:gridCol w:w="109"/>
        <w:gridCol w:w="109"/>
        <w:gridCol w:w="109"/>
        <w:gridCol w:w="154"/>
      </w:tblGrid>
      <w:tr>
        <w:trPr/>
        <w:tc>
          <w:tcPr>
            <w:tcW w:w="1537"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(373)</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1,624 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Term loans</w:t>
      </w:r>
    </w:p>
    <w:p>
      <w:pPr>
        <w:pStyle w:val="TextBody"/>
        <w:spacing w:lineRule="auto" w:line="288" w:before="120" w:after="283"/>
        <w:jc w:val="both"/>
        <w:rPr/>
      </w:pPr>
      <w:r>
        <w:rPr>
          <w:rFonts w:ascii="Roboto;sans-serif" w:hAnsi="Roboto;sans-serif"/>
          <w:b w:val="false"/>
          <w:color w:val="000000"/>
          <w:sz w:val="20"/>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 after the 24</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month and before the 43</w:t>
      </w:r>
      <w:r>
        <w:rPr>
          <w:rFonts w:ascii="Roboto;sans-serif" w:hAnsi="Roboto;sans-serif"/>
          <w:b w:val="false"/>
          <w:color w:val="000000"/>
          <w:sz w:val="13"/>
        </w:rPr>
        <w:t>rd</w:t>
      </w:r>
      <w:r>
        <w:rPr>
          <w:color w:val="000000"/>
        </w:rPr>
        <w:t xml:space="preserve"> </w:t>
      </w:r>
      <w:r>
        <w:rPr>
          <w:rFonts w:ascii="Roboto;sans-serif" w:hAnsi="Roboto;sans-serif"/>
          <w:b w:val="false"/>
          <w:color w:val="000000"/>
          <w:sz w:val="20"/>
        </w:rPr>
        <w:t xml:space="preserve">month after the commencement date, is 4% of the outstanding loan balance. Payments are made in equal monthly installments including principal and interest.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2023, the carrying value of term loans outstanding was $1.9 million. The related long-term portion of $0.2 million was recorded as part of other liabilities, non-current and the short-term portion of $1.7 million was recorded as part of other liabilities, current on the Condensed Consolidated Balance Sheet. The interest expense was $0.1 million for the three months ended March 31, 2023, which was included as part of interest expense in the Condensed Consolidated Statement of Operations and Comprehensive Loss.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future principal payments on the term loans (in thousands):</w:t>
      </w:r>
    </w:p>
    <w:tbl>
      <w:tblPr>
        <w:tblW w:w="2946" w:type="dxa"/>
        <w:jc w:val="left"/>
        <w:tblInd w:w="0" w:type="dxa"/>
        <w:tblCellMar>
          <w:top w:w="28" w:type="dxa"/>
          <w:left w:w="28" w:type="dxa"/>
          <w:bottom w:w="28" w:type="dxa"/>
          <w:right w:w="28" w:type="dxa"/>
        </w:tblCellMar>
      </w:tblPr>
      <w:tblGrid>
        <w:gridCol w:w="674"/>
        <w:gridCol w:w="592"/>
        <w:gridCol w:w="594"/>
        <w:gridCol w:w="226"/>
        <w:gridCol w:w="706"/>
        <w:gridCol w:w="154"/>
      </w:tblGrid>
      <w:tr>
        <w:trPr/>
        <w:tc>
          <w:tcPr>
            <w:tcW w:w="67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2023</w:t>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NOTE 4. CONVERTIBLE SENIOR NOTES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(the “Investment Agreement”) with SB Northstar LP (the “Purchaser”), a subsidiary of SoftBank Group Corp., relating to the issuance and sale to the Purchaser of $900 million in aggregate principal amount of our 1.5% Convertible Senior Notes (the “Notes”). The Notes were issued on February 16, 2021.</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Notes are governed by an indenture (the “Indenture”) between the Company and U.S. Bank National Association, as trustee. The Notes bear interest at a rate of 1.5% per annum. Interest on the Notes is payable semi-annually in arrears on February 15 and August 15 and commenced on August 15, 2021. The Notes will mature on February 15, 2028, subject to earlier conversion, redemption or repurchase.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Indenture includes customary “events of default,” which may result in the acceleration of the maturity of the Notes under the Indenture. The Indenture also includes customary covenants for convertible notes of this type.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 </w:t>
      </w:r>
    </w:p>
    <w:p>
      <w:pPr>
        <w:pStyle w:val="TextBody"/>
        <w:spacing w:lineRule="auto" w:line="288" w:before="120" w:after="283"/>
        <w:jc w:val="both"/>
        <w:rPr/>
      </w:pPr>
      <w:r>
        <w:rPr>
          <w:rFonts w:ascii="Roboto;sans-serif" w:hAnsi="Roboto;sans-serif"/>
          <w:b w:val="false"/>
          <w:color w:val="000000"/>
          <w:sz w:val="20"/>
        </w:rPr>
        <w:t xml:space="preserve">The requirement to repurchase the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a Fundamental Change occurring during the applicable periods, the value of the embedded derivative is immaterial.</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Notes of approximately $4.5 million, which were recorded as debt issuance cost and are presented as a reduction to the Notes on our Consolidated Balance Sheets and are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amortized to interest expense using the effective interest method over the term of the Notes, resulting in an effective interest rate of 1.6%.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Notes is recorded as convertible senior notes, net, non-current in the Condensed Consolidated Balance Sheets as follows (in thousands):</w:t>
      </w:r>
    </w:p>
    <w:tbl>
      <w:tblPr>
        <w:tblW w:w="6288" w:type="dxa"/>
        <w:jc w:val="left"/>
        <w:tblInd w:w="0" w:type="dxa"/>
        <w:tblCellMar>
          <w:top w:w="28" w:type="dxa"/>
          <w:left w:w="28" w:type="dxa"/>
          <w:bottom w:w="28" w:type="dxa"/>
          <w:right w:w="28" w:type="dxa"/>
        </w:tblCellMar>
      </w:tblPr>
      <w:tblGrid>
        <w:gridCol w:w="1131"/>
        <w:gridCol w:w="993"/>
        <w:gridCol w:w="996"/>
        <w:gridCol w:w="226"/>
        <w:gridCol w:w="946"/>
        <w:gridCol w:w="109"/>
        <w:gridCol w:w="109"/>
        <w:gridCol w:w="109"/>
        <w:gridCol w:w="109"/>
        <w:gridCol w:w="266"/>
        <w:gridCol w:w="1113"/>
        <w:gridCol w:w="181"/>
      </w:tblGrid>
      <w:tr>
        <w:trPr/>
        <w:tc>
          <w:tcPr>
            <w:tcW w:w="1131"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2022</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(3,317)</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896,683 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months ended March 31, 2023 and 2022, interest expense for the Notes was as follows (in thousands):</w:t>
      </w:r>
    </w:p>
    <w:tbl>
      <w:tblPr>
        <w:tblW w:w="7092" w:type="dxa"/>
        <w:jc w:val="left"/>
        <w:tblInd w:w="0" w:type="dxa"/>
        <w:tblCellMar>
          <w:top w:w="28" w:type="dxa"/>
          <w:left w:w="28" w:type="dxa"/>
          <w:bottom w:w="28" w:type="dxa"/>
          <w:right w:w="28" w:type="dxa"/>
        </w:tblCellMar>
      </w:tblPr>
      <w:tblGrid>
        <w:gridCol w:w="1205"/>
        <w:gridCol w:w="1060"/>
        <w:gridCol w:w="1064"/>
        <w:gridCol w:w="308"/>
        <w:gridCol w:w="963"/>
        <w:gridCol w:w="148"/>
        <w:gridCol w:w="148"/>
        <w:gridCol w:w="148"/>
        <w:gridCol w:w="148"/>
        <w:gridCol w:w="308"/>
        <w:gridCol w:w="963"/>
        <w:gridCol w:w="148"/>
        <w:gridCol w:w="109"/>
        <w:gridCol w:w="109"/>
        <w:gridCol w:w="109"/>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2023, the estimated fair value (Level 2) of the Notes was $693.0 million. The fair value of the Notes is estimated using a pricing model that is primarily affected by the trading price of our common stock and market interest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NOTE 5. COMMITMENTS AND CONTINGENCIES </w:t>
      </w:r>
    </w:p>
    <w:p>
      <w:pPr>
        <w:pStyle w:val="TextBody"/>
        <w:spacing w:lineRule="auto" w:line="288" w:before="120" w:after="283"/>
        <w:jc w:val="both"/>
        <w:rPr/>
      </w:pPr>
      <w:r>
        <w:rPr>
          <w:rFonts w:ascii="Roboto;sans-serif" w:hAnsi="Roboto;sans-serif"/>
          <w:b w:val="false"/>
          <w:color w:val="000000"/>
          <w:sz w:val="20"/>
        </w:rPr>
        <w:t xml:space="preserve">The Company has entered into various operating lease agreements, primarily relating to our corporate offices. See </w:t>
      </w:r>
      <w:r>
        <w:rPr>
          <w:rFonts w:ascii="Roboto;sans-serif" w:hAnsi="Roboto;sans-serif"/>
          <w:b w:val="false"/>
          <w:i/>
          <w:color w:val="000000"/>
          <w:sz w:val="20"/>
        </w:rPr>
        <w:t>Note 8 – Commitments and Contingencies</w:t>
      </w:r>
      <w:r>
        <w:rPr>
          <w:rFonts w:ascii="Roboto;sans-serif" w:hAnsi="Roboto;sans-serif"/>
          <w:b w:val="false"/>
          <w:color w:val="000000"/>
          <w:sz w:val="20"/>
        </w:rPr>
        <w:t>, subsection titled “Leases”, in Part II, Item 8 of the Annual Report on Form 10-K for the year ended December 31, 2022 for information regarding the Company’s maturity of lease liabilities under its lease agreements.</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Contingencies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spacing w:lineRule="auto" w:line="288" w:before="120" w:after="283"/>
        <w:jc w:val="both"/>
        <w:rPr/>
      </w:pPr>
      <w:r>
        <w:rPr>
          <w:rFonts w:ascii="Roboto;sans-serif" w:hAnsi="Roboto;sans-serif"/>
          <w:b w:val="false"/>
          <w:color w:val="000000"/>
          <w:sz w:val="20"/>
        </w:rPr>
        <w:t xml:space="preserve">Please see subsection titled </w:t>
      </w:r>
      <w:hyperlink w:anchor="idd15d706814f4821992e3c53513cc1e0_91">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Indemnification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expense amounts. No additional liability associated with such indemnification obligations has been recorded as of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Roboto;sans-serif" w:hAnsi="Roboto;sans-serif"/>
          <w:b w:val="false"/>
          <w:color w:val="000000"/>
          <w:sz w:val="20"/>
        </w:rPr>
        <w:t>N</w:t>
      </w:r>
      <w:r>
        <w:rPr>
          <w:rFonts w:ascii="Roboto;sans-serif" w:hAnsi="Roboto;sans-serif"/>
          <w:b/>
          <w:color w:val="000000"/>
          <w:sz w:val="20"/>
        </w:rPr>
        <w:t xml:space="preserve">OTE 6. STOCKHOLDERS’ EQUITY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Underwritten Public Equity Offering</w:t>
      </w:r>
    </w:p>
    <w:p>
      <w:pPr>
        <w:pStyle w:val="TextBody"/>
        <w:spacing w:lineRule="auto" w:line="288" w:before="200" w:after="283"/>
        <w:jc w:val="both"/>
        <w:rPr>
          <w:rFonts w:ascii="Roboto;sans-serif" w:hAnsi="Roboto;sans-serif"/>
          <w:b w:val="false"/>
          <w:color w:val="000000"/>
          <w:sz w:val="20"/>
        </w:rPr>
      </w:pPr>
      <w:r>
        <w:rPr>
          <w:rFonts w:ascii="Roboto;sans-serif" w:hAnsi="Roboto;sans-serif"/>
          <w:b w:val="false"/>
          <w:color w:val="000000"/>
          <w:sz w:val="20"/>
        </w:rPr>
        <w:t xml:space="preserve">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 </w:t>
      </w:r>
    </w:p>
    <w:p>
      <w:pPr>
        <w:pStyle w:val="TextBody"/>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10 – Stockholders' Equity</w:t>
      </w:r>
      <w:r>
        <w:rPr>
          <w:rFonts w:ascii="Roboto;sans-serif" w:hAnsi="Roboto;sans-serif"/>
          <w:b w:val="false"/>
          <w:color w:val="000000"/>
          <w:sz w:val="20"/>
        </w:rPr>
        <w:t>, in Part II, Item 8 of the Annual Report on Form 10-K for the year ended December 31, 2022 for more information on the Company's underwritten public equity offerings and private placement of common stock</w:t>
      </w:r>
      <w:r>
        <w:rPr>
          <w:rFonts w:ascii="Roboto;sans-serif" w:hAnsi="Roboto;sans-serif"/>
          <w:b w:val="false"/>
          <w:color w:val="000000"/>
          <w:sz w:val="20"/>
          <w:highlight w:val="white"/>
        </w:rPr>
        <w:t>.</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Equity Plans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At March 31, 2023,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2023, we had 12.8 million shares remaining and available for future issuance under the 2020 Plan, Inducement Plan, and the Omniome Plan. </w:t>
      </w:r>
    </w:p>
    <w:p>
      <w:pPr>
        <w:pStyle w:val="TextBody"/>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10 – Stockholders' Equity</w:t>
      </w:r>
      <w:r>
        <w:rPr>
          <w:rFonts w:ascii="Roboto;sans-serif" w:hAnsi="Roboto;sans-serif"/>
          <w:b w:val="false"/>
          <w:color w:val="000000"/>
          <w:sz w:val="20"/>
        </w:rPr>
        <w:t>, in Part II, Item 8 of the Annual Report on Form 10-K for the year ended December 31, 2022 for more information on the Company's equity plans</w:t>
      </w:r>
      <w:r>
        <w:rPr>
          <w:rFonts w:ascii="Roboto;sans-serif" w:hAnsi="Roboto;sans-serif"/>
          <w:b w:val="false"/>
          <w:color w:val="000000"/>
          <w:sz w:val="20"/>
          <w:highlight w:val="white"/>
        </w:rPr>
        <w:t>.</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Stock Options</w:t>
      </w:r>
    </w:p>
    <w:p>
      <w:pPr>
        <w:pStyle w:val="TextBody"/>
        <w:spacing w:lineRule="auto" w:line="288" w:before="200" w:after="283"/>
        <w:jc w:val="both"/>
        <w:rPr>
          <w:rFonts w:ascii="Roboto;sans-serif" w:hAnsi="Roboto;sans-serif"/>
          <w:b w:val="false"/>
          <w:i/>
          <w:color w:val="000000"/>
          <w:sz w:val="20"/>
        </w:rPr>
      </w:pPr>
      <w:r>
        <w:rPr>
          <w:rFonts w:ascii="Roboto;sans-serif" w:hAnsi="Roboto;sans-serif"/>
          <w:b w:val="false"/>
          <w:i/>
          <w:color w:val="000000"/>
          <w:sz w:val="20"/>
        </w:rPr>
        <w:t>Time-based Stock Options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 (shares in thousands):</w:t>
      </w:r>
    </w:p>
    <w:tbl>
      <w:tblPr>
        <w:tblW w:w="6513" w:type="dxa"/>
        <w:jc w:val="left"/>
        <w:tblInd w:w="0" w:type="dxa"/>
        <w:tblCellMar>
          <w:top w:w="28" w:type="dxa"/>
          <w:left w:w="28" w:type="dxa"/>
          <w:bottom w:w="28" w:type="dxa"/>
          <w:right w:w="28" w:type="dxa"/>
        </w:tblCellMar>
      </w:tblPr>
      <w:tblGrid>
        <w:gridCol w:w="1221"/>
        <w:gridCol w:w="1075"/>
        <w:gridCol w:w="1078"/>
        <w:gridCol w:w="344"/>
        <w:gridCol w:w="344"/>
        <w:gridCol w:w="346"/>
        <w:gridCol w:w="109"/>
        <w:gridCol w:w="109"/>
        <w:gridCol w:w="109"/>
        <w:gridCol w:w="109"/>
        <w:gridCol w:w="109"/>
        <w:gridCol w:w="324"/>
        <w:gridCol w:w="1013"/>
        <w:gridCol w:w="223"/>
      </w:tblGrid>
      <w:tr>
        <w:trPr/>
        <w:tc>
          <w:tcPr>
            <w:tcW w:w="1221"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2022</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Granted </w:t>
            </w:r>
          </w:p>
        </w:tc>
        <w:tc>
          <w:tcPr>
            <w:tcW w:w="6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Exercised </w:t>
            </w:r>
          </w:p>
        </w:tc>
        <w:tc>
          <w:tcPr>
            <w:tcW w:w="103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Canceled </w:t>
            </w:r>
          </w:p>
        </w:tc>
        <w:tc>
          <w:tcPr>
            <w:tcW w:w="103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17.16 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March 31, 2023</w:t>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pPr>
      <w:r>
        <w:rPr>
          <w:rFonts w:ascii="Roboto;sans-serif" w:hAnsi="Roboto;sans-serif"/>
          <w:b w:val="false"/>
          <w:i/>
          <w:color w:val="000000"/>
          <w:sz w:val="20"/>
        </w:rPr>
        <w:t>Performance-based Stock Options</w:t>
      </w:r>
      <w:r>
        <w:rPr>
          <w:color w:val="000000"/>
        </w:rPr>
        <w:t xml:space="preserv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performance-based awards (shares in thousands):</w:t>
      </w:r>
    </w:p>
    <w:tbl>
      <w:tblPr>
        <w:tblW w:w="6889" w:type="dxa"/>
        <w:jc w:val="left"/>
        <w:tblInd w:w="0" w:type="dxa"/>
        <w:tblCellMar>
          <w:top w:w="28" w:type="dxa"/>
          <w:left w:w="28" w:type="dxa"/>
          <w:bottom w:w="28" w:type="dxa"/>
          <w:right w:w="28" w:type="dxa"/>
        </w:tblCellMar>
      </w:tblPr>
      <w:tblGrid>
        <w:gridCol w:w="1277"/>
        <w:gridCol w:w="1123"/>
        <w:gridCol w:w="1125"/>
        <w:gridCol w:w="379"/>
        <w:gridCol w:w="379"/>
        <w:gridCol w:w="381"/>
        <w:gridCol w:w="109"/>
        <w:gridCol w:w="109"/>
        <w:gridCol w:w="109"/>
        <w:gridCol w:w="109"/>
        <w:gridCol w:w="109"/>
        <w:gridCol w:w="392"/>
        <w:gridCol w:w="1019"/>
        <w:gridCol w:w="269"/>
      </w:tblGrid>
      <w:tr>
        <w:trPr/>
        <w:tc>
          <w:tcPr>
            <w:tcW w:w="127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Number</w:t>
              <w:br/>
              <w:t>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Weighted</w:t>
              <w:br/>
              <w:t>average</w:t>
              <w:br/>
              <w:t>exercise price</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Outstanding at December 31, 2022</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Granted </w:t>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Exercised </w:t>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Canceled </w:t>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Outstanding at March 31, 2023</w:t>
            </w:r>
          </w:p>
        </w:tc>
        <w:tc>
          <w:tcPr>
            <w:tcW w:w="11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4.71 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jc w:val="both"/>
        <w:rPr>
          <w:rFonts w:ascii="Roboto;sans-serif" w:hAnsi="Roboto;sans-serif"/>
          <w:b w:val="false"/>
          <w:i/>
          <w:color w:val="000000"/>
          <w:sz w:val="20"/>
        </w:rPr>
      </w:pPr>
      <w:r>
        <w:rPr>
          <w:rFonts w:ascii="Roboto;sans-serif" w:hAnsi="Roboto;sans-serif"/>
          <w:b w:val="false"/>
          <w:i/>
          <w:color w:val="000000"/>
          <w:sz w:val="20"/>
        </w:rPr>
        <w:t xml:space="preserve">Restricted Stock Units (“RSU”) and Performance Stock Units ("PSU")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issue RSUs for which the respective shares vest when the requisite service period is achieved. We issue PSUs for which the number of shares issuable in the third year of the performance period based on performance relative to specified revenue targets and continued employment through the vesting period. The following table summarizes the time-based RSUs and PSUs activity (shares in thousands): </w:t>
      </w:r>
    </w:p>
    <w:tbl>
      <w:tblPr>
        <w:tblW w:w="10205" w:type="dxa"/>
        <w:jc w:val="left"/>
        <w:tblInd w:w="0" w:type="dxa"/>
        <w:tblCellMar>
          <w:top w:w="28" w:type="dxa"/>
          <w:left w:w="28" w:type="dxa"/>
          <w:bottom w:w="28" w:type="dxa"/>
          <w:right w:w="28" w:type="dxa"/>
        </w:tblCellMar>
      </w:tblPr>
      <w:tblGrid>
        <w:gridCol w:w="842"/>
        <w:gridCol w:w="742"/>
        <w:gridCol w:w="744"/>
        <w:gridCol w:w="700"/>
        <w:gridCol w:w="700"/>
        <w:gridCol w:w="702"/>
        <w:gridCol w:w="109"/>
        <w:gridCol w:w="109"/>
        <w:gridCol w:w="109"/>
        <w:gridCol w:w="785"/>
        <w:gridCol w:w="785"/>
        <w:gridCol w:w="786"/>
        <w:gridCol w:w="109"/>
        <w:gridCol w:w="109"/>
        <w:gridCol w:w="109"/>
        <w:gridCol w:w="267"/>
        <w:gridCol w:w="836"/>
        <w:gridCol w:w="128"/>
        <w:gridCol w:w="128"/>
        <w:gridCol w:w="128"/>
        <w:gridCol w:w="128"/>
        <w:gridCol w:w="267"/>
        <w:gridCol w:w="693"/>
        <w:gridCol w:w="190"/>
      </w:tblGrid>
      <w:tr>
        <w:trPr/>
        <w:tc>
          <w:tcPr>
            <w:tcW w:w="8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Restricted Stock Units (RSU)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Performance Stock Units (PSU)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2022</w:t>
            </w:r>
          </w:p>
        </w:tc>
        <w:tc>
          <w:tcPr>
            <w:tcW w:w="21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8,535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210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210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Forfeited</w:t>
            </w:r>
          </w:p>
        </w:tc>
        <w:tc>
          <w:tcPr>
            <w:tcW w:w="210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17.80 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March 31, 2023</w:t>
            </w:r>
          </w:p>
        </w:tc>
        <w:tc>
          <w:tcPr>
            <w:tcW w:w="21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12.07 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Employee Stock Purchase Plan (“ESPP”)</w:t>
      </w:r>
    </w:p>
    <w:p>
      <w:pPr>
        <w:pStyle w:val="TextBody"/>
        <w:spacing w:lineRule="auto" w:line="288" w:before="120" w:after="283"/>
        <w:jc w:val="both"/>
        <w:rPr>
          <w:rFonts w:ascii="Roboto;sans-serif" w:hAnsi="Roboto;sans-serif"/>
          <w:b w:val="false"/>
          <w:color w:val="000000"/>
          <w:sz w:val="20"/>
          <w:highlight w:val="white"/>
        </w:rPr>
      </w:pPr>
      <w:r>
        <w:rPr>
          <w:rFonts w:ascii="Roboto;sans-serif" w:hAnsi="Roboto;sans-serif"/>
          <w:b w:val="false"/>
          <w:color w:val="000000"/>
          <w:sz w:val="20"/>
          <w:highlight w:val="white"/>
        </w:rPr>
        <w:t>Shares issued under our ESPP were 1,052,908 and 1,316,923 during the three months ended March 31, 2023 and 2022, respectively. In February 2023, an additional 4.0 million shares were reserved under the ESPP. As of March 31, 2023, 12.9 million shares of our common stock remain available for issuance under our ESPP.</w:t>
      </w:r>
    </w:p>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Share-Based Compensation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 (in thousands):</w:t>
      </w:r>
    </w:p>
    <w:tbl>
      <w:tblPr>
        <w:tblW w:w="7619" w:type="dxa"/>
        <w:jc w:val="left"/>
        <w:tblInd w:w="0" w:type="dxa"/>
        <w:tblCellMar>
          <w:top w:w="28" w:type="dxa"/>
          <w:left w:w="28" w:type="dxa"/>
          <w:bottom w:w="28" w:type="dxa"/>
          <w:right w:w="28" w:type="dxa"/>
        </w:tblCellMar>
      </w:tblPr>
      <w:tblGrid>
        <w:gridCol w:w="1396"/>
        <w:gridCol w:w="1225"/>
        <w:gridCol w:w="1234"/>
        <w:gridCol w:w="280"/>
        <w:gridCol w:w="1024"/>
        <w:gridCol w:w="135"/>
        <w:gridCol w:w="135"/>
        <w:gridCol w:w="135"/>
        <w:gridCol w:w="135"/>
        <w:gridCol w:w="280"/>
        <w:gridCol w:w="1024"/>
        <w:gridCol w:w="135"/>
        <w:gridCol w:w="109"/>
        <w:gridCol w:w="109"/>
        <w:gridCol w:w="109"/>
        <w:gridCol w:w="154"/>
      </w:tblGrid>
      <w:tr>
        <w:trPr/>
        <w:tc>
          <w:tcPr>
            <w:tcW w:w="1396"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6,705 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13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9,299 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11,980 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 expense</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17,952 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22,703 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Determining Fair Value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months ended March 31, 2023, there were no employee stock options granted. The fair value of employee stock options was estimated using the following assumptions:</w:t>
      </w:r>
    </w:p>
    <w:tbl>
      <w:tblPr>
        <w:tblW w:w="8574" w:type="dxa"/>
        <w:jc w:val="left"/>
        <w:tblInd w:w="0" w:type="dxa"/>
        <w:tblCellMar>
          <w:top w:w="28" w:type="dxa"/>
          <w:left w:w="28" w:type="dxa"/>
          <w:bottom w:w="28" w:type="dxa"/>
          <w:right w:w="28" w:type="dxa"/>
        </w:tblCellMar>
      </w:tblPr>
      <w:tblGrid>
        <w:gridCol w:w="1660"/>
        <w:gridCol w:w="1463"/>
        <w:gridCol w:w="1467"/>
        <w:gridCol w:w="109"/>
        <w:gridCol w:w="109"/>
        <w:gridCol w:w="1094"/>
        <w:gridCol w:w="1094"/>
        <w:gridCol w:w="1097"/>
        <w:gridCol w:w="109"/>
        <w:gridCol w:w="109"/>
        <w:gridCol w:w="109"/>
        <w:gridCol w:w="154"/>
      </w:tblGrid>
      <w:tr>
        <w:trPr/>
        <w:tc>
          <w:tcPr>
            <w:tcW w:w="1660"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70%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$6.66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8926" w:type="dxa"/>
        <w:jc w:val="left"/>
        <w:tblInd w:w="0" w:type="dxa"/>
        <w:tblCellMar>
          <w:top w:w="28" w:type="dxa"/>
          <w:left w:w="28" w:type="dxa"/>
          <w:bottom w:w="28" w:type="dxa"/>
          <w:right w:w="28" w:type="dxa"/>
        </w:tblCellMar>
      </w:tblPr>
      <w:tblGrid>
        <w:gridCol w:w="1660"/>
        <w:gridCol w:w="1463"/>
        <w:gridCol w:w="1467"/>
        <w:gridCol w:w="460"/>
        <w:gridCol w:w="460"/>
        <w:gridCol w:w="460"/>
        <w:gridCol w:w="365"/>
        <w:gridCol w:w="365"/>
        <w:gridCol w:w="365"/>
        <w:gridCol w:w="460"/>
        <w:gridCol w:w="460"/>
        <w:gridCol w:w="460"/>
        <w:gridCol w:w="109"/>
        <w:gridCol w:w="109"/>
        <w:gridCol w:w="109"/>
        <w:gridCol w:w="154"/>
      </w:tblGrid>
      <w:tr>
        <w:trPr/>
        <w:tc>
          <w:tcPr>
            <w:tcW w:w="1660"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0.5 — 2.0</w:t>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0.5 — 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97%</w:t>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38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4.89% — 5.20%</w:t>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0.60% — 1.31%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38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$5.00</w:t>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$5.42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NOTE 7. NET LOSS PER SHARE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 (in thousands, except per share amounts):</w:t>
      </w:r>
    </w:p>
    <w:tbl>
      <w:tblPr>
        <w:tblW w:w="10205" w:type="dxa"/>
        <w:jc w:val="left"/>
        <w:tblInd w:w="0" w:type="dxa"/>
        <w:tblCellMar>
          <w:top w:w="28" w:type="dxa"/>
          <w:left w:w="28" w:type="dxa"/>
          <w:bottom w:w="28" w:type="dxa"/>
          <w:right w:w="28" w:type="dxa"/>
        </w:tblCellMar>
      </w:tblPr>
      <w:tblGrid>
        <w:gridCol w:w="2333"/>
        <w:gridCol w:w="2055"/>
        <w:gridCol w:w="2064"/>
        <w:gridCol w:w="261"/>
        <w:gridCol w:w="1059"/>
        <w:gridCol w:w="125"/>
        <w:gridCol w:w="125"/>
        <w:gridCol w:w="125"/>
        <w:gridCol w:w="125"/>
        <w:gridCol w:w="261"/>
        <w:gridCol w:w="1059"/>
        <w:gridCol w:w="125"/>
        <w:gridCol w:w="109"/>
        <w:gridCol w:w="109"/>
        <w:gridCol w:w="109"/>
        <w:gridCol w:w="161"/>
      </w:tblGrid>
      <w:tr>
        <w:trPr/>
        <w:tc>
          <w:tcPr>
            <w:tcW w:w="2333"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6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(88,015)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(81,499)</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 basic net loss</w:t>
            </w:r>
          </w:p>
        </w:tc>
        <w:tc>
          <w:tcPr>
            <w:tcW w:w="14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242,032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222,289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 diluted net loss per share</w:t>
            </w:r>
          </w:p>
        </w:tc>
        <w:tc>
          <w:tcPr>
            <w:tcW w:w="14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242,032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222,289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(0.37)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convertible senior notes and outstanding equity awards were excluded from the computation of diluted net loss per share for the periods presented because the effect of including such shares would have been antidilutive (in thousands):</w:t>
      </w:r>
    </w:p>
    <w:tbl>
      <w:tblPr>
        <w:tblW w:w="9286" w:type="dxa"/>
        <w:jc w:val="left"/>
        <w:tblInd w:w="0" w:type="dxa"/>
        <w:tblCellMar>
          <w:top w:w="28" w:type="dxa"/>
          <w:left w:w="28" w:type="dxa"/>
          <w:bottom w:w="28" w:type="dxa"/>
          <w:right w:w="28" w:type="dxa"/>
        </w:tblCellMar>
      </w:tblPr>
      <w:tblGrid>
        <w:gridCol w:w="2000"/>
        <w:gridCol w:w="1755"/>
        <w:gridCol w:w="1765"/>
        <w:gridCol w:w="365"/>
        <w:gridCol w:w="365"/>
        <w:gridCol w:w="365"/>
        <w:gridCol w:w="365"/>
        <w:gridCol w:w="365"/>
        <w:gridCol w:w="365"/>
        <w:gridCol w:w="365"/>
        <w:gridCol w:w="365"/>
        <w:gridCol w:w="365"/>
        <w:gridCol w:w="109"/>
        <w:gridCol w:w="109"/>
        <w:gridCol w:w="109"/>
        <w:gridCol w:w="154"/>
      </w:tblGrid>
      <w:tr>
        <w:trPr/>
        <w:tc>
          <w:tcPr>
            <w:tcW w:w="2000"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 convertible senior notes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20,690</w:t>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20,690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30,366</w:t>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26,752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Roboto;sans-serif" w:hAnsi="Roboto;sans-serif"/>
          <w:b w:val="false"/>
          <w:color w:val="000000"/>
          <w:sz w:val="20"/>
        </w:rPr>
        <w:t xml:space="preserve">As described in </w:t>
      </w:r>
      <w:r>
        <w:rPr>
          <w:rFonts w:ascii="Roboto;sans-serif" w:hAnsi="Roboto;sans-serif"/>
          <w:b w:val="false"/>
          <w:i/>
          <w:color w:val="000000"/>
          <w:sz w:val="20"/>
        </w:rPr>
        <w:t xml:space="preserve">Note 2. Business Acquisitions </w:t>
      </w:r>
      <w:r>
        <w:rPr>
          <w:rFonts w:ascii="Roboto;sans-serif" w:hAnsi="Roboto;sans-serif"/>
          <w:b w:val="false"/>
          <w:color w:val="000000"/>
          <w:sz w:val="20"/>
        </w:rPr>
        <w:t xml:space="preserve">in Part II, Item 8 of the Annual Report on Form 10-K for the year ended December 31, 2022, the contingently issuable shares would be due upon the achievement of a milestone.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NOTE 8. REVENUE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geographic location is as follows (in thousands): </w:t>
      </w:r>
    </w:p>
    <w:tbl>
      <w:tblPr>
        <w:tblW w:w="6658" w:type="dxa"/>
        <w:jc w:val="left"/>
        <w:tblInd w:w="0" w:type="dxa"/>
        <w:tblCellMar>
          <w:top w:w="28" w:type="dxa"/>
          <w:left w:w="28" w:type="dxa"/>
          <w:bottom w:w="28" w:type="dxa"/>
          <w:right w:w="28" w:type="dxa"/>
        </w:tblCellMar>
      </w:tblPr>
      <w:tblGrid>
        <w:gridCol w:w="1046"/>
        <w:gridCol w:w="921"/>
        <w:gridCol w:w="927"/>
        <w:gridCol w:w="280"/>
        <w:gridCol w:w="1024"/>
        <w:gridCol w:w="135"/>
        <w:gridCol w:w="135"/>
        <w:gridCol w:w="135"/>
        <w:gridCol w:w="135"/>
        <w:gridCol w:w="280"/>
        <w:gridCol w:w="1024"/>
        <w:gridCol w:w="135"/>
        <w:gridCol w:w="109"/>
        <w:gridCol w:w="109"/>
        <w:gridCol w:w="109"/>
        <w:gridCol w:w="154"/>
      </w:tblGrid>
      <w:tr>
        <w:trPr/>
        <w:tc>
          <w:tcPr>
            <w:tcW w:w="104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Americas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19,071 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19,082 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7,870 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5,700 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3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11,959 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8,391 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38,900 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33,173 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(in thousands): </w:t>
      </w:r>
    </w:p>
    <w:tbl>
      <w:tblPr>
        <w:tblW w:w="6283" w:type="dxa"/>
        <w:jc w:val="left"/>
        <w:tblInd w:w="0" w:type="dxa"/>
        <w:tblCellMar>
          <w:top w:w="28" w:type="dxa"/>
          <w:left w:w="28" w:type="dxa"/>
          <w:bottom w:w="28" w:type="dxa"/>
          <w:right w:w="28" w:type="dxa"/>
        </w:tblCellMar>
      </w:tblPr>
      <w:tblGrid>
        <w:gridCol w:w="912"/>
        <w:gridCol w:w="801"/>
        <w:gridCol w:w="806"/>
        <w:gridCol w:w="280"/>
        <w:gridCol w:w="1024"/>
        <w:gridCol w:w="135"/>
        <w:gridCol w:w="135"/>
        <w:gridCol w:w="135"/>
        <w:gridCol w:w="135"/>
        <w:gridCol w:w="280"/>
        <w:gridCol w:w="1024"/>
        <w:gridCol w:w="135"/>
        <w:gridCol w:w="109"/>
        <w:gridCol w:w="109"/>
        <w:gridCol w:w="109"/>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Consumable revenue</w:t>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13,954 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12,694 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34,654 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28,244 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4,246 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38,900 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33,173 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2.    Management’s Discussion and Analysis of Financial Condition and Results of Operations</w:t>
      </w:r>
    </w:p>
    <w:p>
      <w:pPr>
        <w:pStyle w:val="TextBody"/>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 xml:space="preserve">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2022 filed with the U.S. Securities and Exchange Commission, or the SEC, on February 28, 2023, or our Annual Report on Form 10-K.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Management’s Discussion and Analysis (MD&amp;A) is organized into the following sections: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 xml:space="preserve">Overview and Outlook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 xml:space="preserve">Results of Operations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 xml:space="preserve">Liquidity and Capital Resources </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Critical Accounting Policies and Estimates</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Recent Accounting Pronouncements</w:t>
      </w:r>
    </w:p>
    <w:p>
      <w:pPr>
        <w:pStyle w:val="TextBody"/>
        <w:spacing w:lineRule="auto" w:line="288" w:before="120" w:after="283"/>
        <w:ind w:left="0" w:right="0" w:hanging="360"/>
        <w:jc w:val="both"/>
        <w:rPr/>
      </w:pPr>
      <w:r>
        <w:rPr>
          <w:color w:val="000000"/>
        </w:rPr>
        <w:t>•</w:t>
      </w:r>
      <w:r>
        <w:rPr>
          <w:rFonts w:ascii="Roboto;sans-serif" w:hAnsi="Roboto;sans-serif"/>
          <w:b w:val="false"/>
          <w:color w:val="000000"/>
          <w:sz w:val="20"/>
        </w:rPr>
        <w:t>Off 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Overview and Outlook</w:t>
      </w:r>
    </w:p>
    <w:p>
      <w:pPr>
        <w:pStyle w:val="TextBody"/>
        <w:spacing w:lineRule="auto" w:line="288" w:before="200" w:after="283"/>
        <w:jc w:val="both"/>
        <w:rPr>
          <w:rFonts w:ascii="Roboto;sans-serif" w:hAnsi="Roboto;sans-serif"/>
          <w:b/>
          <w:i/>
          <w:color w:val="000000"/>
          <w:sz w:val="20"/>
        </w:rPr>
      </w:pPr>
      <w:r>
        <w:rPr>
          <w:rFonts w:ascii="Roboto;sans-serif" w:hAnsi="Roboto;sans-serif"/>
          <w:b/>
          <w:i/>
          <w:color w:val="000000"/>
          <w:sz w:val="20"/>
        </w:rPr>
        <w:t>About PacBio</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a premier life science technology company that is designing, developing, and manufacturing advanced sequencing solutions that enable scientists and clinical researchers to improve their understanding of the genome and ultimately, resolve genetically complex problems.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and technology under development stem from two highly differentiated core technologies focused on accuracy, quality and completeness which include our existing HiFi long-read sequencing technology and our emerging Sequencing by Binding ("SBB") short-read sequencing technology. Our products address solutions across a broad set of research applications including human genomics, plant and animal sciences, infectious disease and microbiology, oncology, and other emerging applications.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focus is on providing our customers with advanced sequencing technologies with higher throughput and improved workflows that we believe will enable dramatic advancements in routine healthcare.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2023, our commercial team consisted of approximately 196 employees, including 59 quota-carrying representatives, many with advanced degrees in biology and significant experience in the genomics industry.</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Strategic Objectives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2023 strategic objectives are to: </w:t>
      </w:r>
    </w:p>
    <w:p>
      <w:pPr>
        <w:pStyle w:val="TextBody"/>
        <w:spacing w:before="0" w:after="0"/>
        <w:rPr/>
      </w:pPr>
      <w:r>
        <w:rPr/>
      </w:r>
    </w:p>
    <w:p>
      <w:pPr>
        <w:pStyle w:val="TextBody"/>
        <w:spacing w:lineRule="auto" w:line="276" w:before="0" w:after="0"/>
        <w:ind w:left="0" w:right="0" w:hanging="360"/>
        <w:rPr/>
      </w:pPr>
      <w:r>
        <w:rPr>
          <w:color w:val="000000"/>
        </w:rPr>
        <w:t>•</w:t>
      </w:r>
      <w:r>
        <w:rPr>
          <w:rFonts w:ascii="Roboto;sans-serif" w:hAnsi="Roboto;sans-serif"/>
          <w:b w:val="false"/>
          <w:color w:val="000000"/>
          <w:sz w:val="20"/>
        </w:rPr>
        <w:t>Drive rapid adoption of Revio</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by converting existing Sequel</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 xml:space="preserve">II/IIe customers and attracting new PacBio customers </w:t>
      </w:r>
    </w:p>
    <w:p>
      <w:pPr>
        <w:pStyle w:val="TextBody"/>
        <w:spacing w:lineRule="auto" w:line="276" w:before="0" w:after="0"/>
        <w:ind w:left="0" w:right="0" w:hanging="360"/>
        <w:rPr/>
      </w:pPr>
      <w:r>
        <w:rPr>
          <w:color w:val="000000"/>
        </w:rPr>
        <w:t>•</w:t>
      </w:r>
      <w:r>
        <w:rPr>
          <w:rFonts w:ascii="Roboto;sans-serif" w:hAnsi="Roboto;sans-serif"/>
          <w:b w:val="false"/>
          <w:color w:val="000000"/>
          <w:sz w:val="20"/>
        </w:rPr>
        <w:t xml:space="preserve">Demonstrate Onso’s extraordinary level of accuracy in the field and show how it can transform research in needle-in-haystack applications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76" w:before="0" w:after="0"/>
        <w:ind w:left="0" w:right="0" w:hanging="360"/>
        <w:rPr/>
      </w:pPr>
      <w:r>
        <w:rPr>
          <w:color w:val="000000"/>
        </w:rPr>
        <w:t>•</w:t>
      </w:r>
      <w:r>
        <w:rPr>
          <w:rFonts w:ascii="Roboto;sans-serif" w:hAnsi="Roboto;sans-serif"/>
          <w:b w:val="false"/>
          <w:color w:val="000000"/>
          <w:sz w:val="20"/>
        </w:rPr>
        <w:t>Progress development of ultra-high-throughput and benchtop long-read sequencers and next generation SBB</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 xml:space="preserve">short-read sequencer </w:t>
      </w:r>
    </w:p>
    <w:p>
      <w:pPr>
        <w:pStyle w:val="TextBody"/>
        <w:spacing w:lineRule="auto" w:line="276" w:before="0" w:after="0"/>
        <w:ind w:left="0" w:right="0" w:hanging="360"/>
        <w:rPr/>
      </w:pPr>
      <w:r>
        <w:rPr>
          <w:color w:val="000000"/>
        </w:rPr>
        <w:t>•</w:t>
      </w:r>
      <w:r>
        <w:rPr>
          <w:rFonts w:ascii="Roboto;sans-serif" w:hAnsi="Roboto;sans-serif"/>
          <w:b w:val="false"/>
          <w:color w:val="000000"/>
          <w:sz w:val="20"/>
        </w:rPr>
        <w:t xml:space="preserve">Leverage current infrastructure to drive toward positive cash flow </w:t>
      </w:r>
    </w:p>
    <w:p>
      <w:pPr>
        <w:pStyle w:val="TextBody"/>
        <w:spacing w:lineRule="auto" w:line="276" w:before="0" w:after="0"/>
        <w:ind w:left="0" w:right="0" w:hanging="360"/>
        <w:jc w:val="both"/>
        <w:rPr/>
      </w:pPr>
      <w:r>
        <w:rPr>
          <w:color w:val="000000"/>
        </w:rPr>
        <w:t>•</w:t>
      </w:r>
      <w:r>
        <w:rPr>
          <w:rFonts w:ascii="Roboto;sans-serif" w:hAnsi="Roboto;sans-serif"/>
          <w:b w:val="false"/>
          <w:color w:val="000000"/>
          <w:sz w:val="20"/>
        </w:rPr>
        <w:t>Expand partnerships across ecosystem and workflow to drive customer adoption of SBB short-read sequencing and HiFi long-read sequencing</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 xml:space="preserve">We will continue to leverage our commercial organization and make significant improvements in the efficiency and usability of our products to seek to reach a broader customer base. We believe the commercial investments we have recently made will further help drive growth in our business. </w:t>
      </w:r>
    </w:p>
    <w:p>
      <w:pPr>
        <w:pStyle w:val="TextBody"/>
        <w:spacing w:lineRule="auto" w:line="288" w:before="120" w:after="283"/>
        <w:jc w:val="both"/>
        <w:rPr/>
      </w:pPr>
      <w:r>
        <w:rPr>
          <w:rFonts w:ascii="Roboto;sans-serif" w:hAnsi="Roboto;sans-serif"/>
          <w:b w:val="false"/>
          <w:color w:val="000000"/>
          <w:sz w:val="20"/>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 increase applications for our technologies. In October 2022, we announced Revio, our new HiFi long-read sequencing system. We began taking orders in the fourth quarter of 2022 and commenced commercial Revio shipments in the first quarter of 2023. To address the oncology research markets with a highly differentiated alternative to existing third-party short-read sequencing products already on the market, we are also progressing development of Onso</w:t>
      </w:r>
      <w:r>
        <w:rPr>
          <w:rFonts w:ascii="Roboto;sans-serif" w:hAnsi="Roboto;sans-serif"/>
          <w:b w:val="false"/>
          <w:color w:val="000000"/>
          <w:sz w:val="13"/>
        </w:rPr>
        <w:t>TM</w:t>
      </w:r>
      <w:r>
        <w:rPr>
          <w:rFonts w:ascii="Roboto;sans-serif" w:hAnsi="Roboto;sans-serif"/>
          <w:b w:val="false"/>
          <w:color w:val="000000"/>
          <w:sz w:val="20"/>
        </w:rPr>
        <w:t xml:space="preserve">, our SBB short-read platform. We began taking orders in the first quarter of 2023 and we believe we remain on track for commercial shipment in the second quarter of 2023. </w:t>
      </w:r>
    </w:p>
    <w:p>
      <w:pPr>
        <w:pStyle w:val="TextBody"/>
        <w:spacing w:before="0" w:after="0"/>
        <w:jc w:val="both"/>
        <w:rPr/>
      </w:pPr>
      <w:r>
        <w:rPr/>
      </w:r>
    </w:p>
    <w:p>
      <w:pPr>
        <w:pStyle w:val="TextBody"/>
        <w:spacing w:lineRule="auto" w:line="276" w:before="0" w:after="0"/>
        <w:jc w:val="both"/>
        <w:rPr/>
      </w:pPr>
      <w:r>
        <w:rPr>
          <w:rFonts w:ascii="Roboto;sans-serif" w:hAnsi="Roboto;sans-serif"/>
          <w:b w:val="false"/>
          <w:color w:val="000000"/>
          <w:sz w:val="20"/>
        </w:rPr>
        <w:t>We continue to believe that with the capabilities of our HiFi chemistry and SMRT</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pStyle w:val="TextBody"/>
        <w:spacing w:lineRule="auto" w:line="288" w:before="240" w:after="283"/>
        <w:jc w:val="both"/>
        <w:rPr>
          <w:rFonts w:ascii="Roboto;sans-serif" w:hAnsi="Roboto;sans-serif"/>
          <w:b/>
          <w:i/>
          <w:color w:val="000000"/>
          <w:sz w:val="20"/>
          <w:highlight w:val="white"/>
        </w:rPr>
      </w:pPr>
      <w:r>
        <w:rPr>
          <w:rFonts w:ascii="Roboto;sans-serif" w:hAnsi="Roboto;sans-serif"/>
          <w:b/>
          <w:i/>
          <w:color w:val="000000"/>
          <w:sz w:val="20"/>
          <w:highlight w:val="white"/>
        </w:rPr>
        <w:t>Financial Overview</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COVID-19 pandemic and efforts to control its spread have significantly curtailed the movement of people, goods, and services worldwide, including in the regions in which we sell our products and services and conduct our business operations. In the past, we were negatively impacted by the COVID-19 pandemic and we may be negatively impacted by any future resurgence of the COVID-19 pandemic. Additionally, macroeconomic dynamics including rising inflation, global supply chain constraints, volatile capital markets, competition, exchange rates and lockdown restrictions associated with COVID-19 have adversely impacted our customers and lengthened customer sales cycles. We expect these factors to continue to impact our revenues and results of operations throughout 2023, the size and duration of which is significantly uncertain, and as a result, we cannot reasonably estimate the future impact to our operations and financial results.</w:t>
      </w:r>
    </w:p>
    <w:p>
      <w:pPr>
        <w:pStyle w:val="TextBody"/>
        <w:spacing w:before="0" w:after="0"/>
        <w:rPr/>
      </w:pPr>
      <w:r>
        <w:rPr/>
      </w:r>
    </w:p>
    <w:p>
      <w:pPr>
        <w:pStyle w:val="TextBody"/>
        <w:spacing w:lineRule="auto" w:line="276" w:before="0" w:after="0"/>
        <w:rPr/>
      </w:pPr>
      <w:r>
        <w:rPr>
          <w:rFonts w:ascii="Roboto;sans-serif" w:hAnsi="Roboto;sans-serif"/>
          <w:b w:val="false"/>
          <w:color w:val="000000"/>
          <w:sz w:val="20"/>
        </w:rPr>
        <w:t xml:space="preserve">See the </w:t>
      </w:r>
      <w:hyperlink w:anchor="idd15d706814f4821992e3c53513cc1e0_94">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 of the possible impact of the COVID-19 pandemic on our business.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three months ended March 31, 2023 consolidated financial results include the following:</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Roboto;sans-serif" w:hAnsi="Roboto;sans-serif"/>
          <w:b w:val="false"/>
          <w:color w:val="000000"/>
          <w:sz w:val="20"/>
        </w:rPr>
        <w:t xml:space="preserve">Revenue increased $5.7 million, or 17%, to $38.9 million for the three months ended March 31, 2023, as compared to $33.2 million for the three months ended March 31, 2022. The increase was primarily driven by the launch of Revio in the first quarter ended March 31, 2023, which is sold at a higher average selling price than our previous Sequel II and IIe platform. We ended the quarter with an installed base of 32 Revio systems and we shipped 6 Sequel IIe systems in the quarter.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Roboto;sans-serif" w:hAnsi="Roboto;sans-serif"/>
          <w:b w:val="false"/>
          <w:color w:val="000000"/>
          <w:sz w:val="20"/>
        </w:rPr>
        <w:t>Gross profit as a percentage of revenue (gross margin) was 25% for the three months ended March 31, 2023, compared to 43% for the three months ended March 31, 2022. Gross margin declined due in part to instrument mix, as Revio instruments sold during the quarter had a lower margin primarily due to loyalty discounts provided and higher initial manufacturing costs, as well as adjustments of approximately $3.5 million primarily relating to excess consumables inventory resulting from a faster-than-expected decline in demand of Sequel II/IIe consumables due to the product transition to Revio. Our gross margin in future periods will depend on several factors, including new product transitions and offerings, strategic product pricing; product mix as a result of higher-margin consumables; supply chain constraints and inflation increasing costs of raw materials; manufacturing capacity and production volumes impacting the cost of inventory; freight costs; and excess or obsolete inventories.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Roboto;sans-serif" w:hAnsi="Roboto;sans-serif"/>
          <w:b w:val="false"/>
          <w:color w:val="000000"/>
          <w:sz w:val="20"/>
        </w:rPr>
        <w:t xml:space="preserve">Loss from operations increased $13.7 million, or 18%, to $91.3 million for the three months ended March 31, 2023, as compared to $77.5 million for the three months ended March 31, 2022, driven primarily by an increase of $9.3 million of operating expenses, including a $4.0 million decrease in research and development expenses and a $13.3 million increase in the change in the fair value of the contingent consideration, and a decline in gross profit of $4.4 million. </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Roboto;sans-serif" w:hAnsi="Roboto;sans-serif"/>
          <w:b w:val="false"/>
          <w:color w:val="000000"/>
          <w:sz w:val="20"/>
        </w:rPr>
        <w:t>Cash, cash equivalents, and short-term investments were $874.9 million at March 31, 2023, which represents a 13% increase compared to the balance at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Results of Operations </w:t>
      </w:r>
    </w:p>
    <w:p>
      <w:pPr>
        <w:pStyle w:val="TextBody"/>
        <w:spacing w:lineRule="auto" w:line="288" w:before="200" w:after="283"/>
        <w:jc w:val="both"/>
        <w:rPr>
          <w:rFonts w:ascii="Roboto;sans-serif" w:hAnsi="Roboto;sans-serif"/>
          <w:b/>
          <w:i/>
          <w:color w:val="000000"/>
          <w:sz w:val="20"/>
        </w:rPr>
      </w:pPr>
      <w:r>
        <w:rPr>
          <w:rFonts w:ascii="Roboto;sans-serif" w:hAnsi="Roboto;sans-serif"/>
          <w:b/>
          <w:i/>
          <w:color w:val="000000"/>
          <w:sz w:val="20"/>
        </w:rPr>
        <w:t xml:space="preserve">Comparison of the Three months ended March 31, 2023 and 2022 </w:t>
      </w:r>
    </w:p>
    <w:tbl>
      <w:tblPr>
        <w:tblW w:w="10205" w:type="dxa"/>
        <w:jc w:val="left"/>
        <w:tblInd w:w="0" w:type="dxa"/>
        <w:tblCellMar>
          <w:top w:w="28" w:type="dxa"/>
          <w:left w:w="28" w:type="dxa"/>
          <w:bottom w:w="28" w:type="dxa"/>
          <w:right w:w="28" w:type="dxa"/>
        </w:tblCellMar>
      </w:tblPr>
      <w:tblGrid>
        <w:gridCol w:w="1414"/>
        <w:gridCol w:w="1215"/>
        <w:gridCol w:w="1219"/>
        <w:gridCol w:w="254"/>
        <w:gridCol w:w="1017"/>
        <w:gridCol w:w="122"/>
        <w:gridCol w:w="122"/>
        <w:gridCol w:w="122"/>
        <w:gridCol w:w="122"/>
        <w:gridCol w:w="254"/>
        <w:gridCol w:w="1017"/>
        <w:gridCol w:w="122"/>
        <w:gridCol w:w="109"/>
        <w:gridCol w:w="109"/>
        <w:gridCol w:w="109"/>
        <w:gridCol w:w="226"/>
        <w:gridCol w:w="782"/>
        <w:gridCol w:w="109"/>
        <w:gridCol w:w="109"/>
        <w:gridCol w:w="109"/>
        <w:gridCol w:w="109"/>
        <w:gridCol w:w="369"/>
        <w:gridCol w:w="363"/>
        <w:gridCol w:w="702"/>
      </w:tblGrid>
      <w:tr>
        <w:trPr/>
        <w:tc>
          <w:tcPr>
            <w:tcW w:w="1414"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38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 thousands, except percentages)</w:t>
            </w:r>
          </w:p>
        </w:tc>
        <w:tc>
          <w:tcPr>
            <w:tcW w:w="31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8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5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34,654 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28,244 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4,246 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25,164 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14,820 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3,792 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4,015 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intangible assets</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29,139 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19,018 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14,155 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48,939 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52,937 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39,818 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39,804 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12,256 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(1253)</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101,013 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91,678 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(91,252)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(77,523)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(3,630)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(expense), net </w:t>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6,867 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(2561 </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48"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r>
      <w:tr>
        <w:trPr/>
        <w:tc>
          <w:tcPr>
            <w:tcW w:w="3848"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(88,015)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(81,499)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(6,516)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8 </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Revenue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Revenue increased $5.7 million, or 17%, to $38.9 million for the three months ended March 31, 2023, as compared to $33.2 million for the three months ended March 31, 2022. </w:t>
      </w:r>
    </w:p>
    <w:p>
      <w:pPr>
        <w:pStyle w:val="TextBody"/>
        <w:spacing w:lineRule="auto" w:line="256" w:before="120" w:after="283"/>
        <w:jc w:val="both"/>
        <w:rPr>
          <w:rFonts w:ascii="Roboto;sans-serif" w:hAnsi="Roboto;sans-serif"/>
          <w:b w:val="false"/>
          <w:color w:val="000000"/>
          <w:sz w:val="20"/>
        </w:rPr>
      </w:pPr>
      <w:r>
        <w:rPr>
          <w:rFonts w:ascii="Roboto;sans-serif" w:hAnsi="Roboto;sans-serif"/>
          <w:b w:val="false"/>
          <w:color w:val="000000"/>
          <w:sz w:val="20"/>
        </w:rPr>
        <w:t>Instrument revenue increased $5.2 million, or 33%, to $20.7 million for the three months ended March 31, 2023, as compared to $15.6 million for the three months ended March 31, 2022, primarily due to the sale of 32 newly launched Revio systems that have a higher average selling price. We expect sales volumes and the installed base of Revio instruments to grow, reflecting customer demand for the new product. As a result of this new product launch, we anticipate installed base and sales volumes of Sequel II/IIe to decline compared to recent quarters.  </w:t>
      </w:r>
    </w:p>
    <w:p>
      <w:pPr>
        <w:pStyle w:val="TextBody"/>
        <w:spacing w:lineRule="auto" w:line="256" w:before="0" w:after="0"/>
        <w:jc w:val="both"/>
        <w:rPr>
          <w:color w:val="000000"/>
        </w:rPr>
      </w:pPr>
      <w:r>
        <w:rPr>
          <w:color w:val="000000"/>
        </w:rPr>
        <w:t> </w:t>
      </w:r>
    </w:p>
    <w:p>
      <w:pPr>
        <w:pStyle w:val="TextBody"/>
        <w:spacing w:lineRule="auto" w:line="256" w:before="0" w:after="0"/>
        <w:jc w:val="both"/>
        <w:rPr>
          <w:rFonts w:ascii="Roboto;sans-serif" w:hAnsi="Roboto;sans-serif"/>
          <w:b w:val="false"/>
          <w:color w:val="000000"/>
          <w:sz w:val="20"/>
        </w:rPr>
      </w:pPr>
      <w:r>
        <w:rPr>
          <w:rFonts w:ascii="Roboto;sans-serif" w:hAnsi="Roboto;sans-serif"/>
          <w:b w:val="false"/>
          <w:color w:val="000000"/>
          <w:sz w:val="20"/>
        </w:rPr>
        <w:t xml:space="preserve">Consumables revenue increased $1.3 million, or 10%, to $14.0 million for the three months ended March 31, 2023, as compared to $12.7 million for the three months ended March 31, 2022. The increase in consumable sales was primarily due to higher Revio and Sequel II/IIe consumables sales attributable to the growth in the instrument installed base as compared to the same period in the prior year. </w:t>
      </w:r>
    </w:p>
    <w:p>
      <w:pPr>
        <w:pStyle w:val="TextBody"/>
        <w:spacing w:before="0" w:after="0"/>
        <w:jc w:val="both"/>
        <w:rPr/>
      </w:pPr>
      <w:r>
        <w:rPr/>
      </w:r>
    </w:p>
    <w:p>
      <w:pPr>
        <w:pStyle w:val="TextBody"/>
        <w:spacing w:lineRule="auto" w:line="256" w:before="0" w:after="0"/>
        <w:jc w:val="both"/>
        <w:rPr>
          <w:rFonts w:ascii="Roboto;sans-serif" w:hAnsi="Roboto;sans-serif"/>
          <w:b w:val="false"/>
          <w:color w:val="000000"/>
          <w:sz w:val="20"/>
        </w:rPr>
      </w:pPr>
      <w:r>
        <w:rPr>
          <w:rFonts w:ascii="Roboto;sans-serif" w:hAnsi="Roboto;sans-serif"/>
          <w:b w:val="false"/>
          <w:color w:val="000000"/>
          <w:sz w:val="20"/>
        </w:rPr>
        <w:t xml:space="preserve">Service and other revenue decreased $0.7 million, or 14%, to $4.2 million for the three months ended March 31, 2023, as compared to $4.9 million for the three months ended March 31, 2022, primarily due to the change in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56" w:before="0" w:after="0"/>
        <w:jc w:val="both"/>
        <w:rPr>
          <w:rFonts w:ascii="Roboto;sans-serif" w:hAnsi="Roboto;sans-serif"/>
          <w:b w:val="false"/>
          <w:color w:val="000000"/>
          <w:sz w:val="20"/>
        </w:rPr>
      </w:pPr>
      <w:r>
        <w:rPr>
          <w:rFonts w:ascii="Roboto;sans-serif" w:hAnsi="Roboto;sans-serif"/>
          <w:b w:val="false"/>
          <w:color w:val="000000"/>
          <w:sz w:val="20"/>
        </w:rPr>
        <w:t>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We expect service revenue to continue to decline during the remainder of the year as we anticipate customers transitioning their service contracts to Revio following the standard warranty period, with fewer customers renewing Sequel service contracts.</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Cost of Revenue, Gross Profit and Gross Margin</w:t>
      </w:r>
    </w:p>
    <w:p>
      <w:pPr>
        <w:pStyle w:val="TextBody"/>
        <w:spacing w:before="0" w:after="0"/>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Cost of product revenue increased $10.3 million, or 70%, for the three months ended March 31, 2023, compared to the three months ended March 31, 2022. The cost of product revenue increased primarily due to higher overall product costs, as well as adjustments of approximately $3.5 million primarily relating to excess consumables inventory resulting from a faster-than-expected decline in demand of Sequel II/IIe consumables due to the product transition to Revio.</w:t>
      </w:r>
    </w:p>
    <w:p>
      <w:pPr>
        <w:pStyle w:val="TextBody"/>
        <w:spacing w:before="0" w:after="0"/>
        <w:rPr/>
      </w:pPr>
      <w:r>
        <w:rPr/>
      </w:r>
    </w:p>
    <w:p>
      <w:pPr>
        <w:pStyle w:val="TextBody"/>
        <w:spacing w:lineRule="auto" w:line="256" w:before="0" w:after="0"/>
        <w:jc w:val="both"/>
        <w:rPr>
          <w:rFonts w:ascii="Roboto;sans-serif" w:hAnsi="Roboto;sans-serif"/>
          <w:b w:val="false"/>
          <w:color w:val="000000"/>
          <w:sz w:val="20"/>
        </w:rPr>
      </w:pPr>
      <w:r>
        <w:rPr>
          <w:rFonts w:ascii="Roboto;sans-serif" w:hAnsi="Roboto;sans-serif"/>
          <w:b w:val="false"/>
          <w:color w:val="000000"/>
          <w:sz w:val="20"/>
        </w:rPr>
        <w:t xml:space="preserve">Gross profit decreased $4.4 million, or 31%, to $9.8 million for the three months ended March 31, 2023, compared to $14.2 million for the three months ended March 31, 2022. Gross margin was 25% for the three months ended March 31, 2023, compared to gross margin of 43% for the three months ended March 31, 2022. The decrease in gross margin was due in part to instrument mix, as Revio instruments sold during the quarter had a lower margin primarily due to loyalty discounts provided and higher initial manufacturing costs, as well as adjustments of approximately $3.5 million primarily relating to excess consumables inventory resulting from a faster-than-expected decline in demand of Sequel II/IIe consumables due to the product transition to Revio. While we expect gross margin to expand during the remainder of the year, gross margin could fluctuate depending on the pace at which Sequel II/IIe usage declines and Revio manufacturing is scaled.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Research and Development Expense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Research and development expense decreased by $4.0 million, or 8%, to $48.9 million for the three months ended March 31, 2023, compared to the $52.9 million for three months ended March 31, 2022. The decrease was primarily driven by the transition of Revio from development to commercialization. Research and development expense included share-based compensation expense of $6.7 million and $9.0 million during the three months ended March 31, 2023 and 2022, respectively.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Sales, General and Administrative Expense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Sales, general and administrative expense remained consistent at $39.8 million for each of the three months ended March 31, 2023 and 2022. Sales, general, and administrative expense included share-based compensation expense of $9.3 million and $12.0 million during the three months ended March 31, 2023 and 2022, respectively. The decrease in share-based compensation expense of $2.7 million was primarily offset by an increase in marketing expenses of $2.3 million during the three months ended March 31, 2023 as compared to the three months ended March 31, 2022.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Change in Fair Value of Contingent Consideration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of $12.3 million during the three months ended March 31, 2023, represents the remeasurement impact of the contingent consideration liability of $200 million (composed of $100 million in cash and $100 million in shares of our common stock) that is due upon the achievement of a milestone, defined as the first commercial shipment to a customer of both an instrument and related consumables, utilizing SBB technology. The increase in contingent consideration liability was primarily due to changes in the probabilities of milestone achievement, as well as the passage of time.</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Interest Expense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three months ended March 31, 2023, was $3.6 million compared to $3.7 million for the three months ended March 31, 2022 and was primarily comprised of interest on the Convertible Senior Notes.</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Other Income (Expense), net</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(expense), net for the three months ended March 31, 2023, was $6.9 million compared to $(0.3) million for the three months ended March 31, 2022. The $7.1 million increase was primarily due to investment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Liquidity and Capital Resources</w:t>
      </w:r>
    </w:p>
    <w:p>
      <w:pPr>
        <w:pStyle w:val="TextBody"/>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our strategic initiatives to grow our business.</w:t>
      </w:r>
    </w:p>
    <w:p>
      <w:pPr>
        <w:pStyle w:val="TextBody"/>
        <w:spacing w:lineRule="auto" w:line="288" w:before="120" w:after="283"/>
        <w:jc w:val="both"/>
        <w:rPr>
          <w:rFonts w:ascii="Roboto;sans-serif" w:hAnsi="Roboto;sans-serif"/>
          <w:b/>
          <w:i/>
          <w:color w:val="000000"/>
          <w:sz w:val="20"/>
        </w:rPr>
      </w:pPr>
      <w:r>
        <w:rPr>
          <w:rFonts w:ascii="Roboto;sans-serif" w:hAnsi="Roboto;sans-serif"/>
          <w:b/>
          <w:i/>
          <w:color w:val="000000"/>
          <w:sz w:val="20"/>
        </w:rPr>
        <w:t>January 2023 Public Offering</w:t>
      </w:r>
    </w:p>
    <w:p>
      <w:pPr>
        <w:pStyle w:val="TextBody"/>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On January 27, 2023, we issued and sold an aggregate of 20,125,000 shares of our common stock at a purchase price of $10.00 per share pursuant to an automatic shelf registration statement filed on Form S-3 with the Securities and Exchange Commission, resulting in aggregate gross proceeds of approximately $201.3 million. After deducting underwriting discounts and commissions and offering costs paid or payable by us of approximately $12.1 million, the net proceeds from the offering were approximately $189.2 million.</w:t>
      </w:r>
    </w:p>
    <w:p>
      <w:pPr>
        <w:pStyle w:val="TextBody"/>
        <w:spacing w:lineRule="auto" w:line="288" w:before="120" w:after="120"/>
        <w:jc w:val="both"/>
        <w:rPr>
          <w:rFonts w:ascii="Roboto;sans-serif" w:hAnsi="Roboto;sans-serif"/>
          <w:b w:val="false"/>
          <w:color w:val="000000"/>
          <w:sz w:val="20"/>
        </w:rPr>
      </w:pPr>
      <w:r>
        <w:rPr>
          <w:rFonts w:ascii="Roboto;sans-serif" w:hAnsi="Roboto;sans-serif"/>
          <w:b w:val="false"/>
          <w:color w:val="000000"/>
          <w:sz w:val="20"/>
        </w:rPr>
        <w:t>As of March 31, 2023, we had cash, cash equivalents and investments of $874.9 million compared to $772.3 million as of December 31, 2022. We believe that our existing cash, cash equivalents and investments will be sufficient to fund our projected operating requirements beyond the next 12 months from the date of filing of this Quarterly Report on Form 10-Q for the quarter ended March 31, 2023.</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Summary of Cash Flows</w:t>
      </w:r>
    </w:p>
    <w:tbl>
      <w:tblPr>
        <w:tblW w:w="9745" w:type="dxa"/>
        <w:jc w:val="left"/>
        <w:tblInd w:w="0" w:type="dxa"/>
        <w:tblCellMar>
          <w:top w:w="28" w:type="dxa"/>
          <w:left w:w="28" w:type="dxa"/>
          <w:bottom w:w="28" w:type="dxa"/>
          <w:right w:w="28" w:type="dxa"/>
        </w:tblCellMar>
      </w:tblPr>
      <w:tblGrid>
        <w:gridCol w:w="2325"/>
        <w:gridCol w:w="2042"/>
        <w:gridCol w:w="2052"/>
        <w:gridCol w:w="261"/>
        <w:gridCol w:w="1061"/>
        <w:gridCol w:w="126"/>
        <w:gridCol w:w="126"/>
        <w:gridCol w:w="126"/>
        <w:gridCol w:w="126"/>
        <w:gridCol w:w="261"/>
        <w:gridCol w:w="1061"/>
        <w:gridCol w:w="178"/>
      </w:tblGrid>
      <w:tr>
        <w:trPr/>
        <w:tc>
          <w:tcPr>
            <w:tcW w:w="2325"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6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6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color w:val="000000"/>
                <w:sz w:val="18"/>
              </w:rPr>
            </w:pPr>
            <w:r>
              <w:rPr>
                <w:rFonts w:ascii="Roboto;sans-serif" w:hAnsi="Roboto;sans-serif"/>
                <w:b/>
                <w:color w:val="000000"/>
                <w:sz w:val="18"/>
              </w:rPr>
              <w:t>(in thousands)</w:t>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used in operating activities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(94,691)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(79,029)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(used in) provided by investing activities</w:t>
            </w:r>
          </w:p>
        </w:tc>
        <w:tc>
          <w:tcPr>
            <w:tcW w:w="13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(72,553)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42,053 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provided by financing activities</w:t>
            </w:r>
          </w:p>
        </w:tc>
        <w:tc>
          <w:tcPr>
            <w:tcW w:w="13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195,989 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5,215 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increase (decrease) in cash, cash equivalents and restricted cash</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28,745 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(31,761)</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Operating Activities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used in operating activities for the three months ended March 31, 2023, of $94.7 million was due primarily to a $88.0 million net loss that included non-cash items such as share-based compensation of $18.0 million, change in estimated fair value of contingent consideration of $12.3 million, depreciation expense of $2.8 million, amortization of right-of-use assets of $1.5 million. This was offset by the accretion of discount and amortization of premium on marketable securities, net of $2.2 million and $43.1 million in net changes to operating assets and liabilities. Cash flow impact from changes in net operating assets and liabilities were primarily driven by increases in inventory, accounts receivable and prepaid and other assets, as well as decreases in accrued expenses, other liabilities and operating lease liabilities. These uses of cash were partially offset by an increase in accounts payable.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used in operating activities for the three months ended March 31, 2022, of $79.0 million was due primarily to a $81.5 million net loss that included non-cash items such as share-based compensation of $22.7 million, depreciation expense of $2.3 million, amortization of right-of-use assets of $1.7 million, a $1.1 million decrease in liability due to the change in estimated fair value of contingent consideration, and a net cash outflow due to $24.4 million in net changes to operating assets and liabilities. Cash flow impact from changes in net operating assets and liabilities were primarily driven by decreases in accrued expenses, other liabilities and operating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lease liabilities, as well as increases in inventory, accounts receivable and prepaid and other assets. These uses of cash were partially offset by increases in accounts payable and deferred revenue.</w:t>
      </w:r>
    </w:p>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 xml:space="preserve">Investing Activities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 Cash used in investing activities for the three months ended March 31, 2023, was due to $164.5 million of maturities and sales of investments offset by $233.3 million in purchases of investments, and $3.7 million in purchases of property and equipment.</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 Cash provided by investing activities for the three months ended March 31, 2022, was due primarily to $122.1 million in maturities of investments offset by net purchases of investments of $76.4 million, and partially offset by purchases of property and equipment of $3.6 million.</w:t>
      </w:r>
    </w:p>
    <w:p>
      <w:pPr>
        <w:pStyle w:val="TextBody"/>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 xml:space="preserve">Financing Activities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three months ended March 31, 2023 primarily resulted from $189.2 million in net proceeds related to the issuance of common stock from the underwritten public equity offering and $7.2 million from the issuance of common stock through our equity compensation plans.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provided by financing activities during the three months ended March 31, 2022, resulted from proceeds of $5.6 million from the issuance of common stock through our equity compensation plans.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Critical Accounting Policies and Estimates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Recent Accounting Pronouncements</w:t>
      </w:r>
    </w:p>
    <w:p>
      <w:pPr>
        <w:pStyle w:val="TextBody"/>
        <w:spacing w:lineRule="auto" w:line="288" w:before="120" w:after="283"/>
        <w:jc w:val="both"/>
        <w:rPr/>
      </w:pPr>
      <w:r>
        <w:rPr>
          <w:rFonts w:ascii="Roboto;sans-serif" w:hAnsi="Roboto;sans-serif"/>
          <w:b w:val="false"/>
          <w:color w:val="000000"/>
          <w:sz w:val="20"/>
        </w:rPr>
        <w:t xml:space="preserve">Please see </w:t>
      </w:r>
      <w:hyperlink w:anchor="idd15d706814f4821992e3c53513cc1e0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xml:space="preserve">, subsection titled “Recent Accounting Pronouncements”, in Part I, Item 1 of this Quarterly Report on Form 10-Q for information regarding applicable recent accounting pronouncements.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Off-Balance Sheet Arrangements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2023, we did not have any off-balance sheet arrangements.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120" w:after="283"/>
        <w:jc w:val="both"/>
        <w:rPr/>
      </w:pPr>
      <w:r>
        <w:rPr>
          <w:rFonts w:ascii="Roboto;sans-serif" w:hAnsi="Roboto;sans-serif"/>
          <w:b w:val="false"/>
          <w:color w:val="000000"/>
          <w:sz w:val="20"/>
        </w:rPr>
        <w:t xml:space="preserve">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dd15d706814f4821992e3c53513cc1e0_52">
        <w:r>
          <w:rPr>
            <w:rStyle w:val="InternetLink"/>
          </w:rPr>
          <w:t xml:space="preserve">Note </w:t>
        </w:r>
      </w:hyperlink>
      <w:hyperlink w:anchor="idd15d706814f4821992e3c53513cc1e0_52">
        <w:r>
          <w:rPr>
            <w:rStyle w:val="InternetLink"/>
          </w:rPr>
          <w:t>5</w:t>
        </w:r>
      </w:hyperlink>
      <w:hyperlink w:anchor="idd15d706814f4821992e3c53513cc1e0_52">
        <w:r>
          <w:rPr>
            <w:rStyle w:val="InternetLink"/>
          </w:rPr>
          <w:t>. Commitments and Contingencies</w:t>
        </w:r>
      </w:hyperlink>
      <w:r>
        <w:rPr>
          <w:color w:val="000000"/>
        </w:rPr>
        <w:t xml:space="preserve"> </w:t>
      </w:r>
      <w:r>
        <w:rPr>
          <w:rFonts w:ascii="Roboto;sans-serif" w:hAnsi="Roboto;sans-serif"/>
          <w:b w:val="false"/>
          <w:color w:val="000000"/>
          <w:sz w:val="20"/>
        </w:rPr>
        <w:t>in Part I, Item 1 of this Quarterly Report on Form 10-Q, any associated expenses incurred are included within the related accrued litigation expense amounts. No additional liability associated with such indemnification agreements has been recorded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3.    Quantitative and Qualitative Disclosures About Market Risk</w:t>
      </w:r>
    </w:p>
    <w:p>
      <w:pPr>
        <w:pStyle w:val="TextBody"/>
        <w:spacing w:lineRule="auto" w:line="288" w:before="200" w:after="283"/>
        <w:jc w:val="both"/>
        <w:rPr>
          <w:rFonts w:ascii="Roboto;sans-serif" w:hAnsi="Roboto;sans-serif"/>
          <w:b/>
          <w:color w:val="000000"/>
          <w:sz w:val="20"/>
        </w:rPr>
      </w:pPr>
      <w:r>
        <w:rPr>
          <w:rFonts w:ascii="Roboto;sans-serif" w:hAnsi="Roboto;sans-serif"/>
          <w:b/>
          <w:color w:val="000000"/>
          <w:sz w:val="20"/>
        </w:rPr>
        <w:t>Interest Rate and Market Risk</w:t>
      </w:r>
    </w:p>
    <w:p>
      <w:pPr>
        <w:pStyle w:val="TextBody"/>
        <w:spacing w:lineRule="auto" w:line="288" w:before="120" w:after="283"/>
        <w:jc w:val="both"/>
        <w:rPr/>
      </w:pPr>
      <w:r>
        <w:rPr>
          <w:rFonts w:ascii="Roboto;sans-serif" w:hAnsi="Roboto;sans-serif"/>
          <w:b w:val="false"/>
          <w:color w:val="000000"/>
          <w:sz w:val="20"/>
        </w:rPr>
        <w:t xml:space="preserve">We carry our convertible senior notes at the principal amount, less unamortized debt issuance costs, on our Condensed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hyperlink w:anchor="idd15d706814f4821992e3c53513cc1e0_49">
        <w:r>
          <w:rPr>
            <w:rStyle w:val="InternetLink"/>
          </w:rPr>
          <w:t xml:space="preserve">Note </w:t>
        </w:r>
      </w:hyperlink>
      <w:hyperlink w:anchor="idd15d706814f4821992e3c53513cc1e0_49">
        <w:r>
          <w:rPr>
            <w:rStyle w:val="InternetLink"/>
          </w:rPr>
          <w:t>4</w:t>
        </w:r>
      </w:hyperlink>
      <w:hyperlink w:anchor="idd15d706814f4821992e3c53513cc1e0_49">
        <w:r>
          <w:rPr>
            <w:rStyle w:val="InternetLink"/>
          </w:rPr>
          <w:t>.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2023, we invested in cash equivalents, U.S. government and agency securities, U.S. Treasury securities, and corporate debt securities which were designated as cash equivalents and available-for-sale investments. Our cash equivalents and available-for-sale securities as of March 31, 2023 was $875 million.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March 31, 2023 would have affected the fair value of our investment portfolio by approximately $3.5 million.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4.    Controls and Procedures</w:t>
      </w:r>
    </w:p>
    <w:p>
      <w:pPr>
        <w:pStyle w:val="TextBody"/>
        <w:spacing w:lineRule="auto" w:line="288" w:before="200" w:after="283"/>
        <w:jc w:val="both"/>
        <w:rPr>
          <w:rFonts w:ascii="Roboto;sans-serif" w:hAnsi="Roboto;sans-serif"/>
          <w:b/>
          <w:color w:val="000000"/>
          <w:sz w:val="20"/>
        </w:rPr>
      </w:pPr>
      <w:r>
        <w:rPr>
          <w:rFonts w:ascii="Roboto;sans-serif" w:hAnsi="Roboto;sans-serif"/>
          <w:b/>
          <w:color w:val="000000"/>
          <w:sz w:val="20"/>
        </w:rPr>
        <w:t>Disclosure Controls and Procedures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Changes in Internal Control Over Financial Reporting</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March 31, 2023 that materially affected, or is reasonably likely to materially affect, our internal control over financial reporting. There were no material changes in our internal control over financial reporting during the fiscal quarter ended March 31, 2023, that have materially affected, or were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 xml:space="preserve">Item 1.    Legal Proceedings </w:t>
      </w:r>
    </w:p>
    <w:p>
      <w:pPr>
        <w:pStyle w:val="TextBody"/>
        <w:spacing w:lineRule="auto" w:line="288" w:before="240" w:after="283"/>
        <w:jc w:val="both"/>
        <w:rPr>
          <w:rFonts w:ascii="Roboto;sans-serif" w:hAnsi="Roboto;sans-serif"/>
          <w:b/>
          <w:i/>
          <w:color w:val="000000"/>
          <w:sz w:val="20"/>
        </w:rPr>
      </w:pPr>
      <w:r>
        <w:rPr>
          <w:rFonts w:ascii="Roboto;sans-serif" w:hAnsi="Roboto;sans-serif"/>
          <w:b/>
          <w:i/>
          <w:color w:val="000000"/>
          <w:sz w:val="20"/>
        </w:rPr>
        <w:t>U.S. District Court Proceedings</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We plan to vigorously defend against the remaining claims.</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In December 2022, Take2 Technologies, Ltd. and the Chinese University of Hong Kong filed a complaint in the U.S. District Court for Delaware against us alleging infringement of U.S. Patent No. 11,091,794 (the “’794 Patent”) (C.A. No. 22- cv-01595).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We also filed a motion to transfer the case to the Northern District of California on March 2, 2023. We believe the infringement allegations in the complaint lack merit and we intend to vigorously defend in this matter.</w:t>
      </w:r>
    </w:p>
    <w:p>
      <w:pPr>
        <w:pStyle w:val="TextBody"/>
        <w:spacing w:before="0" w:after="0"/>
        <w:jc w:val="both"/>
        <w:rPr/>
      </w:pPr>
      <w:r>
        <w:rPr/>
      </w:r>
    </w:p>
    <w:p>
      <w:pPr>
        <w:pStyle w:val="TextBody"/>
        <w:spacing w:lineRule="auto" w:line="276" w:before="0" w:after="0"/>
        <w:jc w:val="both"/>
        <w:rPr>
          <w:rFonts w:ascii="Roboto;sans-serif" w:hAnsi="Roboto;sans-serif"/>
          <w:b/>
          <w:i/>
          <w:color w:val="000000"/>
          <w:sz w:val="20"/>
        </w:rPr>
      </w:pPr>
      <w:r>
        <w:rPr>
          <w:rFonts w:ascii="Roboto;sans-serif" w:hAnsi="Roboto;sans-serif"/>
          <w:b/>
          <w:i/>
          <w:color w:val="000000"/>
          <w:sz w:val="20"/>
        </w:rPr>
        <w:t>Proceedings in China</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 xml:space="preserve">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based on the CNIPA invalidation decision, and PGI filed a petition to withdraw its complaint. The Wuhan Intermediate People’s court granted PGI’s petition and dismissed the infringement action in May 2022.</w:t>
      </w:r>
    </w:p>
    <w:p>
      <w:pPr>
        <w:pStyle w:val="TextBody"/>
        <w:spacing w:before="0" w:after="0"/>
        <w:jc w:val="both"/>
        <w:rPr/>
      </w:pPr>
      <w:r>
        <w:rPr/>
      </w:r>
    </w:p>
    <w:p>
      <w:pPr>
        <w:pStyle w:val="TextBody"/>
        <w:spacing w:lineRule="auto" w:line="276" w:before="0" w:after="0"/>
        <w:jc w:val="both"/>
        <w:rPr>
          <w:rFonts w:ascii="Roboto;sans-serif" w:hAnsi="Roboto;sans-serif"/>
          <w:b/>
          <w:i/>
          <w:color w:val="000000"/>
          <w:sz w:val="20"/>
        </w:rPr>
      </w:pPr>
      <w:r>
        <w:rPr>
          <w:rFonts w:ascii="Roboto;sans-serif" w:hAnsi="Roboto;sans-serif"/>
          <w:b/>
          <w:i/>
          <w:color w:val="000000"/>
          <w:sz w:val="20"/>
        </w:rPr>
        <w:t>Other Proceedings</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spacing w:before="0" w:after="0"/>
        <w:jc w:val="both"/>
        <w:rPr/>
      </w:pPr>
      <w:r>
        <w:rPr/>
      </w:r>
    </w:p>
    <w:p>
      <w:pPr>
        <w:pStyle w:val="TextBody"/>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1A.    Risk Factors</w:t>
      </w:r>
    </w:p>
    <w:p>
      <w:pPr>
        <w:pStyle w:val="TextBody"/>
        <w:spacing w:lineRule="auto" w:line="268" w:before="0" w:after="0"/>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and the ongoing COVID-19 pandemic may exacerbate the risks described below, any of which could have a material impact on us. This situation is changing rapidly, and additional impacts may arise that we are not aware of currently.</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Summary Risk Factors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12"/>
        <w:gridCol w:w="2736"/>
        <w:gridCol w:w="3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736" w:type="dxa"/>
            <w:tcBorders/>
            <w:shd w:fill="auto" w:val="clear"/>
            <w:vAlign w:val="center"/>
          </w:tcPr>
          <w:p>
            <w:pPr>
              <w:pStyle w:val="TableContents"/>
              <w:spacing w:before="0" w:after="283"/>
              <w:rPr>
                <w:sz w:val="4"/>
                <w:szCs w:val="4"/>
              </w:rPr>
            </w:pPr>
            <w:r>
              <w:rPr>
                <w:sz w:val="4"/>
                <w:szCs w:val="4"/>
              </w:rPr>
            </w:r>
          </w:p>
        </w:tc>
        <w:tc>
          <w:tcPr>
            <w:tcW w:w="3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market, commercialize, and sell current and future products and related maintenance services;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for our business;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leverage and integrate our acquisitions and future acquisitions;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successfully research, develop and timely manufacture our current and future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management of new product introductions and transitions, resultant costs, and ability of new products to generate promised performance;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recent significant changes to our leadership team and resultant disruptions to our business;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retention, recruitment, and training of senior management, key personnel, scientists and engineers;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further penetrate nucleic acid sequencing applications, as well as grow product demand;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reliance on outsourcing to other companies for manufacturing certain components and sub-assemblies, some of which are sole-sourced;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consistently manufacture our instruments and consumables to meet customers’ specifications, quantity, cost, or performance requirements;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high amount of competition we face in our industry;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customers and increase sales of current and future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reliance on a limited number of customers for a significant portion of our revenues, including academic, research and government institutions;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complexity of our products giving rise to defects or errors;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unpredictable and lengthy sales cycles;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business, financial condition and results of operations could be adversely affected by political and economic tensions between the United States and other countries, including China and Russia;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securing and maintaining patent or other intellectual property protection for our products and related improvements;</w:t>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current and future legal proceedings filed against us claiming intellectual property infringement;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potential adverse impact of health epidemics, including the ongoing COVID-19 pandemic;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governmental regulations that burden operations or narrow the market for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evolving ethical, legal, privacy, social, and regulatory concerns regarding genetic testing;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volatility of the price of our common stock;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stock price falling as a result of future offerings or sales of securities.</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recently announced our new Revio</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long-read sequencing system in the fourth quarter of 2022, and commenced commercial Revio shipments in the first quarter of 2023, and we are also progressing development of Onso</w:t>
      </w:r>
      <w:r>
        <w:rPr>
          <w:rFonts w:ascii="Roboto;sans-serif" w:hAnsi="Roboto;sans-serif"/>
          <w:b w:val="false"/>
          <w:color w:val="000000"/>
          <w:sz w:val="13"/>
        </w:rPr>
        <w:t>TM</w:t>
      </w:r>
      <w:r>
        <w:rPr>
          <w:rFonts w:ascii="Roboto;sans-serif" w:hAnsi="Roboto;sans-serif"/>
          <w:b w:val="false"/>
          <w:color w:val="000000"/>
          <w:sz w:val="20"/>
        </w:rPr>
        <w:t>, our SBB short-read platform, and we believe we remain on track for commercial shipment in the second quarter of 2023. Our future success is substantially dependent on our ability to successfully develop and commercialize our products, including Revio and Onso, which are anticipated to be used in demanding scientific research that requires substantial levels of accuracy and precision. In addition, we may not be successful in transitioning our Revio and Onso products from our prior generation products, and could incur related obsolete inventory charges. Customers may also be slower that we anticipate in making new capital equipment acquisitions, especially in the current economic environment. However, due to challenges we may experience in developing and marketing our existing products and launching new products, we may not be able to effectively:</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57"/>
        <w:gridCol w:w="2759"/>
        <w:gridCol w:w="392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2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 the timeliness of our new product introductions and the rate at which sales of our new products may cannibalize sales of our older products or manage sales and marketing of multiple sequencing platforms;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drive adoption of our current and future products, including the Sequel II/IIe Systems, the Revio system and products under development related to our emerging SBB technology, including the Onso system;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maintain our competitive position by continuing to attract and retain customers for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appropriate levels of customer training and support for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implement an effective marketing strategy to promote awareness of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develop and implement an effective sales and distribution strategy for our current and future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develop, manufacture and commercialize new products or achieve an acceptable return on our manufacturing or research and development efforts and expenses;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comply with regulatory requirements applicable to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anticipate and adapt to changes in our market;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deliver our beta systems to our external beta testing sites or complete our external beta testing program on our currently expected timelines;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overcome unexpected challenges discovered during beta testing;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complete the scientific and technical validation of new products, such as Onso, on our currently expected timeline or at all;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deliver our future products in a timely manner to our customers;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grow our share by marketing and selling our products for new and additional applications;</w:t>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97"/>
        <w:gridCol w:w="2744"/>
        <w:gridCol w:w="38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7" w:type="dxa"/>
            <w:tcBorders/>
            <w:shd w:fill="auto" w:val="clear"/>
            <w:vAlign w:val="center"/>
          </w:tcPr>
          <w:p>
            <w:pPr>
              <w:pStyle w:val="TableContents"/>
              <w:spacing w:before="0" w:after="283"/>
              <w:rPr>
                <w:sz w:val="4"/>
                <w:szCs w:val="4"/>
              </w:rPr>
            </w:pPr>
            <w:r>
              <w:rPr>
                <w:sz w:val="4"/>
                <w:szCs w:val="4"/>
              </w:rPr>
            </w:r>
          </w:p>
        </w:tc>
        <w:tc>
          <w:tcPr>
            <w:tcW w:w="2744" w:type="dxa"/>
            <w:tcBorders/>
            <w:shd w:fill="auto" w:val="clear"/>
            <w:vAlign w:val="center"/>
          </w:tcPr>
          <w:p>
            <w:pPr>
              <w:pStyle w:val="TableContents"/>
              <w:spacing w:before="0" w:after="283"/>
              <w:rPr>
                <w:sz w:val="4"/>
                <w:szCs w:val="4"/>
              </w:rPr>
            </w:pPr>
            <w:r>
              <w:rPr>
                <w:sz w:val="4"/>
                <w:szCs w:val="4"/>
              </w:rPr>
            </w:r>
          </w:p>
        </w:tc>
        <w:tc>
          <w:tcPr>
            <w:tcW w:w="38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adapt or scale our manufacturing activities to meet performance specifications and potential demand at a reasonable cost;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avoid infringement and misappropriation of third-party intellectual property;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obtain and maintain any necessary licenses to third-party intellectual property on commercially reasonable terms;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obtain valid and enforceable patents that give us a competitive advantage or enforce existing patents;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protect our proprietary technology;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attract, retain, and motivate qualified personnel.</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have incurred losses to date, and we expect to continue to incur significant losses as we develop our business and may never achieve profitability.</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42"/>
        <w:gridCol w:w="2765"/>
        <w:gridCol w:w="39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39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make it more difficult for us to satisfy our obligations;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 our vulnerability to general adverse economic and industry conditions;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ability to fund future working capital, capital expenditures, research and development and other business opportunities;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 the volatility of the price of our common stock;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flexibility to react to changes in our business and the industry in which we operate;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place us at a disadvantage to other companies that offer nucleic acid sequencing equipment or consumables;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 our ability to borrow additional funds.</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highlight w:val="white"/>
        </w:rPr>
        <w:t>An impairment in value of our tangible or intangible assets could also be recorded as a result of weaker economic conditions.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are not cash flow positive and may not have sufficient cash to make required payments under the terms of our debt or fund our long-term planned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including any improvements to our existing products and the continued development and anticipated launch of the Onso SBB short-read system.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In July 2021, we acquired Circulomics, and in September 2021, we acquired Omniome. As of March 31, 2023, we recorded goodwill of $410.0 million and intangible assets of $410.0 million. See </w:t>
      </w:r>
      <w:r>
        <w:rPr>
          <w:rFonts w:ascii="Roboto;sans-serif" w:hAnsi="Roboto;sans-serif"/>
          <w:b w:val="false"/>
          <w:i/>
          <w:color w:val="000000"/>
          <w:sz w:val="20"/>
        </w:rPr>
        <w:t xml:space="preserve">Note 2. Business Acquisitions </w:t>
      </w:r>
      <w:r>
        <w:rPr>
          <w:rFonts w:ascii="Roboto;sans-serif" w:hAnsi="Roboto;sans-serif"/>
          <w:b w:val="false"/>
          <w:color w:val="000000"/>
          <w:sz w:val="20"/>
        </w:rPr>
        <w:t>in Part II, Item 8 of the Annual Report on Form 10-K for the year ended December 31, 2022.</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88"/>
        <w:gridCol w:w="2705"/>
        <w:gridCol w:w="38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38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or material delay in closing a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transaction-related lawsuits or claims;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integrating the technologies, operations, existing contracts, and personnel of an acquired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retaining key employees or business partners of an acquired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retaining suppliers, partners, or customers of an acquired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challenges with integrating the brand identity of an acquired company with our own;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diversion of financial and management resources from existing operations or alternative acquisition opportunities;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to realize the anticipated benefits or synergies of a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developing technology post-acquisition;</w:t>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4"/>
        <w:gridCol w:w="2794"/>
        <w:gridCol w:w="39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4" w:type="dxa"/>
            <w:tcBorders/>
            <w:shd w:fill="auto" w:val="clear"/>
            <w:vAlign w:val="center"/>
          </w:tcPr>
          <w:p>
            <w:pPr>
              <w:pStyle w:val="TableContents"/>
              <w:spacing w:before="0" w:after="283"/>
              <w:rPr>
                <w:sz w:val="4"/>
                <w:szCs w:val="4"/>
              </w:rPr>
            </w:pPr>
            <w:r>
              <w:rPr>
                <w:sz w:val="4"/>
                <w:szCs w:val="4"/>
              </w:rPr>
            </w:r>
          </w:p>
        </w:tc>
        <w:tc>
          <w:tcPr>
            <w:tcW w:w="2794" w:type="dxa"/>
            <w:tcBorders/>
            <w:shd w:fill="auto" w:val="clear"/>
            <w:vAlign w:val="center"/>
          </w:tcPr>
          <w:p>
            <w:pPr>
              <w:pStyle w:val="TableContents"/>
              <w:spacing w:before="0" w:after="283"/>
              <w:rPr>
                <w:sz w:val="4"/>
                <w:szCs w:val="4"/>
              </w:rPr>
            </w:pPr>
            <w:r>
              <w:rPr>
                <w:sz w:val="4"/>
                <w:szCs w:val="4"/>
              </w:rPr>
            </w:r>
          </w:p>
        </w:tc>
        <w:tc>
          <w:tcPr>
            <w:tcW w:w="39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risks that regulatory bodies may enact new laws or promulgate new regulations that are adverse to an acquired company or business;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risks that regulatory bodies do not approve our acquisitions or business combinations or delay such approvals;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theft of our trade secrets or confidential information that we share with potential acquisition candidates or other potential strategic partners;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risk that an acquired company or investment in new services cannibalizes a portion of our existing business;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adverse market reaction to an acquisition or other strategic transaction.</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and Revio Systems, and the Onso product under development,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and Revio, in addition to Onso and other SBB products currently under development.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For example, in January 2021, we entered into a development agreement with Invitae, which was amended and restated on June 24, 2022 (the “Invitae Development Agreement”), regarding a multi-year collaboration for the development of a production-scale high-throughput sequencing platform. While we anticipate that in connection with the Invitae Development Agreement, we will continue to receive feedback, input and insight from Invitae in connection with our intended development of new high-throughput sequencing systems, such feedback is not contractually required and Invitae has no contractual right to participate in decisions regarding the development program for such new sequencing systems. Invitae is not contractually obligated to reimburse us for development costs under the Invitae Development Agreement. We do not expect to receive any additional revenue under the Invitae Development Agreement apart from potential purchases by Invitae of our instruments and consumables. In consideration of non-refundable Development Costs (as defined in the Invitae Development Agreement) paid by Invitae to us pursuant to the Invitae Development Agreement, we have provided Invitae with credits in connection with Invitae’s anticipated purchase of currently available and in-development sequencing systems (instruments and consumables). In addition, subject to certain conditions, Invitae will be entitled to most favored pricing for our Sequel IIe systems and certain in-development systems, including the Revio system and we may be required to sell instruments to Invitae at below-market prices.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must successfully manage new product introductions and transitions, including with respect to the SMRT Cell, the Sequel II/IIe and Revio Systems, and the development of the Onso SBB short-read sequencing system, and we may incur significant costs during these transitions and development, and these efforts may not result in the benefits we anticipate.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Sequel II/IIe Systems, the Revio HiFi long-read sequencing system, and the Onso SBB short-read sequencing system, and any future products that may be developed for research,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announcement of our Revio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Sequel II/IIe Systems, the Revio and Onso Systems, and any future long-read and short-read products, our business, operations, financial condition, and prospects may be materially and adversely affected.</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business may be adversely affected by health epidemics, including the ongoing COVID-19 pandemic.</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Our business has been and could be further adversely impacted by the effects of COVID-19 or other epidemics or pandemics. </w:t>
      </w:r>
      <w:r>
        <w:rPr>
          <w:rFonts w:ascii="Roboto;sans-serif" w:hAnsi="Roboto;sans-serif"/>
          <w:b w:val="false"/>
          <w:color w:val="000000"/>
          <w:sz w:val="20"/>
          <w:highlight w:val="white"/>
        </w:rPr>
        <w:t>Although it is not possible at this time to estimate the impact that health epidemics, including the ongoing COVID-19 pandemic, could have on our business, the continued spread of pandemics and the measures taken by the governments of countries affected could disrupt the supply chain and the manufacture of our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could impact workforce availability at those locations and disrupt supply. For example, the Chinese government may re-impose lockdowns or similar measures to combat the spread of COVID-19 and such measures have had, and may continue to have in the future, a negative impact on manufacturing and/or supply chains, as well as customer demand for our products and demand through certain distributors.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COVID-19 pandemic has caused us to modify our business practices, including limiting certain of our commercial operations and limiting certain employees from working in the office. We have offered, and may plan to continue to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Even after the COVID-19 pandemic has subsided, we may continue to experience an adverse impact to our business as a result of its global economic impact, including recessionary effects and inflationary pressures.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Significant changes to our leadership team and the resulting management transitions might harm our future operating results.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was appointed effective January 8, 2021. Jeff Eidel was appointed Chief Commercial Officer effective August 16, 2022, succeeding Peter Fromen who resigned effective May 20, 2022. Also, our Vice President and Chief Accounting Officer Michele Farmer was appointed effective May 17, 2021, and our Chair of the Board Dr. John F. Milligan was appointed effective September 14, 2020.</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highlight w:val="white"/>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has been and may continue to be high. We compete for qualified management and scientific personnel with other life science companies, academic institutions and research institutions, particularly those focusing on genomics. This competition has been exacerbated by the increase in employee resignations in 2021 and 2022, as well as continued employee turnover, that have been experienced by us and reported by employers nationwide. In addition, we have experienced significant turnover in our senior management team in recent periods.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 new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and Revio Systems, and anticipated sale and commercialization of Onso, and related products may not grow sufficiently to cover our costs.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can be no assurance that we will be successful in adding new products or securing additional customers for our current and future products, including with respect to the SMRT Cell, Sequel II/IIe Systems, Revio and Onso. If we are unable to successfully develop SBB technology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associated with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In addition, because our semiconductor suppliers are in regions that may have communities with low vaccination rates, the Omicron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highlight w:val="white"/>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Rapidly changing technology in life sciences and research diagnostics could make our products obsolete unless we continue to develop, manufacture and commercialize new and improved products and pursue new opportunities.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The size of the markets for our products, including our Revio and Onso instruments, may be smaller than estimated, and new market opportunities may not develop as quickly as we expect, or at all, limiting our ability to successfully sell our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The market for sequencing systems and consumables products is evolving, making it difficult to accurately predict the size of the markets for our current and future products, including our Revio and Onso instruments.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our long-read sequencers, such as Revio, require tools for effective, high quality sample collection and preparation as well as advanced bioinformatic tools to process results; if these tools are unavailable to our customers, whether at a reasonable cost or at all, the market acceptance and growth of our long-read sequencers, like Revio,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Increased market adoption of our products by customers may depend on the availability of sample preparation and informatics tools, some of which may be developed by third parties.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operate in a highly competitive industry and if we are not able to compete effectively, our business and operating results will likely be harmed.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Genomics, Element Biosciences and Singular Genomics.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may be unable to successfully increase sales of our current products or market and sell our future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16"/>
        <w:gridCol w:w="2784"/>
        <w:gridCol w:w="39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39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retain and manage qualified sales, marketing, and service personnel necessary to expand market acceptance for our technologies;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performance and commercial availability expectations of our existing and potential customers with respect to new and existing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availability of potential sales and distribution partners to sell our technologies, and our ability to attract and retain such sales and distribution partners;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sales, marketing and service force may be unable to execute successful commercial activities.</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For example, for the years ended December 31, 2022, 2021, and 2020, one of our customers, who is our primary distributor in China, accounted for approximately 12%, 13%, and 14%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products are highly complex, have recurring support requirements and could have unknown defects or errors, which may give rise to claims against us or divert application of our resources from other purposes.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could experience reliability issues with current or future products, including the Sequel II/IIe, Onso, and Revio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A significant portion of our sales depends on customers’ spending budgets that may be subject to significant and unexpected variation which could have a negative effect on the demand for our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may not be able to convert our orders in backlog into revenue.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sales cycles are unpredictable and lengthy, which makes it difficult to forecast revenue and may increase the magnitude of quarterly or annual fluctuations in our operating results.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pPr>
      <w:r>
        <w:rPr>
          <w:rFonts w:ascii="Roboto;sans-serif" w:hAnsi="Roboto;sans-serif"/>
          <w:b w:val="false"/>
          <w:color w:val="000000"/>
          <w:sz w:val="20"/>
        </w:rPr>
        <w:t>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as we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color w:val="3051F2"/>
        </w:rPr>
        <w:t>—</w:t>
      </w:r>
      <w:hyperlink w:anchor="i2c4f1d7e68d3489cba35abba53da6f70_893691">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hyperlink w:anchor="i2c4f1d7e68d3489cba35abba53da6f70_893691">
        <w:r>
          <w:rPr>
            <w:rStyle w:val="InternetLink"/>
            <w:rFonts w:ascii="Roboto;sans-serif" w:hAnsi="Roboto;sans-serif"/>
            <w:b w:val="false"/>
            <w:color w:val="0000FF"/>
            <w:sz w:val="20"/>
            <w:u w:val="single"/>
          </w:rPr>
          <w:t>,” below</w:t>
        </w:r>
      </w:hyperlink>
      <w:r>
        <w:rPr>
          <w:rFonts w:ascii="Roboto;sans-serif" w:hAnsi="Roboto;sans-serif"/>
          <w:b w:val="false"/>
          <w:color w:val="3051F2"/>
          <w:sz w:val="20"/>
        </w:rPr>
        <w:t>.</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We are subject to risks associated with political conflicts between the U.S. and China. A significant portion of our revenue is generated from China. </w:t>
      </w:r>
      <w:r>
        <w:rPr>
          <w:rFonts w:ascii="Roboto;sans-serif" w:hAnsi="Roboto;sans-serif"/>
          <w:b w:val="false"/>
          <w:color w:val="000000"/>
          <w:sz w:val="20"/>
          <w:highlight w:val="white"/>
        </w:rPr>
        <w:t xml:space="preserve">For example, for the years ended </w:t>
      </w:r>
      <w:r>
        <w:rPr>
          <w:rFonts w:ascii="Roboto;sans-serif" w:hAnsi="Roboto;sans-serif"/>
          <w:b w:val="false"/>
          <w:color w:val="000000"/>
          <w:sz w:val="20"/>
        </w:rPr>
        <w:t>December 31, 2022, 2021, and 2020, one of our customers, who is our primary distributor in China, accounted for approximately 12%, 13%, and 14%</w:t>
      </w:r>
      <w:r>
        <w:rPr>
          <w:color w:val="000000"/>
          <w:highlight w:val="white"/>
        </w:rPr>
        <w:t xml:space="preserve"> </w:t>
      </w:r>
      <w:r>
        <w:rPr>
          <w:rFonts w:ascii="Roboto;sans-serif" w:hAnsi="Roboto;sans-serif"/>
          <w:b w:val="false"/>
          <w:color w:val="000000"/>
          <w:sz w:val="20"/>
          <w:highlight w:val="white"/>
        </w:rPr>
        <w:t>of our total revenue, respectively. In addition, certain c</w:t>
      </w:r>
      <w:r>
        <w:rPr>
          <w:rFonts w:ascii="Roboto;sans-serif" w:hAnsi="Roboto;sans-serif"/>
          <w:b w:val="false"/>
          <w:color w:val="000000"/>
          <w:sz w:val="20"/>
        </w:rPr>
        <w:t>omponents, some of which are critical components, of our products are manufactured in China. These components are either sourced directly from companies in China or indirectly from third parties that source from companies in China.</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2c4f1d7e68d3489cba35abba53da6f70_893894">
        <w:r>
          <w:rPr>
            <w:rStyle w:val="InternetLink"/>
          </w:rPr>
          <w:t>Enhanced trade tariffs, import restrictions, export restrictions, Chinese regulations or other trade barriers may materially harm our business</w:t>
        </w:r>
      </w:hyperlink>
      <w:hyperlink w:anchor="i2c4f1d7e68d3489cba35abba53da6f70_893894">
        <w:r>
          <w:rPr>
            <w:rStyle w:val="InternetLink"/>
          </w:rPr>
          <w:t>,</w:t>
        </w:r>
      </w:hyperlink>
      <w:hyperlink w:anchor="i2c4f1d7e68d3489cba35abba53da6f70_893894">
        <w:r>
          <w:rPr>
            <w:rStyle w:val="InternetLink"/>
          </w:rPr>
          <w:t>”</w:t>
        </w:r>
      </w:hyperlink>
      <w:hyperlink w:anchor="i2c4f1d7e68d3489cba35abba53da6f70_893894">
        <w:r>
          <w:rPr>
            <w:rStyle w:val="InternetLink"/>
          </w:rPr>
          <w:t xml:space="preserve"> </w:t>
        </w:r>
      </w:hyperlink>
      <w:hyperlink w:anchor="i2c4f1d7e68d3489cba35abba53da6f70_893894">
        <w:r>
          <w:rPr>
            <w:rStyle w:val="InternetLink"/>
            <w:rFonts w:ascii="Roboto;sans-serif" w:hAnsi="Roboto;sans-serif"/>
            <w:b w:val="false"/>
            <w:color w:val="0000FF"/>
            <w:sz w:val="20"/>
            <w:u w:val="single"/>
          </w:rPr>
          <w:t>below</w:t>
        </w:r>
      </w:hyperlink>
      <w:r>
        <w:rPr>
          <w:rFonts w:ascii="Roboto;sans-serif" w:hAnsi="Roboto;sans-serif"/>
          <w:b w:val="false"/>
          <w:color w:val="000000"/>
          <w:sz w:val="20"/>
        </w:rPr>
        <w: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Other risks could include:</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05"/>
        <w:gridCol w:w="2782"/>
        <w:gridCol w:w="39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2782" w:type="dxa"/>
            <w:tcBorders/>
            <w:shd w:fill="auto" w:val="clear"/>
            <w:vAlign w:val="center"/>
          </w:tcPr>
          <w:p>
            <w:pPr>
              <w:pStyle w:val="TableContents"/>
              <w:spacing w:before="0" w:after="283"/>
              <w:rPr>
                <w:sz w:val="4"/>
                <w:szCs w:val="4"/>
              </w:rPr>
            </w:pPr>
            <w:r>
              <w:rPr>
                <w:sz w:val="4"/>
                <w:szCs w:val="4"/>
              </w:rPr>
            </w:r>
          </w:p>
        </w:tc>
        <w:tc>
          <w:tcPr>
            <w:tcW w:w="39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nationalization or other expropriation of private enterprises or intellectual property by the Chinese government.</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face significant risks associated with doing business with Taiwanese suppliers and manufacturers due to the tense relationship between Taiwan and mainland China.</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bookmarkStart w:id="1" w:name="i2c4f1d7e68d3489cba35abba53da6f70_893691"/>
      <w:bookmarkEnd w:id="1"/>
      <w:r>
        <w:rPr>
          <w:rFonts w:ascii="Roboto;sans-serif" w:hAnsi="Roboto;sans-serif"/>
          <w:b/>
          <w:i/>
          <w:color w:val="000000"/>
          <w:sz w:val="20"/>
        </w:rPr>
        <w:t>Our operating results fluctuate from quarter to quarter and year over year, which makes our future results difficult to predict and could negatively impact the market price of our common stock.</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90"/>
        <w:gridCol w:w="2748"/>
        <w:gridCol w:w="38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38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market acceptance for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attract new customers;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length of our sales cycles, as discussed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ability to achieve economies of scale and other manufacturing efficiencies at the rate we anticipate;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publications of studies by us, our competitors or third parties;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amount and timing of our costs and expenses;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our pricing policies or those of our competitors;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general economic, industry and market conditions;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regulatory environment in which we operate;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expenses associated with warranty obligations or unforeseen product quality issues;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hiring, training, and retention of key employees, including our ability to grow our sales organization;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litigation or other claims against us for intellectual property infringement or otherwise;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 xml:space="preserve">our ability to obtain additional financing as necessary;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or trends in new technologies and industry standards; and the impact of COVID--19.</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affected, and may in the future materially affect, our business, financial condition,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ability to use net operating losses to offset future taxable income may be subject to substantial limitations, and changes to U.S. tax laws may cause us to make adjustments to our financial statements.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Intellectual Property</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20"/>
        <w:gridCol w:w="2695"/>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licensors might not have been the first to make the inventions covered by each of our pending patent applications or issued patents;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licensors might not have been the first to file patent applications for these inventions;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it is possible that neither our pending patent applications nor the pending patent applications of our licensors will result in issued patents;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our enforcement of patents and proprietary rights in other countries may be problematic or unpredictable;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or our partners may not adequately protect our trade secrets;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we may not develop additional proprietary technologies that are patentable; 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patents of others may limit our freedom to operate and prevent us from commercializing our technology in accordance with our plans.</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Variability in intellectual property laws may adversely affect our intellectual property position.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Some of the intellectual property that is important to our business is owned by other companies or institutions and licensed to us, and changes to the rights we have licensed may adversely impact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techniques that are substantially equivalent to ours. The occurrence of these events may have a material adverse effect on our business, financial condition, or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intellectual property may be subject to challenges in the United States or foreign jurisdictions that could adversely affect our intellectual property position.</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highlight w:val="white"/>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Some of our technology is subject to “march-in” rights by the U.S. government.</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highlight w:val="white"/>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are involved in legal proceedings to enforce our intellectual property rights.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against us or our products that could prevent us from selling any products found to be infringing the intellectual property rights of another party.</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have been, are currently, and could in the future be, subject to legal proceedings with third parties who may claim that our products infringe or misappropriate their intellectual property rights.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highlight w:val="white"/>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have not yet registered some of our trademarks in all of our potential markets, and failure to secure those registrations could adversely affect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use of “open source” software could adversely affect our ability to sell our products and subject us to possible litigation.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Risks Related to Regulation</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are, and may become, subject to governmental regulations that may impose burdens on our operations, and the markets for our products may be narrowed.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new restrictions on the ability to send certain products and technology related to semiconductors, semiconductor manufacturing, and supercomputing to China without an export license discussed above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However, in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It is unclear how future legislation by federal and state governments and FDA regulation will impact the industry, including our business and that of our customers.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bookmarkStart w:id="2" w:name="i2c4f1d7e68d3489cba35abba53da6f70_893894"/>
      <w:bookmarkEnd w:id="2"/>
      <w:r>
        <w:rPr>
          <w:rFonts w:ascii="Roboto;sans-serif" w:hAnsi="Roboto;sans-serif"/>
          <w:b/>
          <w:i/>
          <w:color w:val="000000"/>
          <w:sz w:val="20"/>
        </w:rPr>
        <w:t>Enhanced trade tariffs, import restrictions, export restrictions, Chinese regulations, or other trade barriers may materially harm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Additionally, the U.S. government recently announced new controls restricting the ability to send certain products and technology related to semiconductors, semiconductor manufacturing, and supercomputing to China without an export license. These new controls also apply to certain hardware containing these specified integrated circuits. In many cases, these licenses are subject to a policy of denial and will not be issued. These controls may impact our ability to export certain products to customers or distributors in China and restrict our ability to use certain integrated circuits in our products. The U.S. government also recently added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and it continues to include biotechnologies including “[g]enome and protein engineering including design tools” and “[b]iomanufacturing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and bioprocessing technologies.” Therefore, it is possible that our ability to export our products to customers or distributors in China may be further restricted in the future.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international business could expose us to business, regulatory, political, operational, financial, and economic risks associated with doing business outside of the United States.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export requirements and import or trade restrictions;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laws and business practices favoring local companies;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restrictions on both inbound and outbound cross-border investment;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foreign currency exchange, longer payment cycles and difficulties in enforcing agreements and collecting receivables through certain foreign legal systems;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potentially adverse tax consequences, tariffs, customs charges, bureaucratic requirements, and other trade barriers;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and costs of staffing and managing foreign operations;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operations involve the use of hazardous materials, and we must comply with environmental, health and safety laws, which can be expensive and may adversely affect our business, operating results and financial condition.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Ethical, legal, privacy, data protection and social concerns or governmental restrictions surrounding the use of genetic information could reduce demand for our technology.</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R</w:t>
      </w:r>
      <w:r>
        <w:rPr>
          <w:rFonts w:ascii="Roboto;sans-serif" w:hAnsi="Roboto;sans-serif"/>
          <w:b/>
          <w:color w:val="000000"/>
          <w:sz w:val="20"/>
        </w:rPr>
        <w:t>isks Related to Owning Our Common Stock</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The price of our common stock has been, is, and may continue to be, highly volatile, and you may be unable to sell your shares at or above the price you paid to acquire them.</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81"/>
        <w:gridCol w:w="2754"/>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actual or anticipated fluctuations in our financial condition and operating results;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of new products, technological innovations or strategic partnerships by us or our competitors;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by us, our customers, partners, or suppliers relating directly or indirectly to our products, services or technologies;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overall conditions in our industry and market;</w:t>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116"/>
        <w:gridCol w:w="2660"/>
        <w:gridCol w:w="37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6"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c>
          <w:tcPr>
            <w:tcW w:w="37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addition or loss of significant customers;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laws or regulations applicable to our products;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actual or anticipated changes in our growth rate relative to our competitors;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additions or departures of key personnel;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competition from existing products or new products that may emerge;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issuance of new or updated research or reports by securities analysts;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fluctuations in the valuation of companies perceived by investors to be comparable to 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announcement or expectation of additional financing efforts;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sales of our common stock by us or our stockholders;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stock price and volume fluctuations attributable to inconsistent trading volume levels of our shares;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reports, guidance and ratings issued by securities or industry analysts;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operating results below the expectations of securities analysts or investors;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tc>
      </w:tr>
    </w:tbl>
    <w:p>
      <w:pPr>
        <w:pStyle w:val="TextBody"/>
        <w:spacing w:lineRule="auto" w:line="268" w:before="0" w:after="0"/>
        <w:jc w:val="both"/>
        <w:rPr/>
      </w:pPr>
      <w:r>
        <w:rPr>
          <w:rFonts w:ascii="Roboto;sans-serif" w:hAnsi="Roboto;sans-serif"/>
          <w:b w:val="false"/>
          <w:color w:val="000000"/>
          <w:sz w:val="20"/>
        </w:rPr>
        <w:t xml:space="preserve">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w:t>
      </w:r>
      <w:r>
        <w:rPr>
          <w:rFonts w:ascii="Roboto;sans-serif" w:hAnsi="Roboto;sans-serif"/>
          <w:b w:val="false"/>
          <w:color w:val="000000"/>
          <w:sz w:val="20"/>
          <w:highlight w:val="white"/>
        </w:rPr>
        <w:t>have</w:t>
      </w:r>
      <w:r>
        <w:rPr>
          <w:color w:val="000000"/>
        </w:rPr>
        <w:t xml:space="preserve"> </w:t>
      </w:r>
      <w:r>
        <w:rPr>
          <w:rFonts w:ascii="Roboto;sans-serif" w:hAnsi="Roboto;sans-serif"/>
          <w:b w:val="false"/>
          <w:color w:val="000000"/>
          <w:sz w:val="20"/>
        </w:rPr>
        <w:t>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September 2021, in connection with the closing of the Omniome Merger, we completed a private placement of an aggregate of 11,214,953 shares of our common stock, at a price of $26.75 per share, for aggregate gross proceeds of approximately $300 million (the “Private Placement”) and registered the Private Placement shares for resale on a registration statement on Form S-3. The Private Placement Investors may sell any or all of their shares pursuant to the registration statement from time to time.</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On January 27, 2023, we issued and sold an aggregate of 20,125,000 shares of our common stock at a purchase price of $10.00 per share pursuant to an automatic shelf registration statement filed on Form S-3 (File No. 333-249999) with the Securities and Exchange Commission, resulting in aggregate gross proceeds of approximately $201.3 million. The investors may sell any or all of their shares from time to time.</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Concentration of ownership by our principal stockholders may result in control by such stockholders of the composition of our board of directors.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require that any action to be taken by our stockholders be effected at a duly called annual or special meeting and not by written consent;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establish that our board of directors is divided into three classes, Class I, Class II and Class III, with each class serving staggered terms;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that our directors may be removed only for cause;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provide that vacancies on our board of directors may be filled only by a majority of directors then in office, even though less than a quorum.</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highlight w:val="white"/>
        </w:rPr>
      </w:pPr>
      <w:r>
        <w:rPr>
          <w:rFonts w:ascii="Roboto;sans-serif" w:hAnsi="Roboto;sans-serif"/>
          <w:b w:val="false"/>
          <w:color w:val="000000"/>
          <w:sz w:val="20"/>
          <w:highlight w:val="white"/>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highlight w:val="white"/>
        </w:rPr>
      </w:pPr>
      <w:r>
        <w:rPr>
          <w:rFonts w:ascii="Roboto;sans-serif" w:hAnsi="Roboto;sans-serif"/>
          <w:b w:val="false"/>
          <w:color w:val="000000"/>
          <w:sz w:val="20"/>
          <w:highlight w:val="white"/>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large number of authorized but unissued shares of common stock may potentially dilute existing stockholders’ stockholdings.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do not intend to pay dividends for the foreseeable future.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Risks Related to Our Notes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If the Notes are converted, it may adversely affect our financial condition and operating results.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pStyle w:val="TextBody"/>
        <w:spacing w:before="0" w:after="0"/>
        <w:jc w:val="both"/>
        <w:rPr/>
      </w:pPr>
      <w:r>
        <w:rPr/>
      </w:r>
    </w:p>
    <w:p>
      <w:pPr>
        <w:pStyle w:val="TextBody"/>
        <w:spacing w:lineRule="auto" w:line="268" w:before="0" w:after="0"/>
        <w:jc w:val="both"/>
        <w:rPr>
          <w:rFonts w:ascii="Roboto;sans-serif" w:hAnsi="Roboto;sans-serif"/>
          <w:b/>
          <w:color w:val="000000"/>
          <w:sz w:val="20"/>
        </w:rPr>
      </w:pPr>
      <w:r>
        <w:rPr>
          <w:rFonts w:ascii="Roboto;sans-serif" w:hAnsi="Roboto;sans-serif"/>
          <w:b/>
          <w:color w:val="000000"/>
          <w:sz w:val="20"/>
        </w:rPr>
        <w:t>General Risk Factors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Unfavorable global economic or political conditions could adversely affect our business, financial condition or results of operations.</w:t>
      </w:r>
    </w:p>
    <w:p>
      <w:pPr>
        <w:pStyle w:val="TextBody"/>
        <w:spacing w:before="0" w:after="0"/>
        <w:jc w:val="both"/>
        <w:rPr/>
      </w:pPr>
      <w:r>
        <w:rPr/>
      </w:r>
    </w:p>
    <w:p>
      <w:pPr>
        <w:pStyle w:val="TextBody"/>
        <w:spacing w:lineRule="auto" w:line="268" w:before="0" w:after="0"/>
        <w:jc w:val="both"/>
        <w:rPr/>
      </w:pPr>
      <w:r>
        <w:rPr>
          <w:rFonts w:ascii="Roboto;sans-serif" w:hAnsi="Roboto;sans-serif"/>
          <w:b w:val="false"/>
          <w:color w:val="000000"/>
          <w:sz w:val="20"/>
        </w:rPr>
        <w:t xml:space="preserve">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associated with the war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highlight w:val="white"/>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Delivery of our products could be delayed or disrupted by factors beyond our control, and we could lose customers as a result.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Doing business internationally creates operational and financial risks for our business.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foreign jurisdictions may also subject us to significant liabilities and other penalties. International operations entail a variety of other risks, including, without limitation:</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56"/>
        <w:gridCol w:w="2677"/>
        <w:gridCol w:w="38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c>
          <w:tcPr>
            <w:tcW w:w="2677" w:type="dxa"/>
            <w:tcBorders/>
            <w:shd w:fill="auto" w:val="clear"/>
            <w:vAlign w:val="center"/>
          </w:tcPr>
          <w:p>
            <w:pPr>
              <w:pStyle w:val="TableContents"/>
              <w:spacing w:before="0" w:after="283"/>
              <w:rPr>
                <w:sz w:val="4"/>
                <w:szCs w:val="4"/>
              </w:rPr>
            </w:pPr>
            <w:r>
              <w:rPr>
                <w:sz w:val="4"/>
                <w:szCs w:val="4"/>
              </w:rPr>
            </w:r>
          </w:p>
        </w:tc>
        <w:tc>
          <w:tcPr>
            <w:tcW w:w="38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limits to travel as a result of the COVID-19 pandemic or other epidemics;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challenges in staffing and managing foreign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potentially longer sales cycles and more time required to engage and educate customers on the benefits of our platform outside of the United States;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the potential need for localized software and documentation;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reduced protection for intellectual property rights in some countries and practical difficulties of enforcing intellectual property and contract rights abroad;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defending against intellectual property claims in other countries;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diplomatic and trade relationships, including new tariffs, trade protection measures, import or export licensing requirements, trade embargoes, sanctions, and other trade barriers;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deterioration of political relations between the U.S. and Russia, China, Japan, Korea, Canada, the United Kingdom (“U.K.”), and the E.U., which could have a material adverse effect on our sales and operations in these countries;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difficulties in obtaining export licenses or in overcoming other trade barriers and restrictions resulting in delivery delays;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fluctuations in currency exchange rates and the related effect on our results of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increased financial accounting and reporting burdens and complexities;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disruptions to global trade due to disease outbreaks or conflicts;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potential increases on tariffs or restrictions on trade generally;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Roboto;sans-serif" w:hAnsi="Roboto;sans-serif"/>
                <w:b w:val="false"/>
                <w:color w:val="000000"/>
                <w:sz w:val="20"/>
              </w:rPr>
            </w:pP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 which took effect in the E.U. in 2018.</w:t>
            </w:r>
          </w:p>
        </w:tc>
      </w:tr>
    </w:tbl>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If we fail to maintain proper and effective internal controls, our ability to produce accurate financial statements on a timely basis could be impaired, which would adversely affect our business and our stock price.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 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Our business could be negatively impacted by changes in the United States political environment.</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Disruption of critical information technology systems or material breaches in the security of our systems could harm our business, customer relations and financial condition.</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Our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associated with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Security breaches and other disruptions could compromise our information and expose us to liability, which would cause our business and reputation to suffer.</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or unavailability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 attacks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that could disrupt the economy generally or that may either directly or indirectly impact our operations specifically.</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such as Virginia, which in March 2021 enacted a Consumer Data Protection Act that is effective as of January 1, 2023, Colorado, which in June 2021 enacted a Colorado Privacy Act that is effective as of July 1, 2023, Utah, which in March 2022 enacted a Utah Consumer Privacy Act that is effective as of July 1, 2023, Connecticut, which in May 2022 enacted a similar law, an Act Concerning Personal Data Privacy and Online Monitoring, that is effective as of July 1, 2023, and Iowa, which in March 2023 enacted an Act Relating to Consumer Data Protection, that is effective as of January 1, 2025.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 xml:space="preserve">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spacing w:before="0" w:after="0"/>
        <w:jc w:val="both"/>
        <w:rPr/>
      </w:pPr>
      <w:r>
        <w:rPr/>
      </w:r>
    </w:p>
    <w:p>
      <w:pPr>
        <w:pStyle w:val="TextBody"/>
        <w:spacing w:lineRule="auto" w:line="268" w:before="0" w:after="0"/>
        <w:jc w:val="both"/>
        <w:rPr>
          <w:rFonts w:ascii="Roboto;sans-serif" w:hAnsi="Roboto;sans-serif"/>
          <w:b/>
          <w:i/>
          <w:color w:val="000000"/>
          <w:sz w:val="20"/>
        </w:rPr>
      </w:pPr>
      <w:r>
        <w:rPr>
          <w:rFonts w:ascii="Roboto;sans-serif" w:hAnsi="Roboto;sans-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spacing w:before="0" w:after="0"/>
        <w:jc w:val="both"/>
        <w:rPr/>
      </w:pPr>
      <w:r>
        <w:rPr/>
      </w:r>
    </w:p>
    <w:p>
      <w:pPr>
        <w:pStyle w:val="TextBody"/>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120" w:after="283"/>
        <w:jc w:val="both"/>
        <w:rPr/>
      </w:pPr>
      <w:r>
        <w:rPr/>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2.    Unregistered Sales of Equity Securities and Use of Proceeds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3.    Default Upon Senior Securities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4.    Mine Safety Disclosures</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Item 5.    Other Information</w:t>
      </w:r>
    </w:p>
    <w:p>
      <w:pPr>
        <w:pStyle w:val="TextBody"/>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Roboto;sans-serif" w:hAnsi="Roboto;sans-serif"/>
          <w:b/>
          <w:color w:val="000000"/>
          <w:sz w:val="20"/>
        </w:rPr>
      </w:pPr>
      <w:r>
        <w:rPr>
          <w:rFonts w:ascii="Roboto;sans-serif" w:hAnsi="Roboto;sans-serif"/>
          <w:b/>
          <w:color w:val="000000"/>
          <w:sz w:val="20"/>
        </w:rPr>
        <w:t>Item 6.    Exhibits</w:t>
      </w:r>
    </w:p>
    <w:tbl>
      <w:tblPr>
        <w:tblW w:w="10205" w:type="dxa"/>
        <w:jc w:val="left"/>
        <w:tblInd w:w="0" w:type="dxa"/>
        <w:tblCellMar>
          <w:top w:w="28" w:type="dxa"/>
          <w:left w:w="28" w:type="dxa"/>
          <w:bottom w:w="28" w:type="dxa"/>
          <w:right w:w="28" w:type="dxa"/>
        </w:tblCellMar>
      </w:tblPr>
      <w:tblGrid>
        <w:gridCol w:w="317"/>
        <w:gridCol w:w="279"/>
        <w:gridCol w:w="280"/>
        <w:gridCol w:w="2125"/>
        <w:gridCol w:w="2125"/>
        <w:gridCol w:w="2142"/>
        <w:gridCol w:w="305"/>
        <w:gridCol w:w="207"/>
        <w:gridCol w:w="207"/>
        <w:gridCol w:w="344"/>
        <w:gridCol w:w="298"/>
        <w:gridCol w:w="219"/>
        <w:gridCol w:w="463"/>
        <w:gridCol w:w="426"/>
        <w:gridCol w:w="468"/>
      </w:tblGrid>
      <w:tr>
        <w:trPr/>
        <w:tc>
          <w:tcPr>
            <w:tcW w:w="31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Incorporated by reference herein</w:t>
            </w:r>
          </w:p>
        </w:tc>
      </w:tr>
      <w:tr>
        <w:trPr/>
        <w:tc>
          <w:tcPr>
            <w:tcW w:w="8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63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Description</w:t>
            </w:r>
          </w:p>
        </w:tc>
        <w:tc>
          <w:tcPr>
            <w:tcW w:w="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Form</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13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Filing Date</w:t>
            </w:r>
          </w:p>
        </w:tc>
      </w:tr>
      <w:tr>
        <w:trPr/>
        <w:tc>
          <w:tcPr>
            <w:tcW w:w="876" w:type="dxa"/>
            <w:gridSpan w:val="3"/>
            <w:tcBorders/>
            <w:shd w:fill="auto" w:val="clear"/>
            <w:vAlign w:val="center"/>
          </w:tcPr>
          <w:p>
            <w:pPr>
              <w:pStyle w:val="TableContents"/>
              <w:spacing w:before="0" w:after="283"/>
              <w:rPr>
                <w:sz w:val="4"/>
                <w:szCs w:val="4"/>
              </w:rPr>
            </w:pPr>
            <w:r>
              <w:rPr>
                <w:sz w:val="4"/>
                <w:szCs w:val="4"/>
              </w:rPr>
            </w:r>
          </w:p>
        </w:tc>
        <w:tc>
          <w:tcPr>
            <w:tcW w:w="6392" w:type="dxa"/>
            <w:gridSpan w:val="3"/>
            <w:tcBorders/>
            <w:shd w:fill="auto" w:val="clear"/>
            <w:vAlign w:val="center"/>
          </w:tcPr>
          <w:p>
            <w:pPr>
              <w:pStyle w:val="TableContents"/>
              <w:spacing w:before="0" w:after="283"/>
              <w:rPr>
                <w:sz w:val="4"/>
                <w:szCs w:val="4"/>
              </w:rPr>
            </w:pPr>
            <w:r>
              <w:rPr>
                <w:sz w:val="4"/>
                <w:szCs w:val="4"/>
              </w:rPr>
            </w:r>
          </w:p>
        </w:tc>
        <w:tc>
          <w:tcPr>
            <w:tcW w:w="71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r>
      <w:tr>
        <w:trPr/>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hyperlink w:anchor="pacb-20230331x10qxexx311.htm">
              <w:r>
                <w:rPr>
                  <w:rStyle w:val="InternetLink"/>
                </w:rPr>
                <w:t>31</w:t>
              </w:r>
            </w:hyperlink>
            <w:r>
              <w:rPr>
                <w:rFonts w:ascii="Roboto;sans-serif" w:hAnsi="Roboto;sans-serif"/>
                <w:b w:val="false"/>
                <w:color w:val="0000FF"/>
                <w:sz w:val="18"/>
                <w:u w:val="single"/>
              </w:rPr>
              <w:t>.1</w:t>
            </w:r>
          </w:p>
        </w:tc>
        <w:tc>
          <w:tcPr>
            <w:tcW w:w="63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hyperlink w:anchor="pacb-20230331x10qxexx311.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pacb-20230331x10qxexx312.htm">
              <w:r>
                <w:rPr>
                  <w:rStyle w:val="InternetLink"/>
                </w:rPr>
                <w:t>31</w:t>
              </w:r>
            </w:hyperlink>
            <w:r>
              <w:rPr>
                <w:rFonts w:ascii="Roboto;sans-serif" w:hAnsi="Roboto;sans-serif"/>
                <w:b w:val="false"/>
                <w:color w:val="0000FF"/>
                <w:sz w:val="18"/>
                <w:u w:val="single"/>
              </w:rPr>
              <w:t>.2</w:t>
            </w:r>
          </w:p>
        </w:tc>
        <w:tc>
          <w:tcPr>
            <w:tcW w:w="63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pacb-20230331x10qxexx312.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pacb-20230331x10qxexx321.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3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pacb-20230331x10qxexx321.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pacb-20230331x10qxexx322.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3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pacb-20230331x10qxexx322.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3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3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3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3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3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3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3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p>
      <w:pPr>
        <w:pStyle w:val="TextBody"/>
        <w:spacing w:lineRule="auto" w:line="288" w:before="120" w:after="283"/>
        <w:ind w:left="0" w:right="0" w:hanging="360"/>
        <w:jc w:val="both"/>
        <w:rPr/>
      </w:pPr>
      <w:r>
        <w:rPr>
          <w:rFonts w:ascii="Roboto;sans-serif" w:hAnsi="Roboto;sans-serif"/>
          <w:b w:val="false"/>
          <w:color w:val="000000"/>
          <w:sz w:val="20"/>
        </w:rPr>
        <w:t>*The certification</w:t>
      </w:r>
      <w:r>
        <w:rPr>
          <w:rFonts w:ascii="Roboto;sans-serif" w:hAnsi="Roboto;sans-serif"/>
          <w:b w:val="false"/>
          <w:color w:val="000000"/>
          <w:sz w:val="20"/>
          <w:highlight w:val="white"/>
        </w:rPr>
        <w:t>s att</w:t>
      </w:r>
      <w:r>
        <w:rPr>
          <w:rFonts w:ascii="Roboto;sans-serif" w:hAnsi="Roboto;sans-serif"/>
          <w:b w:val="false"/>
          <w:color w:val="000000"/>
          <w:sz w:val="20"/>
        </w:rPr>
        <w: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dd15d706814f4821992e3c53513cc1e0_7">
        <w:r>
          <w:rPr>
            <w:rStyle w:val="InternetLink"/>
            <w:rFonts w:ascii="Roboto;sans-serif" w:hAnsi="Roboto;sans-serif"/>
            <w:b w:val="false"/>
            <w:color w:val="0000FF"/>
            <w:sz w:val="20"/>
            <w:u w:val="single"/>
          </w:rPr>
          <w:t>Table of Contents</w:t>
        </w:r>
      </w:hyperlink>
    </w:p>
    <w:p>
      <w:pPr>
        <w:pStyle w:val="TextBody"/>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Act of 1934, the registrant has duly caused this report to be signed on its behalf by the undersigned thereunto duly authorized.</w:t>
      </w:r>
    </w:p>
    <w:tbl>
      <w:tblPr>
        <w:tblW w:w="6747" w:type="dxa"/>
        <w:jc w:val="left"/>
        <w:tblInd w:w="0" w:type="dxa"/>
        <w:tblCellMar>
          <w:top w:w="28" w:type="dxa"/>
          <w:left w:w="28" w:type="dxa"/>
          <w:bottom w:w="28" w:type="dxa"/>
          <w:right w:w="28" w:type="dxa"/>
        </w:tblCellMar>
      </w:tblPr>
      <w:tblGrid>
        <w:gridCol w:w="684"/>
        <w:gridCol w:w="600"/>
        <w:gridCol w:w="605"/>
        <w:gridCol w:w="139"/>
        <w:gridCol w:w="139"/>
        <w:gridCol w:w="141"/>
        <w:gridCol w:w="1300"/>
        <w:gridCol w:w="1300"/>
        <w:gridCol w:w="1839"/>
      </w:tblGrid>
      <w:tr>
        <w:trPr/>
        <w:tc>
          <w:tcPr>
            <w:tcW w:w="68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4, 2023</w:t>
            </w:r>
          </w:p>
        </w:tc>
        <w:tc>
          <w:tcPr>
            <w:tcW w:w="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Christian O. Henry</w:t>
            </w:r>
          </w:p>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4, 2023</w:t>
            </w:r>
          </w:p>
        </w:tc>
        <w:tc>
          <w:tcPr>
            <w:tcW w:w="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/s/      Susan G. Kim</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Susan G. Kim</w:t>
            </w:r>
          </w:p>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4, 2023</w:t>
            </w:r>
          </w:p>
        </w:tc>
        <w:tc>
          <w:tcPr>
            <w:tcW w:w="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/s/      Michele Farmer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Michele Farmer</w:t>
            </w:r>
          </w:p>
          <w:p>
            <w:pPr>
              <w:pStyle w:val="TableContents"/>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Vice President and Chief Accounting Officer </w:t>
            </w:r>
          </w:p>
          <w:p>
            <w:pPr>
              <w:pStyle w:val="TableContents"/>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Christian Henry, certify that: </w:t>
      </w:r>
    </w:p>
    <w:p>
      <w:pPr>
        <w:pStyle w:val="TextBody"/>
        <w:spacing w:lineRule="auto" w:line="288" w:before="120" w:after="283"/>
        <w:ind w:left="0" w:right="0" w:firstLine="450"/>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spacing w:lineRule="auto" w:line="288" w:before="120" w:after="283"/>
        <w:ind w:left="0" w:right="0" w:firstLine="450"/>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20" w:after="283"/>
        <w:ind w:left="0" w:right="0" w:firstLine="450"/>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20" w:after="283"/>
        <w:ind w:left="0" w:right="0" w:firstLine="450"/>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20" w:after="283"/>
        <w:ind w:left="0" w:right="0" w:firstLine="45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20" w:after="283"/>
        <w:ind w:left="0" w:right="0" w:firstLine="450"/>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45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20" w:after="283"/>
        <w:ind w:left="0" w:right="0" w:firstLine="45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20" w:after="283"/>
        <w:ind w:left="0" w:right="0" w:firstLine="450"/>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20" w:after="283"/>
        <w:ind w:left="0" w:right="0" w:firstLine="45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20" w:after="283"/>
        <w:ind w:left="0" w:right="0" w:firstLine="45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5337" w:type="dxa"/>
        <w:jc w:val="left"/>
        <w:tblInd w:w="0" w:type="dxa"/>
        <w:tblCellMar>
          <w:top w:w="28" w:type="dxa"/>
          <w:left w:w="28" w:type="dxa"/>
          <w:bottom w:w="28" w:type="dxa"/>
          <w:right w:w="28" w:type="dxa"/>
        </w:tblCellMar>
      </w:tblPr>
      <w:tblGrid>
        <w:gridCol w:w="591"/>
        <w:gridCol w:w="520"/>
        <w:gridCol w:w="523"/>
        <w:gridCol w:w="134"/>
        <w:gridCol w:w="134"/>
        <w:gridCol w:w="136"/>
        <w:gridCol w:w="965"/>
        <w:gridCol w:w="965"/>
        <w:gridCol w:w="136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xml:space="preserve"> President and Chief Executive Officer </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31.2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Susan Kim, certify that: </w:t>
      </w:r>
    </w:p>
    <w:p>
      <w:pPr>
        <w:pStyle w:val="TextBody"/>
        <w:spacing w:lineRule="auto" w:line="288" w:before="120" w:after="283"/>
        <w:ind w:left="0" w:right="0" w:firstLine="450"/>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spacing w:lineRule="auto" w:line="288" w:before="120" w:after="283"/>
        <w:ind w:left="0" w:right="0" w:firstLine="450"/>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20" w:after="283"/>
        <w:ind w:left="0" w:right="0" w:firstLine="450"/>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20" w:after="283"/>
        <w:ind w:left="0" w:right="0" w:firstLine="450"/>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20" w:after="283"/>
        <w:ind w:left="0" w:right="0" w:firstLine="45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20" w:after="283"/>
        <w:ind w:left="0" w:right="0" w:firstLine="45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20" w:after="283"/>
        <w:ind w:left="0" w:right="0" w:firstLine="45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20" w:after="283"/>
        <w:ind w:left="0" w:right="0" w:firstLine="45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20" w:after="283"/>
        <w:ind w:left="0" w:right="0" w:firstLine="450"/>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20" w:after="283"/>
        <w:ind w:left="0" w:right="0" w:firstLine="45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20" w:after="283"/>
        <w:ind w:left="0" w:right="0" w:firstLine="45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spacing w:before="120" w:after="283"/>
        <w:rPr/>
      </w:pPr>
      <w:r>
        <w:rPr/>
      </w:r>
    </w:p>
    <w:p>
      <w:pPr>
        <w:pStyle w:val="TextBody"/>
        <w:spacing w:before="120" w:after="283"/>
        <w:ind w:left="0" w:right="0" w:firstLine="810"/>
        <w:rPr/>
      </w:pPr>
      <w:r>
        <w:rPr/>
      </w:r>
    </w:p>
    <w:tbl>
      <w:tblPr>
        <w:tblW w:w="4453" w:type="dxa"/>
        <w:jc w:val="left"/>
        <w:tblInd w:w="0" w:type="dxa"/>
        <w:tblCellMar>
          <w:top w:w="28" w:type="dxa"/>
          <w:left w:w="28" w:type="dxa"/>
          <w:bottom w:w="28" w:type="dxa"/>
          <w:right w:w="28" w:type="dxa"/>
        </w:tblCellMar>
      </w:tblPr>
      <w:tblGrid>
        <w:gridCol w:w="591"/>
        <w:gridCol w:w="520"/>
        <w:gridCol w:w="523"/>
        <w:gridCol w:w="134"/>
        <w:gridCol w:w="134"/>
        <w:gridCol w:w="136"/>
        <w:gridCol w:w="706"/>
        <w:gridCol w:w="706"/>
        <w:gridCol w:w="100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G. Kim</w:t>
              <w:br/>
              <w:t xml:space="preserve">Chief Financial Officer </w:t>
              <w:br/>
              <w:t>(Principal Financial Officer)</w:t>
            </w:r>
          </w:p>
        </w:tc>
      </w:tr>
    </w:tbl>
    <w:p>
      <w:pPr>
        <w:pStyle w:val="TextBody"/>
        <w:spacing w:before="180" w:after="283"/>
        <w:ind w:left="0" w:right="0" w:firstLine="49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 xml:space="preserve">xhibit 32.1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CEO Furnished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March 31, 2023,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March 31, 2023 (the “Report”), fully complies with the requirements of section 13(a) or 15(d) of the Securities Exchange Act of 1934, and </w:t>
      </w:r>
    </w:p>
    <w:p>
      <w:pPr>
        <w:pStyle w:val="TextBody"/>
        <w:spacing w:lineRule="auto" w:line="288" w:before="200" w:after="283"/>
        <w:ind w:left="0" w:right="0" w:hanging="360"/>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292" w:type="dxa"/>
        <w:jc w:val="left"/>
        <w:tblInd w:w="0" w:type="dxa"/>
        <w:tblCellMar>
          <w:top w:w="28" w:type="dxa"/>
          <w:left w:w="28" w:type="dxa"/>
          <w:bottom w:w="28" w:type="dxa"/>
          <w:right w:w="28" w:type="dxa"/>
        </w:tblCellMar>
      </w:tblPr>
      <w:tblGrid>
        <w:gridCol w:w="591"/>
        <w:gridCol w:w="520"/>
        <w:gridCol w:w="523"/>
        <w:gridCol w:w="134"/>
        <w:gridCol w:w="134"/>
        <w:gridCol w:w="136"/>
        <w:gridCol w:w="952"/>
        <w:gridCol w:w="952"/>
        <w:gridCol w:w="135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President and Chief Executive Officer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32.2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CFO Furnished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March 31, 2023,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March 31, 2023 (the “Report”), fully complies with the requirements of section 13(a) or 15(d) of the Securities Exchange Act of 1934, and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4453" w:type="dxa"/>
        <w:jc w:val="left"/>
        <w:tblInd w:w="0" w:type="dxa"/>
        <w:tblCellMar>
          <w:top w:w="28" w:type="dxa"/>
          <w:left w:w="28" w:type="dxa"/>
          <w:bottom w:w="28" w:type="dxa"/>
          <w:right w:w="28" w:type="dxa"/>
        </w:tblCellMar>
      </w:tblPr>
      <w:tblGrid>
        <w:gridCol w:w="591"/>
        <w:gridCol w:w="520"/>
        <w:gridCol w:w="523"/>
        <w:gridCol w:w="134"/>
        <w:gridCol w:w="134"/>
        <w:gridCol w:w="136"/>
        <w:gridCol w:w="706"/>
        <w:gridCol w:w="706"/>
        <w:gridCol w:w="100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Susan G. Kim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Roboto">
    <w:altName w:val="sans-serif"/>
    <w:charset w:val="00"/>
    <w:family w:val="auto"/>
    <w:pitch w:val="default"/>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43165</Words>
  <CharactersWithSpaces>281729</CharactersWithSpaces>
  <Paragraphs>2320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