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6, 2026</w:t>
      </w:r>
    </w:p>
    <w:p>
      <w:pPr>
        <w:pStyle w:val="TextBody"/>
        <w:bidi w:val="0"/>
        <w:spacing w:lineRule="auto" w:line="288" w:before="60" w:after="283"/>
        <w:jc w:val="right"/>
        <w:rPr>
          <w:rFonts w:ascii="Times New Roman;serif" w:hAnsi="Times New Roman;serif"/>
          <w:b/>
          <w:color w:val="000000"/>
          <w:sz w:val="20"/>
        </w:rPr>
      </w:pPr>
      <w:r>
        <w:rPr>
          <w:rFonts w:ascii="Times New Roman;serif" w:hAnsi="Times New Roman;serif"/>
          <w:b/>
          <w:color w:val="000000"/>
          <w:sz w:val="20"/>
        </w:rPr>
        <w:t>Registration No. 333-</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REGISTRATION STATEMENT UNDER THE SECURITIES ACT OF 1933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Pacific Biosciences of California,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w:t>
      </w:r>
    </w:p>
    <w:tbl>
      <w:tblPr>
        <w:tblW w:w="4418" w:type="dxa"/>
        <w:jc w:val="left"/>
        <w:tblInd w:w="0" w:type="dxa"/>
        <w:tblLayout w:type="fixed"/>
        <w:tblCellMar>
          <w:top w:w="28" w:type="dxa"/>
          <w:left w:w="28" w:type="dxa"/>
          <w:bottom w:w="28" w:type="dxa"/>
          <w:right w:w="28" w:type="dxa"/>
        </w:tblCellMar>
      </w:tblPr>
      <w:tblGrid>
        <w:gridCol w:w="340"/>
        <w:gridCol w:w="298"/>
        <w:gridCol w:w="298"/>
        <w:gridCol w:w="298"/>
        <w:gridCol w:w="298"/>
        <w:gridCol w:w="298"/>
        <w:gridCol w:w="298"/>
        <w:gridCol w:w="298"/>
        <w:gridCol w:w="315"/>
        <w:gridCol w:w="178"/>
        <w:gridCol w:w="178"/>
        <w:gridCol w:w="178"/>
        <w:gridCol w:w="178"/>
        <w:gridCol w:w="178"/>
        <w:gridCol w:w="178"/>
        <w:gridCol w:w="178"/>
        <w:gridCol w:w="178"/>
        <w:gridCol w:w="253"/>
      </w:tblGrid>
      <w:tr>
        <w:trPr/>
        <w:tc>
          <w:tcPr>
            <w:tcW w:w="34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16-1590339</w:t>
            </w:r>
          </w:p>
        </w:tc>
      </w:tr>
      <w:tr>
        <w:trPr/>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1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rPr/>
        <w:tc>
          <w:tcPr>
            <w:tcW w:w="27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8"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1305 O’Brien Drive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Menlo Park, CA 94025</w:t>
            </w:r>
          </w:p>
        </w:tc>
      </w:tr>
      <w:tr>
        <w:trPr/>
        <w:tc>
          <w:tcPr>
            <w:tcW w:w="441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Pacific Biosciences of California, Inc. 2020 Equity Incentive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(Full title of the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Van Oene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President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1305 O’Brien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Menlo Park, CA 94025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and address of agent for service)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521-8000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(Telephone number, including area code, of agent for service)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Copies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Andrew D. Hoffman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Zachary B. Myers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Wilson Sonsini Goodrich &amp; Rosati, P.C.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Page Mill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Palo Alto, CA 94304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493-9300</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207" w:type="dxa"/>
        <w:jc w:val="center"/>
        <w:tblInd w:w="0" w:type="dxa"/>
        <w:tblLayout w:type="fixed"/>
        <w:tblCellMar>
          <w:top w:w="28" w:type="dxa"/>
          <w:left w:w="28" w:type="dxa"/>
          <w:bottom w:w="28" w:type="dxa"/>
          <w:right w:w="28" w:type="dxa"/>
        </w:tblCellMar>
      </w:tblPr>
      <w:tblGrid>
        <w:gridCol w:w="237"/>
        <w:gridCol w:w="209"/>
        <w:gridCol w:w="209"/>
        <w:gridCol w:w="209"/>
        <w:gridCol w:w="209"/>
        <w:gridCol w:w="209"/>
        <w:gridCol w:w="209"/>
        <w:gridCol w:w="209"/>
        <w:gridCol w:w="21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55"/>
        <w:gridCol w:w="255"/>
        <w:gridCol w:w="255"/>
        <w:gridCol w:w="255"/>
        <w:gridCol w:w="255"/>
        <w:gridCol w:w="255"/>
        <w:gridCol w:w="255"/>
        <w:gridCol w:w="255"/>
        <w:gridCol w:w="263"/>
        <w:gridCol w:w="109"/>
        <w:gridCol w:w="109"/>
        <w:gridCol w:w="109"/>
        <w:gridCol w:w="109"/>
        <w:gridCol w:w="109"/>
        <w:gridCol w:w="109"/>
        <w:gridCol w:w="109"/>
        <w:gridCol w:w="109"/>
        <w:gridCol w:w="154"/>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6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sans-serif" w:hAnsi="Wingdings;sans-serif"/>
          <w:b w:val="false"/>
          <w:color w:val="000000"/>
          <w:sz w:val="18"/>
        </w:rPr>
        <w:t>o</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is being filed for the purpose of registering an additional 16,000,000 shares of common stock that were reserved for issuance under Pacific Biosciences of California, Inc.’s (the “Company’s”) 2020 Equity Incentive Plan (the “2020 EIP”). The Registrant previously filed with the Securities and Exchange Commission (the “Commission”) registration statements on Form S-8 on August 6, 2020 (SEC File No. 333-241687), May 26, 2022 (SEC File No. 333-265249), June 20, 2024 (SEC File No. 333-280353) and August 7, 2025 (SEC File No. 333-289383) (the “Prior Registration Statements”) registering shares of Common Stock issuable under the 2020 EIP. This Registration Statement relates to securities of the same class as those to which the Prior Registration Statements relate and is submitted in accordance with General Instruction E of Form S-8 regarding Registration of Additional Securities. Pursuant to General Instruction E of Form S-8, the contents of the Prior Registration Statements are incorporated herein by reference and made part of this Registration Statement, except for Items 3 and 8, which are being updated by this Registration Statement.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PROSPECTUS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documents containing the information specified in Item 1 and Item 2 of this Registration Statement on Form S-8 (the “Registration Statement”) will be sent or given to employees, officers, directors or others as specified by Rule 428(b)(1) under the Securities Act of 1933, as amended (the “Securities Act”). In accordance with the rules and regulations of the Commission and the instructions to the Registration Statement, such documents are not being filed with the Commission either as part of this Registration Statement or as prospectuses or prospectus supplements pursuant to Rule 424.</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REGISTRATION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Pacific Biosciences of California, Inc. (the “Registrant”) hereby incorporates by reference into this Registration Statement the following documents previously filed with the Commission: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(1) The Registrant’s Annual Report on </w:t>
      </w:r>
      <w:hyperlink r:id="rId2">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its fiscal year ended December 31, 2025, filed with the Commission on February 25, 2026 (the “FY 2025 Form 10-K”) pursuant to Section 13(a) of the Securities Exchange Act of 1934, as amended (the “Exchange Act”);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(2) The information specifically incorporated by reference into our Annual Report on Form 10-K for the fiscal year ended December 31, 2025 from the Registrant’s Definitive Proxy Statement on </w:t>
      </w:r>
      <w:hyperlink r:id="rId3">
        <w:r>
          <w:rPr>
            <w:rStyle w:val="InternetLink"/>
            <w:rFonts w:ascii="Times New Roman;serif" w:hAnsi="Times New Roman;serif"/>
            <w:b w:val="false"/>
            <w:color w:val="0000FF"/>
            <w:sz w:val="20"/>
            <w:u w:val="single"/>
          </w:rPr>
          <w:t>Schedule 14A</w:t>
        </w:r>
      </w:hyperlink>
      <w:r>
        <w:rPr>
          <w:color w:val="000000"/>
        </w:rPr>
        <w:t xml:space="preserve"> </w:t>
      </w:r>
      <w:r>
        <w:rPr>
          <w:rFonts w:ascii="Times New Roman;serif" w:hAnsi="Times New Roman;serif"/>
          <w:b w:val="false"/>
          <w:color w:val="000000"/>
          <w:sz w:val="20"/>
        </w:rPr>
        <w:t>filed on April 23,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(3) The Registrant’s Quarterly Report on </w:t>
      </w:r>
      <w:hyperlink r:id="rId4">
        <w:r>
          <w:rPr>
            <w:rStyle w:val="InternetLink"/>
            <w:rFonts w:ascii="Times New Roman;serif" w:hAnsi="Times New Roman;serif"/>
            <w:b w:val="false"/>
            <w:color w:val="0000FF"/>
            <w:sz w:val="20"/>
            <w:u w:val="single"/>
          </w:rPr>
          <w:t>Form 10-Q</w:t>
        </w:r>
      </w:hyperlink>
      <w:r>
        <w:rPr>
          <w:color w:val="000000"/>
        </w:rPr>
        <w:t xml:space="preserve"> </w:t>
      </w:r>
      <w:r>
        <w:rPr>
          <w:rFonts w:ascii="Times New Roman;serif" w:hAnsi="Times New Roman;serif"/>
          <w:b w:val="false"/>
          <w:color w:val="000000"/>
          <w:sz w:val="20"/>
        </w:rPr>
        <w:t xml:space="preserve">for its fiscal quarter ended March 31, 2026 and its Quarterly Report on </w:t>
      </w:r>
      <w:hyperlink r:id="rId5">
        <w:r>
          <w:rPr>
            <w:rStyle w:val="InternetLink"/>
          </w:rPr>
          <w:t xml:space="preserve">Form </w:t>
        </w:r>
      </w:hyperlink>
      <w:hyperlink r:id="rId6">
        <w:r>
          <w:rPr>
            <w:rStyle w:val="InternetLink"/>
          </w:rPr>
          <w:t>10-Q</w:t>
        </w:r>
      </w:hyperlink>
      <w:r>
        <w:rPr>
          <w:color w:val="000000"/>
        </w:rPr>
        <w:t xml:space="preserve"> </w:t>
      </w:r>
      <w:r>
        <w:rPr>
          <w:rFonts w:ascii="Times New Roman;serif" w:hAnsi="Times New Roman;serif"/>
          <w:b w:val="false"/>
          <w:color w:val="000000"/>
          <w:sz w:val="20"/>
        </w:rPr>
        <w:t>for its fiscal quarter ended June 30, 2026, filed with the Commission on May 8, 2026 and August 6, 2026, respectively, pursuant to Section 13(a) of the Exchange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All other reports filed with the Commission pursuant to Sections 13(a) or 15(d) of the Exchange Act since the end of the fiscal year covered by the Registrant’s Annual Report referred to in (1) above (other than the portions of these documents not deemed to be filed); 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(5) The description of the Registrant’s Common Stock contained in the Registrant’s Registration Statement on </w:t>
      </w:r>
      <w:hyperlink r:id="rId7">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(File No. 001-34899) filed with the Commission on October 6, 2010, pursuant to Section 12(b) of the Exchange Act, including any amendment or report filed for the purpose of updating such description, including Exhibit 4.2 to the FY 2025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this Registration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145 of the Delaware General Corporation Law authorizes a corporation’s board of directors to grant, and authorizes a court to award, indemnity to officers, directors and other corporate agents.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Registrant’s certificate of incorporation contains provisions that limit the liability of its directors and certain of its officers for monetary damages to the fullest extent permitted by the Delaware General Corporation Law. Consequently, the Registrant’s directors and certain of its officers will not be personally liable to the Registrant or its stockholders for monetary damages for any breach of fiduciary duty as directors or officers, except liability for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breach of their duty of loyalty to us or our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act or omission not in good faith or that involves intentional misconduct or a knowing violation of law;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with respect to a director, unlawful payments of dividends or unlawful stock repurchases or redemptions as provided in Section 174 of the Delaware General Corporation Law;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transaction from which they derived an improper personal benefit;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with respect to an officer, any action by or in the right of the corporation.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Delaware law, these officers include the president, chief executive officer, chief operating officer, chief financial officer, chief legal officer, controller, treasurer, chief accounting officer, any officer identified in the Registrant’s public filings with the Commission as a named executive officer, and any other officer who has consented to being identified as an officer for purposes of service of process in Delaware.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repeal, amendment or elimination of these provisions by our stockholders or by changes in law, or the adoption of any other provision of the Registrant’s certificate of incorporation inconsistent with these provisions will not adversely affect any right or protection of the Registrant’s directors or officers existing at the time of such repeal, amendment, elimination or adoption of such inconsistent provision with respect to acts or omissions occurring prior to such repeal, amendment, elimination or adoption of such inconsistent provision. If the Delaware General Corporation Law is amended to authorize corporation action further eliminating or limiting the personal liability of directors or officers of corporations, then the personal liability of the Registrant’s directors or officers will be eliminated or limited to the fullest extent permitted by the Delaware General Corporation Law, as so amended.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Registrant’s bylaws provide that the Registrant will indemnify its directors and officers, and may indemnify its employees, agents and any other persons, to the fullest extent permitted by the Delaware General Corporation Law. The Registrant’s bylaws also provide that it must advance expenses actually and reasonably incurred by a director or officer in advance of the final disposition of any threatened, pending or completed action, suit or proceeding, subject to limited exceptions.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the Registrant has entered into indemnification agreements with each of its directors and executive officers that may be broader than the specific indemnification provisions contained in the Delaware General Corporation Law and pursuant to the Registrant’s bylaws. These indemnification agreements require the Registrant to, among other things, indemnify its directors and executive officers against liabilities that may arise by reason of their status or service. These indemnification agreements also generally require the Registrant to advance all expenses incurred by its directors and executive officers in investigating or defending any such action, suit or proceeding. The Registrant believes that these agreements are necessary to attract and retain qualified individuals to serve as directors and executive officers.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limitation of liability and indemnification provisions in the Registrant’s certificate of incorporation, bylaws and indemnification agreements may discourage stockholders from bringing a lawsuit against its directors and officers for breach of their fiduciary duties. They may also reduce the likelihood of derivative litigation against the Registrant’s directors and officers, even though an action, if successful, might benefit the Registrant and other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Further, a stockholder’s investment may be adversely affected to the extent that the Registrant pays the costs of settlement and damage awards against its directors and officers as required by these indemnification provisions.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Registrant has obtained insurance policies under which, subject to the limitations of the policies, coverage is provided to its directors and officers against loss arising from claims made by reason of breach of fiduciary duty or other wrongful acts as a director or officer, including claims relating to public securities matters, and to the Registrant with respect to payments that may be made by the Registrant to its directors and officers pursuant to the Registrant’s indemnification obligations or otherwise as a matter of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288" w:before="120" w:after="283"/>
        <w:ind w:left="0" w:right="0" w:hanging="144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128"/>
        <w:gridCol w:w="112"/>
        <w:gridCol w:w="112"/>
        <w:gridCol w:w="112"/>
        <w:gridCol w:w="112"/>
        <w:gridCol w:w="112"/>
        <w:gridCol w:w="112"/>
        <w:gridCol w:w="112"/>
        <w:gridCol w:w="112"/>
        <w:gridCol w:w="648"/>
        <w:gridCol w:w="648"/>
        <w:gridCol w:w="648"/>
        <w:gridCol w:w="648"/>
        <w:gridCol w:w="648"/>
        <w:gridCol w:w="648"/>
        <w:gridCol w:w="648"/>
        <w:gridCol w:w="648"/>
        <w:gridCol w:w="697"/>
        <w:gridCol w:w="109"/>
        <w:gridCol w:w="109"/>
        <w:gridCol w:w="109"/>
        <w:gridCol w:w="109"/>
        <w:gridCol w:w="109"/>
        <w:gridCol w:w="109"/>
        <w:gridCol w:w="109"/>
        <w:gridCol w:w="109"/>
        <w:gridCol w:w="109"/>
        <w:gridCol w:w="112"/>
        <w:gridCol w:w="112"/>
        <w:gridCol w:w="112"/>
        <w:gridCol w:w="112"/>
        <w:gridCol w:w="112"/>
        <w:gridCol w:w="112"/>
        <w:gridCol w:w="112"/>
        <w:gridCol w:w="112"/>
        <w:gridCol w:w="112"/>
        <w:gridCol w:w="137"/>
        <w:gridCol w:w="137"/>
        <w:gridCol w:w="137"/>
        <w:gridCol w:w="137"/>
        <w:gridCol w:w="137"/>
        <w:gridCol w:w="137"/>
        <w:gridCol w:w="137"/>
        <w:gridCol w:w="137"/>
        <w:gridCol w:w="215"/>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 herein</w:t>
            </w:r>
          </w:p>
        </w:tc>
      </w:tr>
      <w:tr>
        <w:trPr/>
        <w:tc>
          <w:tcPr>
            <w:tcW w:w="10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58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98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100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131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1024"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3.1</w:t>
              </w:r>
            </w:hyperlink>
          </w:p>
        </w:tc>
        <w:tc>
          <w:tcPr>
            <w:tcW w:w="588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Amended and Restated Certificate of Incorporation of the Registrant</w:t>
              </w:r>
            </w:hyperlink>
          </w:p>
        </w:tc>
        <w:tc>
          <w:tcPr>
            <w:tcW w:w="98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00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31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23, 2011</w:t>
            </w:r>
          </w:p>
        </w:tc>
      </w:tr>
      <w:tr>
        <w:trPr/>
        <w:tc>
          <w:tcPr>
            <w:tcW w:w="102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3.2</w:t>
              </w:r>
            </w:hyperlink>
          </w:p>
        </w:tc>
        <w:tc>
          <w:tcPr>
            <w:tcW w:w="58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Certificate of Amendment to the Amended and Restated Certificate of Incorporation of Pacific Biosciences of California, Inc. to declassify the Board</w:t>
              </w:r>
            </w:hyperlink>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3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 2024</w:t>
            </w:r>
          </w:p>
        </w:tc>
      </w:tr>
      <w:tr>
        <w:trPr/>
        <w:tc>
          <w:tcPr>
            <w:tcW w:w="1024"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3.3</w:t>
              </w:r>
            </w:hyperlink>
          </w:p>
        </w:tc>
        <w:tc>
          <w:tcPr>
            <w:tcW w:w="5881"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Certificate of Amendment to the Certificate of Incorporation of Pacific Biosciences of California, Inc. to limit the liability of officers</w:t>
              </w:r>
            </w:hyperlink>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31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 2024</w:t>
            </w:r>
          </w:p>
        </w:tc>
      </w:tr>
      <w:tr>
        <w:trPr/>
        <w:tc>
          <w:tcPr>
            <w:tcW w:w="102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3.4</w:t>
              </w:r>
            </w:hyperlink>
          </w:p>
        </w:tc>
        <w:tc>
          <w:tcPr>
            <w:tcW w:w="58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Third Amended and Restated Bylaws of the Registrant</w:t>
              </w:r>
            </w:hyperlink>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3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7, 2022</w:t>
            </w:r>
          </w:p>
        </w:tc>
      </w:tr>
      <w:tr>
        <w:trPr/>
        <w:tc>
          <w:tcPr>
            <w:tcW w:w="1024"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4.1</w:t>
              </w:r>
            </w:hyperlink>
          </w:p>
        </w:tc>
        <w:tc>
          <w:tcPr>
            <w:tcW w:w="5881"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Specimen Common Stock Certificate</w:t>
              </w:r>
            </w:hyperlink>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31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2010</w:t>
            </w:r>
          </w:p>
        </w:tc>
      </w:tr>
      <w:tr>
        <w:trPr/>
        <w:tc>
          <w:tcPr>
            <w:tcW w:w="102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4.2</w:t>
              </w:r>
            </w:hyperlink>
          </w:p>
        </w:tc>
        <w:tc>
          <w:tcPr>
            <w:tcW w:w="58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Description of Registrant’s securities registered under Section 12 of the Exchange Act</w:t>
              </w:r>
            </w:hyperlink>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13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1024"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99.1+</w:t>
              </w:r>
            </w:hyperlink>
          </w:p>
        </w:tc>
        <w:tc>
          <w:tcPr>
            <w:tcW w:w="5881"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2020 Equity Incentive Plan, as amended</w:t>
              </w:r>
            </w:hyperlink>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131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4, 2026</w:t>
            </w:r>
          </w:p>
        </w:tc>
      </w:tr>
      <w:tr>
        <w:trPr/>
        <w:tc>
          <w:tcPr>
            <w:tcW w:w="102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99.2+</w:t>
              </w:r>
            </w:hyperlink>
          </w:p>
        </w:tc>
        <w:tc>
          <w:tcPr>
            <w:tcW w:w="58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Form of Global Stock Option Agreement under the 2020 Equity Incentive Plan, as amended</w:t>
              </w:r>
            </w:hyperlink>
          </w:p>
        </w:tc>
        <w:tc>
          <w:tcPr>
            <w:tcW w:w="98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3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 2024</w:t>
            </w:r>
          </w:p>
        </w:tc>
      </w:tr>
      <w:tr>
        <w:trPr/>
        <w:tc>
          <w:tcPr>
            <w:tcW w:w="1024"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99.3+</w:t>
              </w:r>
            </w:hyperlink>
          </w:p>
        </w:tc>
        <w:tc>
          <w:tcPr>
            <w:tcW w:w="5881"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Form of Global Restricted Stock Unit Agreement under 2020 Equity Incentive Plan, as amended</w:t>
              </w:r>
            </w:hyperlink>
          </w:p>
        </w:tc>
        <w:tc>
          <w:tcPr>
            <w:tcW w:w="9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10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131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 2024</w:t>
            </w:r>
          </w:p>
        </w:tc>
      </w:tr>
      <w:tr>
        <w:trPr/>
        <w:tc>
          <w:tcPr>
            <w:tcW w:w="102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20260806xex51.htm">
              <w:r>
                <w:rPr>
                  <w:rStyle w:val="InternetLink"/>
                  <w:rFonts w:ascii="Times New Roman;serif" w:hAnsi="Times New Roman;serif"/>
                  <w:b w:val="false"/>
                  <w:color w:val="0000FF"/>
                  <w:sz w:val="20"/>
                  <w:u w:val="single"/>
                </w:rPr>
                <w:t>5.1*</w:t>
              </w:r>
            </w:hyperlink>
          </w:p>
        </w:tc>
        <w:tc>
          <w:tcPr>
            <w:tcW w:w="58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20260806xex51.htm">
              <w:r>
                <w:rPr>
                  <w:rStyle w:val="InternetLink"/>
                  <w:rFonts w:ascii="Times New Roman;serif" w:hAnsi="Times New Roman;serif"/>
                  <w:b w:val="false"/>
                  <w:color w:val="0000FF"/>
                  <w:sz w:val="20"/>
                  <w:u w:val="single"/>
                </w:rPr>
                <w:t>Opinion of Wilson Sonsini Goodrich &amp; Rosati, Professional Corporation </w:t>
              </w:r>
            </w:hyperlink>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20260806xex231.htm">
              <w:r>
                <w:rPr>
                  <w:rStyle w:val="InternetLink"/>
                  <w:rFonts w:ascii="Times New Roman;serif" w:hAnsi="Times New Roman;serif"/>
                  <w:b w:val="false"/>
                  <w:color w:val="0000FF"/>
                  <w:sz w:val="20"/>
                  <w:u w:val="single"/>
                </w:rPr>
                <w:t>23.1*</w:t>
              </w:r>
            </w:hyperlink>
          </w:p>
        </w:tc>
        <w:tc>
          <w:tcPr>
            <w:tcW w:w="5881"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20260806xex231.htm">
              <w:r>
                <w:rPr>
                  <w:rStyle w:val="InternetLink"/>
                  <w:rFonts w:ascii="Times New Roman;serif" w:hAnsi="Times New Roman;serif"/>
                  <w:b w:val="false"/>
                  <w:color w:val="0000FF"/>
                  <w:sz w:val="20"/>
                  <w:u w:val="single"/>
                </w:rPr>
                <w:t>Consent of Independent Registered Public Accounting Firm</w:t>
              </w:r>
            </w:hyperlink>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20260806xex51.htm">
              <w:r>
                <w:rPr>
                  <w:rStyle w:val="InternetLink"/>
                  <w:rFonts w:ascii="Times New Roman;serif" w:hAnsi="Times New Roman;serif"/>
                  <w:b w:val="false"/>
                  <w:color w:val="0000FF"/>
                  <w:sz w:val="20"/>
                  <w:u w:val="single"/>
                </w:rPr>
                <w:t>23.2*</w:t>
              </w:r>
            </w:hyperlink>
          </w:p>
        </w:tc>
        <w:tc>
          <w:tcPr>
            <w:tcW w:w="58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20260806xex51.htm">
              <w:r>
                <w:rPr>
                  <w:rStyle w:val="InternetLink"/>
                  <w:rFonts w:ascii="Times New Roman;serif" w:hAnsi="Times New Roman;serif"/>
                  <w:b w:val="false"/>
                  <w:color w:val="0000FF"/>
                  <w:sz w:val="20"/>
                  <w:u w:val="single"/>
                </w:rPr>
                <w:t>Consent of Wilson Sonsini Goodrich &amp; Rosati, Professional Corporation (contained in Exhibit 5.1 hereto)</w:t>
              </w:r>
            </w:hyperlink>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bf9eb94193146bcb1ce200f66e2e0d4_16001">
              <w:r>
                <w:rPr>
                  <w:rStyle w:val="InternetLink"/>
                  <w:rFonts w:ascii="Times New Roman;serif" w:hAnsi="Times New Roman;serif"/>
                  <w:b w:val="false"/>
                  <w:color w:val="0000FF"/>
                  <w:sz w:val="20"/>
                  <w:u w:val="single"/>
                </w:rPr>
                <w:t>24.1*</w:t>
              </w:r>
            </w:hyperlink>
          </w:p>
        </w:tc>
        <w:tc>
          <w:tcPr>
            <w:tcW w:w="5881"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bf9eb94193146bcb1ce200f66e2e0d4_16001">
              <w:r>
                <w:rPr>
                  <w:rStyle w:val="InternetLink"/>
                  <w:rFonts w:ascii="Times New Roman;serif" w:hAnsi="Times New Roman;serif"/>
                  <w:b w:val="false"/>
                  <w:color w:val="0000FF"/>
                  <w:sz w:val="20"/>
                  <w:u w:val="single"/>
                </w:rPr>
                <w:t>Power of Attorney (contained on signature page hereto)</w:t>
              </w:r>
            </w:hyperlink>
          </w:p>
        </w:tc>
        <w:tc>
          <w:tcPr>
            <w:tcW w:w="98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0"/>
                  <w:u w:val="single"/>
                </w:rPr>
                <w:t>107*</w:t>
              </w:r>
            </w:hyperlink>
          </w:p>
        </w:tc>
        <w:tc>
          <w:tcPr>
            <w:tcW w:w="5881"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FF"/>
                  <w:sz w:val="20"/>
                  <w:u w:val="single"/>
                </w:rPr>
                <w:t>Filing Fee Table</w:t>
              </w:r>
            </w:hyperlink>
          </w:p>
        </w:tc>
        <w:tc>
          <w:tcPr>
            <w:tcW w:w="98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tbl>
      <w:tblPr>
        <w:tblW w:w="6041" w:type="dxa"/>
        <w:jc w:val="left"/>
        <w:tblInd w:w="0" w:type="dxa"/>
        <w:tblLayout w:type="fixed"/>
        <w:tblCellMar>
          <w:top w:w="28" w:type="dxa"/>
          <w:left w:w="28" w:type="dxa"/>
          <w:bottom w:w="28" w:type="dxa"/>
          <w:right w:w="28" w:type="dxa"/>
        </w:tblCellMar>
      </w:tblPr>
      <w:tblGrid>
        <w:gridCol w:w="124"/>
        <w:gridCol w:w="109"/>
        <w:gridCol w:w="109"/>
        <w:gridCol w:w="1665"/>
        <w:gridCol w:w="1665"/>
        <w:gridCol w:w="23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Indicates management contract or compensatory plan, contract or arrangement.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Filed herewith.</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 of 1933;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that paragraphs (A)(1)(i) and (A)(1)(ii) do not apply if the information required to be included in a post-effective amendment by those paragraphs is contained in reports filed with or furnished to the Commission by the registrant pursuant to Section 13 or Section 15(d) of the Exchange Act of 1934 that are incorporated by reference in the registration statement.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 xml:space="preserve">bona fide </w:t>
      </w:r>
      <w:r>
        <w:rPr>
          <w:rFonts w:ascii="Times New Roman;serif" w:hAnsi="Times New Roman;serif"/>
          <w:b w:val="false"/>
          <w:color w:val="000000"/>
          <w:sz w:val="20"/>
        </w:rPr>
        <w:t>offering thereof.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 xml:space="preserve">bona fide </w:t>
      </w:r>
      <w:r>
        <w:rPr>
          <w:rFonts w:ascii="Times New Roman;serif" w:hAnsi="Times New Roman;serif"/>
          <w:b w:val="false"/>
          <w:color w:val="000000"/>
          <w:sz w:val="20"/>
        </w:rPr>
        <w:t>offering thereof.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Menlo Park, State of California, on August 6, 2026. </w:t>
      </w:r>
    </w:p>
    <w:tbl>
      <w:tblPr>
        <w:tblW w:w="536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37"/>
        <w:gridCol w:w="237"/>
        <w:gridCol w:w="237"/>
        <w:gridCol w:w="237"/>
        <w:gridCol w:w="237"/>
        <w:gridCol w:w="237"/>
        <w:gridCol w:w="237"/>
        <w:gridCol w:w="237"/>
        <w:gridCol w:w="237"/>
        <w:gridCol w:w="237"/>
        <w:gridCol w:w="237"/>
        <w:gridCol w:w="237"/>
        <w:gridCol w:w="237"/>
        <w:gridCol w:w="237"/>
        <w:gridCol w:w="237"/>
        <w:gridCol w:w="237"/>
        <w:gridCol w:w="237"/>
        <w:gridCol w:w="3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PACIFIC BIOSCIENCES OF CALIFORNIA, INC.</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3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Jim R. Gibson </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Jim R. Gibson</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Chief Financial Officer </w:t>
            </w:r>
          </w:p>
        </w:tc>
      </w:tr>
    </w:tbl>
    <w:p>
      <w:pPr>
        <w:pStyle w:val="TextBody"/>
        <w:bidi w:val="0"/>
        <w:spacing w:before="0" w:after="0"/>
        <w:jc w:val="center"/>
        <w:rPr/>
      </w:pPr>
      <w:r>
        <w:rPr/>
      </w:r>
    </w:p>
    <w:p>
      <w:pPr>
        <w:pStyle w:val="TextBody"/>
        <w:bidi w:val="0"/>
        <w:spacing w:lineRule="auto" w:line="288" w:before="420" w:after="283"/>
        <w:jc w:val="center"/>
        <w:rPr>
          <w:rFonts w:ascii="Times New Roman;serif" w:hAnsi="Times New Roman;serif"/>
          <w:b/>
          <w:color w:val="000000"/>
          <w:sz w:val="20"/>
        </w:rPr>
      </w:pPr>
      <w:bookmarkStart w:id="0" w:name="i9bf9eb94193146bcb1ce200f66e2e0d4_16001"/>
      <w:bookmarkEnd w:id="0"/>
      <w:r>
        <w:rPr>
          <w:rFonts w:ascii="Times New Roman;serif" w:hAnsi="Times New Roman;serif"/>
          <w:b/>
          <w:color w:val="000000"/>
          <w:sz w:val="20"/>
        </w:rPr>
        <w:t>POWER OF ATTORNEY</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Mark Van Oene, Jim R. Gibson, and Brett Atkins, and each of them, as his or her true and lawful attorney-in-fact and agent, with full power of substitution and resubstitution, for each individual in any and all capacities, to sign any and all amendments to this Registration Statement on Form S-8 of Pacific Biosciences of California, Inc.,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by the following persons on behalf of the Registrant in the capacities and on the dates indicated.</w:t>
      </w:r>
    </w:p>
    <w:p>
      <w:pPr>
        <w:pStyle w:val="TextBody"/>
        <w:bidi w:val="0"/>
        <w:spacing w:before="0" w:after="0"/>
        <w:jc w:val="left"/>
        <w:rPr/>
      </w:pPr>
      <w:r>
        <w:rPr/>
      </w:r>
    </w:p>
    <w:tbl>
      <w:tblPr>
        <w:tblW w:w="7773" w:type="dxa"/>
        <w:jc w:val="left"/>
        <w:tblInd w:w="0" w:type="dxa"/>
        <w:tblLayout w:type="fixed"/>
        <w:tblCellMar>
          <w:top w:w="28" w:type="dxa"/>
          <w:left w:w="28" w:type="dxa"/>
          <w:bottom w:w="28" w:type="dxa"/>
          <w:right w:w="28" w:type="dxa"/>
        </w:tblCellMar>
      </w:tblPr>
      <w:tblGrid>
        <w:gridCol w:w="266"/>
        <w:gridCol w:w="234"/>
        <w:gridCol w:w="234"/>
        <w:gridCol w:w="234"/>
        <w:gridCol w:w="234"/>
        <w:gridCol w:w="234"/>
        <w:gridCol w:w="234"/>
        <w:gridCol w:w="234"/>
        <w:gridCol w:w="234"/>
        <w:gridCol w:w="109"/>
        <w:gridCol w:w="109"/>
        <w:gridCol w:w="109"/>
        <w:gridCol w:w="435"/>
        <w:gridCol w:w="435"/>
        <w:gridCol w:w="435"/>
        <w:gridCol w:w="435"/>
        <w:gridCol w:w="435"/>
        <w:gridCol w:w="435"/>
        <w:gridCol w:w="435"/>
        <w:gridCol w:w="435"/>
        <w:gridCol w:w="435"/>
        <w:gridCol w:w="148"/>
        <w:gridCol w:w="148"/>
        <w:gridCol w:w="148"/>
        <w:gridCol w:w="148"/>
        <w:gridCol w:w="148"/>
        <w:gridCol w:w="148"/>
        <w:gridCol w:w="148"/>
        <w:gridCol w:w="148"/>
        <w:gridCol w:w="209"/>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3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138"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Van Oene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br/>
              <w:t>(Principal Executive Officer)</w:t>
            </w:r>
          </w:p>
        </w:tc>
        <w:tc>
          <w:tcPr>
            <w:tcW w:w="13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 Van Oene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vMerge w:val="continue"/>
            <w:tcBorders/>
            <w:tcMar>
              <w:top w:w="0" w:type="dxa"/>
              <w:left w:w="0" w:type="dxa"/>
              <w:bottom w:w="0" w:type="dxa"/>
              <w:right w:w="0" w:type="dxa"/>
            </w:tcMar>
            <w:vAlign w:val="center"/>
          </w:tcPr>
          <w:p>
            <w:pPr>
              <w:pStyle w:val="Normal"/>
              <w:bidi w:val="0"/>
              <w:jc w:val="left"/>
              <w:rPr/>
            </w:pPr>
            <w:r>
              <w:rPr/>
            </w:r>
          </w:p>
        </w:tc>
        <w:tc>
          <w:tcPr>
            <w:tcW w:w="13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Jim R. Gibson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br/>
              <w:t>(Principal Financial and Accounting Officer)</w:t>
            </w:r>
          </w:p>
        </w:tc>
        <w:tc>
          <w:tcPr>
            <w:tcW w:w="13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Jim R. Gibson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vMerge w:val="continue"/>
            <w:tcBorders/>
            <w:tcMar>
              <w:top w:w="0" w:type="dxa"/>
              <w:left w:w="0" w:type="dxa"/>
              <w:bottom w:w="0" w:type="dxa"/>
              <w:right w:w="0" w:type="dxa"/>
            </w:tcMar>
            <w:vAlign w:val="center"/>
          </w:tcPr>
          <w:p>
            <w:pPr>
              <w:pStyle w:val="Normal"/>
              <w:bidi w:val="0"/>
              <w:jc w:val="left"/>
              <w:rPr/>
            </w:pPr>
            <w:r>
              <w:rPr/>
            </w:r>
          </w:p>
        </w:tc>
        <w:tc>
          <w:tcPr>
            <w:tcW w:w="13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F. Milligan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13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F. Milligan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W. Ericson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W. Ericson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Gibson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Gibson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Christian O.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Christian O. Henry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Randall S. Livingston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Randall S. Livingston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Marshall L. Mohr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Marshall L. Mohr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Kathy Ordoñez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Kathy Ordoñez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Hannah A. Valantine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3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r>
        <w:trPr/>
        <w:tc>
          <w:tcPr>
            <w:tcW w:w="21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Hannah A. Valantine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9"/>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107</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7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Calculation of Filing Fee Table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S-8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Pacific Biosciences of California,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Table 1: Newly Registered Securities</w:t>
      </w:r>
    </w:p>
    <w:tbl>
      <w:tblPr>
        <w:tblW w:w="1053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68"/>
        <w:gridCol w:w="368"/>
        <w:gridCol w:w="180"/>
        <w:gridCol w:w="109"/>
        <w:gridCol w:w="145"/>
        <w:gridCol w:w="145"/>
        <w:gridCol w:w="145"/>
        <w:gridCol w:w="457"/>
        <w:gridCol w:w="313"/>
        <w:gridCol w:w="146"/>
        <w:gridCol w:w="109"/>
        <w:gridCol w:w="109"/>
        <w:gridCol w:w="109"/>
        <w:gridCol w:w="109"/>
        <w:gridCol w:w="871"/>
        <w:gridCol w:w="109"/>
        <w:gridCol w:w="501"/>
        <w:gridCol w:w="73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Type</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Security Class Title</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Calculation Rule</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Registered</w:t>
            </w:r>
          </w:p>
        </w:tc>
        <w:tc>
          <w:tcPr>
            <w:tcW w:w="109" w:type="dxa"/>
            <w:tcBorders/>
            <w:vAlign w:val="center"/>
          </w:tcPr>
          <w:p>
            <w:pPr>
              <w:pStyle w:val="TableContents"/>
              <w:bidi w:val="0"/>
              <w:spacing w:before="0" w:after="283"/>
              <w:jc w:val="left"/>
              <w:rPr>
                <w:sz w:val="4"/>
                <w:szCs w:val="4"/>
              </w:rPr>
            </w:pPr>
            <w:r>
              <w:rPr>
                <w:sz w:val="4"/>
                <w:szCs w:val="4"/>
              </w:rPr>
            </w:r>
          </w:p>
        </w:tc>
        <w:tc>
          <w:tcPr>
            <w:tcW w:w="15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Proposed Maximum Offering Price Per Unit</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Aggregate Offering Price</w:t>
            </w:r>
          </w:p>
        </w:tc>
        <w:tc>
          <w:tcPr>
            <w:tcW w:w="109" w:type="dxa"/>
            <w:tcBorders/>
            <w:vAlign w:val="center"/>
          </w:tcPr>
          <w:p>
            <w:pPr>
              <w:pStyle w:val="TableContents"/>
              <w:bidi w:val="0"/>
              <w:spacing w:before="0" w:after="283"/>
              <w:jc w:val="left"/>
              <w:rPr>
                <w:sz w:val="4"/>
                <w:szCs w:val="4"/>
              </w:rPr>
            </w:pPr>
            <w:r>
              <w:rPr>
                <w:sz w:val="4"/>
                <w:szCs w:val="4"/>
              </w:rPr>
            </w:r>
          </w:p>
        </w:tc>
        <w:tc>
          <w:tcPr>
            <w:tcW w:w="11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 Rate</w:t>
            </w:r>
          </w:p>
        </w:tc>
        <w:tc>
          <w:tcPr>
            <w:tcW w:w="109" w:type="dxa"/>
            <w:tcBorders/>
            <w:vAlign w:val="center"/>
          </w:tcPr>
          <w:p>
            <w:pPr>
              <w:pStyle w:val="TableContents"/>
              <w:bidi w:val="0"/>
              <w:spacing w:before="0" w:after="283"/>
              <w:jc w:val="left"/>
              <w:rPr>
                <w:sz w:val="4"/>
                <w:szCs w:val="4"/>
              </w:rPr>
            </w:pPr>
            <w:r>
              <w:rPr>
                <w:sz w:val="4"/>
                <w:szCs w:val="4"/>
              </w:rPr>
            </w:r>
          </w:p>
        </w:tc>
        <w:tc>
          <w:tcPr>
            <w:tcW w:w="12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Registration Fee</w:t>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8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Equity</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 per share, reserved for issuance pursuant to the Registrant`s Amended and Restated 2020 Equity Incentive Plan (the “2020 Plan”)</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16,000,000</w:t>
            </w:r>
          </w:p>
        </w:tc>
        <w:tc>
          <w:tcPr>
            <w:tcW w:w="109" w:type="dxa"/>
            <w:tcBorders/>
            <w:vAlign w:val="center"/>
          </w:tcPr>
          <w:p>
            <w:pPr>
              <w:pStyle w:val="TableContents"/>
              <w:bidi w:val="0"/>
              <w:spacing w:before="0" w:after="283"/>
              <w:jc w:val="left"/>
              <w:rPr>
                <w:sz w:val="4"/>
                <w:szCs w:val="4"/>
              </w:rPr>
            </w:pPr>
            <w:r>
              <w:rPr>
                <w:sz w:val="4"/>
                <w:szCs w:val="4"/>
              </w:rPr>
            </w:r>
          </w:p>
        </w:tc>
        <w:tc>
          <w:tcPr>
            <w:tcW w:w="1570"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c>
          <w:tcPr>
            <w:tcW w:w="109" w:type="dxa"/>
            <w:tcBorders/>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21,920,000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0.0001381</w:t>
            </w:r>
          </w:p>
        </w:tc>
        <w:tc>
          <w:tcPr>
            <w:tcW w:w="109" w:type="dxa"/>
            <w:tcBorders/>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3,027.16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Offering Amounts: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7"/>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21,920,000</w:t>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3,027.16</w:t>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7"/>
            <w:tcBorders/>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0"/>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Fee Offsets: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7"/>
            <w:tcBorders/>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Fee Due: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3,027.16</w:t>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7"/>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Pursuant to Rule 416(a) of the Securities Act of 1933, as amended (the “Securities Act”), this Registration Statement shall also cover any additional shares of the Registrant’s Common Stock that become issuable under the 2020 Plan by reason of an event such as any stock split, stock dividend, recapitalization or similar transaction effected without receipt of consideration that increases the number of the Registrant’s outstanding shares of Common Stock.</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Represents 16,000,000 shares of Common Stock reserved for issuance pursuant to awards under the 2020 Plan.</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Estimated in accordance with Rules (c) and (h) of Rule 457 of the Securities Act solely for the purposes of calculating the registration fee on the basis of $1.37 per share, which represents the average of the high and low price per share of the Registrant’s Common Stock on August 5, 2026, as reported on The Nasdaq Global Select Market. </w:t>
      </w:r>
    </w:p>
    <w:p>
      <w:pPr>
        <w:pStyle w:val="TextBody"/>
        <w:bidi w:val="0"/>
        <w:spacing w:lineRule="auto" w:line="288" w:before="96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Table 2: Fee Offset Claims and Sources </w:t>
      </w:r>
    </w:p>
    <w:tbl>
      <w:tblPr>
        <w:tblW w:w="10205" w:type="dxa"/>
        <w:jc w:val="center"/>
        <w:tblInd w:w="0" w:type="dxa"/>
        <w:tblLayout w:type="fixed"/>
        <w:tblCellMar>
          <w:top w:w="28" w:type="dxa"/>
          <w:left w:w="28" w:type="dxa"/>
          <w:bottom w:w="28" w:type="dxa"/>
          <w:right w:w="28" w:type="dxa"/>
        </w:tblCellMar>
      </w:tblPr>
      <w:tblGrid>
        <w:gridCol w:w="318"/>
        <w:gridCol w:w="223"/>
        <w:gridCol w:w="225"/>
        <w:gridCol w:w="111"/>
        <w:gridCol w:w="111"/>
        <w:gridCol w:w="111"/>
        <w:gridCol w:w="284"/>
        <w:gridCol w:w="284"/>
        <w:gridCol w:w="285"/>
        <w:gridCol w:w="194"/>
        <w:gridCol w:w="194"/>
        <w:gridCol w:w="195"/>
        <w:gridCol w:w="201"/>
        <w:gridCol w:w="201"/>
        <w:gridCol w:w="203"/>
        <w:gridCol w:w="197"/>
        <w:gridCol w:w="197"/>
        <w:gridCol w:w="198"/>
        <w:gridCol w:w="169"/>
        <w:gridCol w:w="169"/>
        <w:gridCol w:w="170"/>
        <w:gridCol w:w="228"/>
        <w:gridCol w:w="228"/>
        <w:gridCol w:w="230"/>
        <w:gridCol w:w="357"/>
        <w:gridCol w:w="357"/>
        <w:gridCol w:w="359"/>
        <w:gridCol w:w="356"/>
        <w:gridCol w:w="356"/>
        <w:gridCol w:w="358"/>
        <w:gridCol w:w="367"/>
        <w:gridCol w:w="367"/>
        <w:gridCol w:w="369"/>
        <w:gridCol w:w="417"/>
        <w:gridCol w:w="417"/>
        <w:gridCol w:w="419"/>
        <w:gridCol w:w="220"/>
        <w:gridCol w:w="220"/>
        <w:gridCol w:w="340"/>
      </w:tblGrid>
      <w:tr>
        <w:trPr/>
        <w:tc>
          <w:tcPr>
            <w:tcW w:w="3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Registrant or Filer Name</w:t>
            </w:r>
          </w:p>
        </w:tc>
        <w:tc>
          <w:tcPr>
            <w:tcW w:w="5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Form or Filing Type</w:t>
            </w:r>
          </w:p>
        </w:tc>
        <w:tc>
          <w:tcPr>
            <w:tcW w:w="6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File Number</w:t>
            </w:r>
          </w:p>
        </w:tc>
        <w:tc>
          <w:tcPr>
            <w:tcW w:w="5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Initial Filing Date</w:t>
            </w:r>
          </w:p>
        </w:tc>
        <w:tc>
          <w:tcPr>
            <w:tcW w:w="5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Filing Date</w:t>
            </w:r>
          </w:p>
        </w:tc>
        <w:tc>
          <w:tcPr>
            <w:tcW w:w="6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Fee Offset Claimed</w:t>
            </w:r>
          </w:p>
        </w:tc>
        <w:tc>
          <w:tcPr>
            <w:tcW w:w="10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Security Type Associated with Fee Offset Claimed</w:t>
            </w:r>
          </w:p>
        </w:tc>
        <w:tc>
          <w:tcPr>
            <w:tcW w:w="10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Security Title Associated with Fee Offset Claimed</w:t>
            </w:r>
          </w:p>
        </w:tc>
        <w:tc>
          <w:tcPr>
            <w:tcW w:w="1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Unsold Securities Associated with Fee Offset Claimed</w:t>
            </w:r>
          </w:p>
        </w:tc>
        <w:tc>
          <w:tcPr>
            <w:tcW w:w="12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Unsold Aggregate Offering Amount Associated with Fee Offset Claimed</w:t>
            </w:r>
          </w:p>
        </w:tc>
        <w:tc>
          <w:tcPr>
            <w:tcW w:w="7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4"/>
              </w:rPr>
            </w:pPr>
            <w:r>
              <w:rPr>
                <w:rFonts w:ascii="Times New Roman;serif" w:hAnsi="Times New Roman;serif"/>
                <w:b/>
                <w:color w:val="000000"/>
                <w:sz w:val="14"/>
              </w:rPr>
              <w:t>Fee Paid with Fee Offset Source</w:t>
            </w:r>
          </w:p>
        </w:tc>
      </w:tr>
      <w:tr>
        <w:trPr/>
        <w:tc>
          <w:tcPr>
            <w:tcW w:w="10205" w:type="dxa"/>
            <w:gridSpan w:val="39"/>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Rule 457(p)</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Fee Offset Claims</w:t>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58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6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50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68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Fee Offset Sources</w:t>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8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58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6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50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68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Georgia;serif" w:hAnsi="Georgia;serif"/>
          <w:b/>
          <w:color w:val="000000"/>
          <w:sz w:val="20"/>
        </w:rPr>
      </w:pPr>
      <w:r>
        <w:rPr>
          <w:rFonts w:ascii="Georgia;serif" w:hAnsi="Georgia;serif"/>
          <w:b/>
          <w:color w:val="000000"/>
          <w:sz w:val="20"/>
        </w:rPr>
        <w:t>Exhibit 5.1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9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70" w:type="dxa"/>
        <w:jc w:val="center"/>
        <w:tblInd w:w="0" w:type="dxa"/>
        <w:tblLayout w:type="fixed"/>
        <w:tblCellMar>
          <w:top w:w="28" w:type="dxa"/>
          <w:left w:w="28" w:type="dxa"/>
          <w:bottom w:w="28" w:type="dxa"/>
          <w:right w:w="28" w:type="dxa"/>
        </w:tblCellMar>
      </w:tblPr>
      <w:tblGrid>
        <w:gridCol w:w="1026"/>
        <w:gridCol w:w="902"/>
        <w:gridCol w:w="903"/>
        <w:gridCol w:w="772"/>
        <w:gridCol w:w="772"/>
        <w:gridCol w:w="1095"/>
      </w:tblGrid>
      <w:tr>
        <w:trPr/>
        <w:tc>
          <w:tcPr>
            <w:tcW w:w="10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33550" cy="657225"/>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6"/>
                          <a:stretch>
                            <a:fillRect/>
                          </a:stretch>
                        </pic:blipFill>
                        <pic:spPr bwMode="auto">
                          <a:xfrm>
                            <a:off x="0" y="0"/>
                            <a:ext cx="1733550" cy="657225"/>
                          </a:xfrm>
                          <a:prstGeom prst="rect">
                            <a:avLst/>
                          </a:prstGeom>
                        </pic:spPr>
                      </pic:pic>
                    </a:graphicData>
                  </a:graphic>
                </wp:inline>
              </w:drawing>
            </w:r>
          </w:p>
        </w:tc>
        <w:tc>
          <w:tcPr>
            <w:tcW w:w="2639"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Georgia;serif" w:hAnsi="Georgia;serif"/>
                <w:b w:val="false"/>
                <w:color w:val="000000"/>
                <w:sz w:val="16"/>
              </w:rPr>
            </w:pPr>
            <w:r>
              <w:rPr>
                <w:rFonts w:ascii="Georgia;serif" w:hAnsi="Georgia;serif"/>
                <w:b w:val="false"/>
                <w:color w:val="000000"/>
                <w:sz w:val="16"/>
              </w:rPr>
              <w:t>Wilson Sonsini Goodrich &amp; Rosati</w:t>
              <w:br/>
              <w:t>Professional Corporation</w:t>
            </w:r>
          </w:p>
          <w:p>
            <w:pPr>
              <w:pStyle w:val="TableContents"/>
              <w:bidi w:val="0"/>
              <w:spacing w:lineRule="auto" w:line="288" w:before="80" w:after="283"/>
              <w:jc w:val="left"/>
              <w:rPr>
                <w:rFonts w:ascii="Georgia;serif" w:hAnsi="Georgia;serif"/>
                <w:b w:val="false"/>
                <w:color w:val="000000"/>
                <w:sz w:val="16"/>
              </w:rPr>
            </w:pPr>
            <w:r>
              <w:rPr>
                <w:rFonts w:ascii="Georgia;serif" w:hAnsi="Georgia;serif"/>
                <w:b w:val="false"/>
                <w:color w:val="000000"/>
                <w:sz w:val="16"/>
              </w:rPr>
              <w:t>650 Page Mill Road</w:t>
              <w:br/>
              <w:t>Palo Alto, California 94304-1050</w:t>
            </w:r>
          </w:p>
          <w:p>
            <w:pPr>
              <w:pStyle w:val="TableContents"/>
              <w:bidi w:val="0"/>
              <w:spacing w:lineRule="auto" w:line="288" w:before="80" w:after="283"/>
              <w:jc w:val="left"/>
              <w:rPr>
                <w:rFonts w:ascii="Georgia;serif" w:hAnsi="Georgia;serif"/>
                <w:b w:val="false"/>
                <w:color w:val="000000"/>
                <w:sz w:val="16"/>
              </w:rPr>
            </w:pPr>
            <w:r>
              <w:rPr>
                <w:rFonts w:ascii="Georgia;serif" w:hAnsi="Georgia;serif"/>
                <w:b w:val="false"/>
                <w:color w:val="000000"/>
                <w:sz w:val="16"/>
              </w:rPr>
              <w:t>o: 650.493.9300</w:t>
              <w:br/>
              <w:t>f: 650.493.6811</w:t>
            </w:r>
          </w:p>
        </w:tc>
      </w:tr>
    </w:tbl>
    <w:p>
      <w:pPr>
        <w:pStyle w:val="TextBody"/>
        <w:bidi w:val="0"/>
        <w:spacing w:lineRule="auto" w:line="288" w:before="480" w:after="283"/>
        <w:jc w:val="center"/>
        <w:rPr>
          <w:rFonts w:ascii="Georgia;serif" w:hAnsi="Georgia;serif"/>
          <w:b w:val="false"/>
          <w:color w:val="000000"/>
          <w:sz w:val="22"/>
        </w:rPr>
      </w:pPr>
      <w:r>
        <w:rPr>
          <w:rFonts w:ascii="Georgia;serif" w:hAnsi="Georgia;serif"/>
          <w:b w:val="false"/>
          <w:color w:val="000000"/>
          <w:sz w:val="22"/>
        </w:rPr>
        <w:t>August 6, 2026</w:t>
      </w:r>
    </w:p>
    <w:p>
      <w:pPr>
        <w:pStyle w:val="TextBody"/>
        <w:bidi w:val="0"/>
        <w:spacing w:lineRule="auto" w:line="288" w:before="480" w:after="283"/>
        <w:jc w:val="left"/>
        <w:rPr>
          <w:rFonts w:ascii="Georgia;serif" w:hAnsi="Georgia;serif"/>
          <w:b w:val="false"/>
          <w:color w:val="000000"/>
          <w:sz w:val="22"/>
        </w:rPr>
      </w:pPr>
      <w:r>
        <w:rPr>
          <w:rFonts w:ascii="Georgia;serif" w:hAnsi="Georgia;serif"/>
          <w:b w:val="false"/>
          <w:color w:val="000000"/>
          <w:sz w:val="22"/>
        </w:rPr>
        <w:t>Pacific Biosciences of California, Inc.</w:t>
        <w:br/>
        <w:t>1305 O’Brien Drive</w:t>
        <w:br/>
        <w:t>Menlo Park, CA 94025</w:t>
      </w:r>
    </w:p>
    <w:p>
      <w:pPr>
        <w:pStyle w:val="TextBody"/>
        <w:bidi w:val="0"/>
        <w:spacing w:lineRule="auto" w:line="288" w:before="240" w:after="283"/>
        <w:ind w:left="0" w:right="0" w:hanging="720"/>
        <w:jc w:val="left"/>
        <w:rPr>
          <w:rFonts w:ascii="Georgia;serif" w:hAnsi="Georgia;serif"/>
          <w:b/>
          <w:color w:val="000000"/>
          <w:sz w:val="22"/>
        </w:rPr>
      </w:pPr>
      <w:r>
        <w:rPr>
          <w:rFonts w:ascii="Georgia;serif" w:hAnsi="Georgia;serif"/>
          <w:b/>
          <w:color w:val="000000"/>
          <w:sz w:val="22"/>
        </w:rPr>
        <w:t>Re:    Registration Statement on Form S-8</w:t>
      </w:r>
    </w:p>
    <w:p>
      <w:pPr>
        <w:pStyle w:val="TextBody"/>
        <w:bidi w:val="0"/>
        <w:spacing w:lineRule="auto" w:line="288" w:before="300" w:after="283"/>
        <w:jc w:val="left"/>
        <w:rPr>
          <w:rFonts w:ascii="Georgia;serif" w:hAnsi="Georgia;serif"/>
          <w:b w:val="false"/>
          <w:color w:val="000000"/>
          <w:sz w:val="22"/>
        </w:rPr>
      </w:pPr>
      <w:r>
        <w:rPr>
          <w:rFonts w:ascii="Georgia;serif" w:hAnsi="Georgia;serif"/>
          <w:b w:val="false"/>
          <w:color w:val="000000"/>
          <w:sz w:val="22"/>
        </w:rPr>
        <w:t>Ladies and Gentlemen:</w:t>
      </w:r>
    </w:p>
    <w:p>
      <w:pPr>
        <w:pStyle w:val="TextBody"/>
        <w:bidi w:val="0"/>
        <w:spacing w:lineRule="auto" w:line="288" w:before="240" w:after="283"/>
        <w:ind w:left="0" w:right="0" w:firstLine="720"/>
        <w:jc w:val="left"/>
        <w:rPr>
          <w:rFonts w:ascii="Georgia;serif" w:hAnsi="Georgia;serif"/>
          <w:b w:val="false"/>
          <w:color w:val="000000"/>
          <w:sz w:val="22"/>
        </w:rPr>
      </w:pPr>
      <w:r>
        <w:rPr>
          <w:rFonts w:ascii="Georgia;serif" w:hAnsi="Georgia;serif"/>
          <w:b w:val="false"/>
          <w:color w:val="000000"/>
          <w:sz w:val="22"/>
        </w:rPr>
        <w:t xml:space="preserve">At your request, we have examined the Registration Statement on Form S-8 (the “Registration Statement”) to be filed by Pacific Biosciences of California, Inc., a Delaware corporation (the “Company”), with the Securities and Exchange Commission (the “Commission”), on or about the date hereof, relating to the registration under the Securities Act of 1933, as amended (the “Act”), of 16,000,000 shares of your common stock, par value $0.001 per share (the “Shares”), to be issued under the Company’s 2020 Equity Incentive Plan, as amended (the “2020 Plan”). As your legal counsel, we have reviewed the actions proposed to be taken by you in connection with the issuance and sale of the Shares to be issued under the 2020 Plan. </w:t>
      </w:r>
    </w:p>
    <w:p>
      <w:pPr>
        <w:pStyle w:val="TextBody"/>
        <w:bidi w:val="0"/>
        <w:spacing w:lineRule="auto" w:line="288" w:before="240" w:after="283"/>
        <w:ind w:left="0" w:right="0" w:firstLine="720"/>
        <w:jc w:val="left"/>
        <w:rPr>
          <w:rFonts w:ascii="Georgia;serif" w:hAnsi="Georgia;serif"/>
          <w:b w:val="false"/>
          <w:color w:val="000000"/>
          <w:sz w:val="22"/>
        </w:rPr>
      </w:pPr>
      <w:r>
        <w:rPr>
          <w:rFonts w:ascii="Georgia;serif" w:hAnsi="Georgia;serif"/>
          <w:b w:val="false"/>
          <w:color w:val="000000"/>
          <w:sz w:val="22"/>
        </w:rPr>
        <w:t xml:space="preserve">On the basis of the foregoing, and in reliance thereon, we are of the opinion that the Shares, when issued and sold in the manner described in the 2020 Plan and pursuant to the agreements that accompany the 2020 Plan, will be legally and validly issued, fully paid and nonassessable. </w:t>
      </w:r>
    </w:p>
    <w:p>
      <w:pPr>
        <w:pStyle w:val="TextBody"/>
        <w:bidi w:val="0"/>
        <w:spacing w:lineRule="auto" w:line="288" w:before="240" w:after="283"/>
        <w:ind w:left="0" w:right="0" w:firstLine="720"/>
        <w:jc w:val="left"/>
        <w:rPr>
          <w:rFonts w:ascii="Georgia;serif" w:hAnsi="Georgia;serif"/>
          <w:b w:val="false"/>
          <w:color w:val="000000"/>
          <w:sz w:val="22"/>
        </w:rPr>
      </w:pPr>
      <w:r>
        <w:rPr>
          <w:rFonts w:ascii="Georgia;serif" w:hAnsi="Georgia;serif"/>
          <w:b w:val="false"/>
          <w:color w:val="000000"/>
          <w:sz w:val="22"/>
        </w:rPr>
        <w:t>We hereby consent to the filing of this opinion as an exhibit to the above-referenced Registration Statement and to the use of our name wherever it appears in the Registration Statement and in any amendments thereto. In giving such consent, we do not thereby admit that we are in the category of persons whose consent is required under Section 7 of the Act or the rules and regulations of the Commission thereunder.</w:t>
      </w:r>
    </w:p>
    <w:p>
      <w:pPr>
        <w:pStyle w:val="TextBody"/>
        <w:bidi w:val="0"/>
        <w:spacing w:lineRule="auto" w:line="288" w:before="420" w:after="283"/>
        <w:jc w:val="left"/>
        <w:rPr>
          <w:rFonts w:ascii="Georgia;serif" w:hAnsi="Georgia;serif"/>
          <w:b w:val="false"/>
          <w:color w:val="000000"/>
          <w:sz w:val="22"/>
        </w:rPr>
      </w:pPr>
      <w:r>
        <w:rPr>
          <w:rFonts w:ascii="Georgia;serif" w:hAnsi="Georgia;serif"/>
          <w:b w:val="false"/>
          <w:color w:val="000000"/>
          <w:sz w:val="22"/>
        </w:rPr>
        <w:t>Very truly yours,</w:t>
      </w:r>
    </w:p>
    <w:p>
      <w:pPr>
        <w:pStyle w:val="TextBody"/>
        <w:bidi w:val="0"/>
        <w:spacing w:lineRule="auto" w:line="288" w:before="240" w:after="283"/>
        <w:jc w:val="left"/>
        <w:rPr>
          <w:rFonts w:ascii="Georgia;serif" w:hAnsi="Georgia;serif"/>
          <w:b w:val="false"/>
          <w:color w:val="000000"/>
          <w:sz w:val="22"/>
        </w:rPr>
      </w:pPr>
      <w:r>
        <w:rPr>
          <w:rFonts w:ascii="Georgia;serif" w:hAnsi="Georgia;serif"/>
          <w:b w:val="false"/>
          <w:color w:val="000000"/>
          <w:sz w:val="22"/>
        </w:rPr>
        <w:t>/s/ Wilson Sonsini Goodrich &amp; Rosati, P.C.</w:t>
      </w:r>
    </w:p>
    <w:p>
      <w:pPr>
        <w:pStyle w:val="TextBody"/>
        <w:bidi w:val="0"/>
        <w:spacing w:lineRule="auto" w:line="288" w:before="480" w:after="283"/>
        <w:jc w:val="left"/>
        <w:rPr>
          <w:rFonts w:ascii="Georgia;serif" w:hAnsi="Georgia;serif"/>
          <w:b w:val="false"/>
          <w:color w:val="000000"/>
          <w:sz w:val="22"/>
        </w:rPr>
      </w:pPr>
      <w:r>
        <w:rPr>
          <w:rFonts w:ascii="Georgia;serif" w:hAnsi="Georgia;serif"/>
          <w:b w:val="false"/>
          <w:color w:val="000000"/>
          <w:sz w:val="22"/>
        </w:rPr>
        <w:t>WILSON SONSINI GOODRICH &amp; ROSATI</w:t>
      </w:r>
    </w:p>
    <w:p>
      <w:pPr>
        <w:pStyle w:val="TextBody"/>
        <w:bidi w:val="0"/>
        <w:spacing w:lineRule="auto" w:line="288"/>
        <w:jc w:val="left"/>
        <w:rPr>
          <w:rFonts w:ascii="Georgia;serif" w:hAnsi="Georgia;serif"/>
          <w:b w:val="false"/>
          <w:color w:val="000000"/>
          <w:sz w:val="22"/>
        </w:rPr>
      </w:pPr>
      <w:r>
        <w:rPr>
          <w:rFonts w:ascii="Georgia;serif" w:hAnsi="Georgia;serif"/>
          <w:b w:val="false"/>
          <w:color w:val="000000"/>
          <w:sz w:val="22"/>
        </w:rPr>
        <w:t>Professional Corporation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23.1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3530"/>
                <wp:effectExtent l="0" t="0" r="0" b="0"/>
                <wp:wrapNone/>
                <wp:docPr id="12" name="Frame11"/>
                <a:graphic xmlns:a="http://schemas.openxmlformats.org/drawingml/2006/main">
                  <a:graphicData uri="http://schemas.microsoft.com/office/word/2010/wordprocessingShape">
                    <wps:wsp>
                      <wps:cNvSpPr txBox="1"/>
                      <wps:spPr>
                        <a:xfrm>
                          <a:off x="0" y="0"/>
                          <a:ext cx="6480175" cy="303530"/>
                        </a:xfrm>
                        <a:prstGeom prst="rect"/>
                        <a:solidFill>
                          <a:srgbClr val="FFFFFF"/>
                        </a:solidFill>
                      </wps:spPr>
                      <wps:txbx>
                        <w:txbxContent>
                          <w:p>
                            <w:pPr>
                              <w:pStyle w:val="TextBody"/>
                              <w:bidi w:val="0"/>
                              <w:spacing w:lineRule="auto" w:line="376" w:before="60" w:after="60"/>
                              <w:jc w:val="center"/>
                              <w:rPr>
                                <w:rFonts w:ascii="Buenos Aires;sans-serif" w:hAnsi="Buenos Aires;sans-serif"/>
                                <w:b w:val="false"/>
                                <w:color w:val="002147"/>
                                <w:sz w:val="14"/>
                              </w:rPr>
                            </w:pPr>
                            <w:r>
                              <w:rPr>
                                <w:rFonts w:ascii="Buenos Aires;sans-serif" w:hAnsi="Buenos Aires;sans-serif"/>
                                <w:b w:val="false"/>
                                <w:color w:val="002147"/>
                                <w:sz w:val="14"/>
                              </w:rPr>
                              <w:t>AUSTIN BOSTON BOULDER BRUSSELS HONG KONG LONDON LOS ANGELES NEW YORK PALO ALTO</w:t>
                              <w:br/>
                              <w:t>SALT LAKE CITY SAN DIEGO SAN FRANCISCO SEATTLE SHANGHAI WASHINGTON, DC WILMINGTON, DE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9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lineRule="auto" w:line="376" w:before="60" w:after="60"/>
                        <w:jc w:val="center"/>
                        <w:rPr>
                          <w:rFonts w:ascii="Buenos Aires;sans-serif" w:hAnsi="Buenos Aires;sans-serif"/>
                          <w:b w:val="false"/>
                          <w:color w:val="002147"/>
                          <w:sz w:val="14"/>
                        </w:rPr>
                      </w:pPr>
                      <w:r>
                        <w:rPr>
                          <w:rFonts w:ascii="Buenos Aires;sans-serif" w:hAnsi="Buenos Aires;sans-serif"/>
                          <w:b w:val="false"/>
                          <w:color w:val="002147"/>
                          <w:sz w:val="14"/>
                        </w:rPr>
                        <w:t>AUSTIN BOSTON BOULDER BRUSSELS HONG KONG LONDON LOS ANGELES NEW YORK PALO ALTO</w:t>
                        <w:br/>
                        <w:t>SALT LAKE CITY SAN DIEGO SAN FRANCISCO SEATTLE SHANGHAI WASHINGTON, DC WILMINGTON, DE</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(Form S-8) pertaining to the Pacific Biosciences of California, Inc. 2020 Equity Incentive Plan of our reports dated February 25, 2026, with respect to the consolidated financial statements of Pacific Biosciences of California, Inc. and the effectiveness of internal control over financial reporting of Pacific Biosciences of California, Inc. included in its Annual Report (Form 10-K) for the year ended December 31, 2025, filed with the Securities and Exchange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Mateo, California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Georgia">
    <w:altName w:val="serif"/>
    <w:charset w:val="01"/>
    <w:family w:val="auto"/>
    <w:pitch w:val="default"/>
  </w:font>
  <w:font w:name="Buenos Aire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299130/000129913026000034/pacb-20251231.htm" TargetMode="External"/><Relationship Id="rId3" Type="http://schemas.openxmlformats.org/officeDocument/2006/relationships/hyperlink" Target="https://www.sec.gov/ix?doc=/Archives/edgar/data/0001299130/000129913026000064/pacb-20260423.htm" TargetMode="External"/><Relationship Id="rId4" Type="http://schemas.openxmlformats.org/officeDocument/2006/relationships/hyperlink" Target="https://www.sec.gov/ix?doc=/Archives/edgar/data/0001299130/000129913026000081/pacb-20260331.htm" TargetMode="External"/><Relationship Id="rId5" Type="http://schemas.openxmlformats.org/officeDocument/2006/relationships/hyperlink" Target="https://www.sec.gov/ix?doc=/Archives/edgar/data/0001299130/000129913026000122/pacb-20260630.htm" TargetMode="External"/><Relationship Id="rId6" Type="http://schemas.openxmlformats.org/officeDocument/2006/relationships/hyperlink" Target="https://www.sec.gov/ix?doc=/Archives/edgar/data/0001299130/000129913026000122/pacb-20260630.htm" TargetMode="External"/><Relationship Id="rId7" Type="http://schemas.openxmlformats.org/officeDocument/2006/relationships/hyperlink" Target="https://www.sec.gov/Archives/edgar/data/1299130/000119312510224288/d8a12b.htm" TargetMode="External"/><Relationship Id="rId8" Type="http://schemas.openxmlformats.org/officeDocument/2006/relationships/hyperlink" Target="https://www.sec.gov/Archives/edgar/data/1299130/000119312511075269/dex31.htm" TargetMode="External"/><Relationship Id="rId9" Type="http://schemas.openxmlformats.org/officeDocument/2006/relationships/hyperlink" Target="https://www.sec.gov/Archives/edgar/data/1299130/000119312511075269/dex31.htm" TargetMode="External"/><Relationship Id="rId10" Type="http://schemas.openxmlformats.org/officeDocument/2006/relationships/hyperlink" Target="https://www.sec.gov/Archives/edgar/data/1299130/000129913024000146/exhibit31-certificateofame.htm" TargetMode="External"/><Relationship Id="rId11" Type="http://schemas.openxmlformats.org/officeDocument/2006/relationships/hyperlink" Target="https://www.sec.gov/Archives/edgar/data/1299130/000129913024000146/exhibit31-certificateofame.htm" TargetMode="External"/><Relationship Id="rId12" Type="http://schemas.openxmlformats.org/officeDocument/2006/relationships/hyperlink" Target="https://www.sec.gov/Archives/edgar/data/1299130/000129913024000146/exhibit32-certificateofame.htm" TargetMode="External"/><Relationship Id="rId13" Type="http://schemas.openxmlformats.org/officeDocument/2006/relationships/hyperlink" Target="https://www.sec.gov/Archives/edgar/data/1299130/000129913024000146/exhibit32-certificateofame.htm" TargetMode="External"/><Relationship Id="rId14" Type="http://schemas.openxmlformats.org/officeDocument/2006/relationships/hyperlink" Target="https://www.sec.gov/Archives/edgar/data/1299130/000129913022000128/pacb-20221103xex3_1.htm" TargetMode="External"/><Relationship Id="rId15" Type="http://schemas.openxmlformats.org/officeDocument/2006/relationships/hyperlink" Target="https://www.sec.gov/Archives/edgar/data/1299130/000129913022000128/pacb-20221103xex3_1.htm" TargetMode="External"/><Relationship Id="rId16" Type="http://schemas.openxmlformats.org/officeDocument/2006/relationships/hyperlink" Target="https://www.sec.gov/Archives/edgar/data/1299130/000119312510221497/dex41.htm" TargetMode="External"/><Relationship Id="rId17" Type="http://schemas.openxmlformats.org/officeDocument/2006/relationships/hyperlink" Target="https://www.sec.gov/Archives/edgar/data/1299130/000119312510221497/dex41.htm" TargetMode="External"/><Relationship Id="rId18" Type="http://schemas.openxmlformats.org/officeDocument/2006/relationships/hyperlink" Target="https://www.sec.gov/Archives/edgar/data/1299130/000129913026000034/pacb-exx42xdescriptionofse.htm" TargetMode="External"/><Relationship Id="rId19" Type="http://schemas.openxmlformats.org/officeDocument/2006/relationships/hyperlink" Target="https://www.sec.gov/Archives/edgar/data/1299130/000129913026000034/pacb-exx42xdescriptionofse.htm" TargetMode="External"/><Relationship Id="rId20" Type="http://schemas.openxmlformats.org/officeDocument/2006/relationships/hyperlink" Target="https://www.sec.gov/Archives/edgar/data/1299130/000129913026000092/exhibit101-2020equityincen.htm" TargetMode="External"/><Relationship Id="rId21" Type="http://schemas.openxmlformats.org/officeDocument/2006/relationships/hyperlink" Target="https://www.sec.gov/Archives/edgar/data/1299130/000129913026000092/exhibit101-2020equityincen.htm" TargetMode="External"/><Relationship Id="rId22" Type="http://schemas.openxmlformats.org/officeDocument/2006/relationships/hyperlink" Target="https://www.sec.gov/Archives/edgar/data/1299130/000129913024000146/exhibit102-pacbio2020eipst.htm" TargetMode="External"/><Relationship Id="rId23" Type="http://schemas.openxmlformats.org/officeDocument/2006/relationships/hyperlink" Target="https://www.sec.gov/Archives/edgar/data/1299130/000129913024000146/exhibit102-pacbio2020eipst.htm" TargetMode="External"/><Relationship Id="rId24" Type="http://schemas.openxmlformats.org/officeDocument/2006/relationships/hyperlink" Target="https://www.sec.gov/Archives/edgar/data/1299130/000129913024000146/exhibit103-pacbio2020eiprs.htm" TargetMode="External"/><Relationship Id="rId25" Type="http://schemas.openxmlformats.org/officeDocument/2006/relationships/hyperlink" Target="https://www.sec.gov/Archives/edgar/data/1299130/000129913024000146/exhibit103-pacbio2020eiprs.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3871</Words>
  <Characters>21299</Characters>
  <CharactersWithSpaces>24877</CharactersWithSpaces>
  <Paragraphs>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