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ind w:right="-140"/>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14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241935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40"/>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260350</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40"/>
        <w:spacing w:after="0"/>
        <w:rPr>
          <w:sz w:val="20"/>
          <w:szCs w:val="20"/>
          <w:color w:val="auto"/>
        </w:rPr>
      </w:pPr>
      <w:r>
        <w:rPr>
          <w:rFonts w:ascii="Arial" w:cs="Arial" w:eastAsia="Arial" w:hAnsi="Arial"/>
          <w:sz w:val="27"/>
          <w:szCs w:val="27"/>
          <w:b w:val="1"/>
          <w:bCs w:val="1"/>
          <w:color w:val="auto"/>
        </w:rPr>
        <w:t>CURRENT REPORT</w:t>
      </w:r>
    </w:p>
    <w:p>
      <w:pPr>
        <w:spacing w:after="0" w:line="226" w:lineRule="exact"/>
        <w:rPr>
          <w:sz w:val="24"/>
          <w:szCs w:val="24"/>
          <w:color w:val="auto"/>
        </w:rPr>
      </w:pPr>
    </w:p>
    <w:p>
      <w:pPr>
        <w:jc w:val="center"/>
        <w:ind w:right="-140"/>
        <w:spacing w:after="0"/>
        <w:rPr>
          <w:sz w:val="20"/>
          <w:szCs w:val="20"/>
          <w:color w:val="auto"/>
        </w:rPr>
      </w:pPr>
      <w:r>
        <w:rPr>
          <w:rFonts w:ascii="Arial" w:cs="Arial" w:eastAsia="Arial" w:hAnsi="Arial"/>
          <w:sz w:val="23"/>
          <w:szCs w:val="23"/>
          <w:b w:val="1"/>
          <w:bCs w:val="1"/>
          <w:color w:val="auto"/>
        </w:rPr>
        <w:t>PURSUANT TO SECTION 13 OR 15(d) OF THE</w:t>
      </w:r>
    </w:p>
    <w:p>
      <w:pPr>
        <w:spacing w:after="0" w:line="18" w:lineRule="exact"/>
        <w:rPr>
          <w:sz w:val="24"/>
          <w:szCs w:val="24"/>
          <w:color w:val="auto"/>
        </w:rPr>
      </w:pPr>
    </w:p>
    <w:p>
      <w:pPr>
        <w:jc w:val="center"/>
        <w:ind w:right="-140"/>
        <w:spacing w:after="0"/>
        <w:rPr>
          <w:sz w:val="20"/>
          <w:szCs w:val="20"/>
          <w:color w:val="auto"/>
        </w:rPr>
      </w:pPr>
      <w:r>
        <w:rPr>
          <w:rFonts w:ascii="Arial" w:cs="Arial" w:eastAsia="Arial" w:hAnsi="Arial"/>
          <w:sz w:val="23"/>
          <w:szCs w:val="23"/>
          <w:b w:val="1"/>
          <w:bCs w:val="1"/>
          <w:color w:val="auto"/>
        </w:rPr>
        <w:t>SECURITIES EXCHANGE ACT OF 1934</w:t>
      </w:r>
    </w:p>
    <w:p>
      <w:pPr>
        <w:spacing w:after="0" w:line="194" w:lineRule="exact"/>
        <w:rPr>
          <w:sz w:val="24"/>
          <w:szCs w:val="24"/>
          <w:color w:val="auto"/>
        </w:rPr>
      </w:pPr>
    </w:p>
    <w:p>
      <w:pPr>
        <w:jc w:val="center"/>
        <w:ind w:right="-140"/>
        <w:spacing w:after="0"/>
        <w:rPr>
          <w:sz w:val="20"/>
          <w:szCs w:val="20"/>
          <w:color w:val="auto"/>
        </w:rPr>
      </w:pPr>
      <w:r>
        <w:rPr>
          <w:rFonts w:ascii="Arial" w:cs="Arial" w:eastAsia="Arial" w:hAnsi="Arial"/>
          <w:sz w:val="23"/>
          <w:szCs w:val="23"/>
          <w:b w:val="1"/>
          <w:bCs w:val="1"/>
          <w:color w:val="auto"/>
        </w:rPr>
        <w:t>February 15, 2019</w:t>
      </w:r>
    </w:p>
    <w:p>
      <w:pPr>
        <w:spacing w:after="0" w:line="24"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240665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40"/>
        <w:spacing w:after="0"/>
        <w:rPr>
          <w:sz w:val="20"/>
          <w:szCs w:val="20"/>
          <w:color w:val="auto"/>
        </w:rPr>
      </w:pPr>
      <w:r>
        <w:rPr>
          <w:rFonts w:ascii="Arial" w:cs="Arial" w:eastAsia="Arial" w:hAnsi="Arial"/>
          <w:sz w:val="46"/>
          <w:szCs w:val="46"/>
          <w:b w:val="1"/>
          <w:bCs w:val="1"/>
          <w:color w:val="auto"/>
        </w:rPr>
        <w:t>PACIFIC BIOSCIENCES OF CALIFORNIA, INC.</w:t>
      </w:r>
    </w:p>
    <w:p>
      <w:pPr>
        <w:spacing w:after="0" w:line="45"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249555</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501"/>
          </w:cols>
          <w:pgMar w:left="299" w:top="239" w:right="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1601"/>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001-34899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16-1590339</w:t>
      </w:r>
    </w:p>
    <w:p>
      <w:pPr>
        <w:spacing w:after="0" w:line="30" w:lineRule="exact"/>
        <w:rPr>
          <w:sz w:val="24"/>
          <w:szCs w:val="24"/>
          <w:color w:val="auto"/>
        </w:rPr>
      </w:pPr>
    </w:p>
    <w:p>
      <w:pPr>
        <w:sectPr>
          <w:pgSz w:w="12240" w:h="15840" w:orient="portrait"/>
          <w:cols w:equalWidth="0" w:num="3">
            <w:col w:w="4801" w:space="720"/>
            <w:col w:w="3080" w:space="720"/>
            <w:col w:w="2180"/>
          </w:cols>
          <w:pgMar w:left="299" w:top="239" w:right="440" w:bottom="1440" w:gutter="0" w:footer="0" w:header="0"/>
          <w:type w:val="continuous"/>
        </w:sectPr>
      </w:pP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incorporation)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148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5"/>
          <w:szCs w:val="15"/>
          <w:b w:val="1"/>
          <w:bCs w:val="1"/>
          <w:color w:val="auto"/>
        </w:rPr>
        <w:t>(I.R.S. Employer</w:t>
      </w:r>
    </w:p>
    <w:p>
      <w:pPr>
        <w:jc w:val="center"/>
        <w:ind w:right="980"/>
        <w:spacing w:after="0"/>
        <w:rPr>
          <w:sz w:val="20"/>
          <w:szCs w:val="20"/>
          <w:color w:val="auto"/>
        </w:rPr>
      </w:pPr>
      <w:r>
        <w:rPr>
          <w:rFonts w:ascii="Arial" w:cs="Arial" w:eastAsia="Arial" w:hAnsi="Arial"/>
          <w:sz w:val="14"/>
          <w:szCs w:val="14"/>
          <w:b w:val="1"/>
          <w:bCs w:val="1"/>
          <w:color w:val="auto"/>
        </w:rPr>
        <w:t>Identification Number)</w:t>
      </w:r>
    </w:p>
    <w:p>
      <w:pPr>
        <w:spacing w:after="0" w:line="211" w:lineRule="exact"/>
        <w:rPr>
          <w:sz w:val="24"/>
          <w:szCs w:val="24"/>
          <w:color w:val="auto"/>
        </w:rPr>
      </w:pPr>
    </w:p>
    <w:p>
      <w:pPr>
        <w:sectPr>
          <w:pgSz w:w="12240" w:h="15840" w:orient="portrait"/>
          <w:cols w:equalWidth="0" w:num="3">
            <w:col w:w="4341" w:space="720"/>
            <w:col w:w="3240" w:space="720"/>
            <w:col w:w="2480"/>
          </w:cols>
          <w:pgMar w:left="299" w:top="239" w:right="440" w:bottom="1440" w:gutter="0" w:footer="0" w:header="0"/>
          <w:type w:val="continuous"/>
        </w:sectPr>
      </w:pPr>
    </w:p>
    <w:p>
      <w:pPr>
        <w:spacing w:after="0" w:line="14" w:lineRule="exact"/>
        <w:rPr>
          <w:sz w:val="24"/>
          <w:szCs w:val="24"/>
          <w:color w:val="auto"/>
        </w:rPr>
      </w:pPr>
    </w:p>
    <w:p>
      <w:pPr>
        <w:jc w:val="center"/>
        <w:ind w:right="2019"/>
        <w:spacing w:after="0"/>
        <w:rPr>
          <w:sz w:val="20"/>
          <w:szCs w:val="20"/>
          <w:color w:val="auto"/>
        </w:rPr>
      </w:pPr>
      <w:r>
        <w:rPr>
          <w:rFonts w:ascii="Arial" w:cs="Arial" w:eastAsia="Arial" w:hAnsi="Arial"/>
          <w:sz w:val="19"/>
          <w:szCs w:val="19"/>
          <w:b w:val="1"/>
          <w:bCs w:val="1"/>
          <w:color w:val="auto"/>
        </w:rPr>
        <w:t>1305 O’Brien Drive</w:t>
      </w:r>
    </w:p>
    <w:p>
      <w:pPr>
        <w:spacing w:after="0" w:line="29" w:lineRule="exact"/>
        <w:rPr>
          <w:sz w:val="24"/>
          <w:szCs w:val="24"/>
          <w:color w:val="auto"/>
        </w:rPr>
      </w:pPr>
    </w:p>
    <w:p>
      <w:pPr>
        <w:jc w:val="center"/>
        <w:ind w:right="2019"/>
        <w:spacing w:after="0"/>
        <w:rPr>
          <w:sz w:val="20"/>
          <w:szCs w:val="20"/>
          <w:color w:val="auto"/>
        </w:rPr>
      </w:pPr>
      <w:r>
        <w:rPr>
          <w:rFonts w:ascii="Arial" w:cs="Arial" w:eastAsia="Arial" w:hAnsi="Arial"/>
          <w:sz w:val="18"/>
          <w:szCs w:val="18"/>
          <w:b w:val="1"/>
          <w:bCs w:val="1"/>
          <w:color w:val="auto"/>
        </w:rPr>
        <w:t>Menlo Park, California</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94025</w:t>
      </w:r>
    </w:p>
    <w:p>
      <w:pPr>
        <w:spacing w:after="0" w:line="62" w:lineRule="exact"/>
        <w:rPr>
          <w:sz w:val="24"/>
          <w:szCs w:val="24"/>
          <w:color w:val="auto"/>
        </w:rPr>
      </w:pPr>
    </w:p>
    <w:p>
      <w:pPr>
        <w:sectPr>
          <w:pgSz w:w="12240" w:h="15840" w:orient="portrait"/>
          <w:cols w:equalWidth="0" w:num="2">
            <w:col w:w="7841" w:space="720"/>
            <w:col w:w="2940"/>
          </w:cols>
          <w:pgMar w:left="299" w:top="239" w:right="440" w:bottom="1440" w:gutter="0" w:footer="0" w:header="0"/>
          <w:type w:val="continuous"/>
        </w:sectPr>
      </w:pPr>
    </w:p>
    <w:p>
      <w:pPr>
        <w:ind w:left="1661"/>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2240" w:h="15840" w:orient="portrait"/>
          <w:cols w:equalWidth="0" w:num="2">
            <w:col w:w="7721" w:space="720"/>
            <w:col w:w="3060"/>
          </w:cols>
          <w:pgMar w:left="299" w:top="239" w:right="440" w:bottom="1440" w:gutter="0" w:footer="0" w:header="0"/>
          <w:type w:val="continuous"/>
        </w:sectPr>
      </w:pP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(650) 521-8000</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3"/>
          <w:szCs w:val="13"/>
          <w:b w:val="1"/>
          <w:bCs w:val="1"/>
          <w:color w:val="auto"/>
        </w:rPr>
        <w:t>(Registrant’s telephone number, including area code)</w:t>
      </w:r>
    </w:p>
    <w:p>
      <w:pPr>
        <w:sectPr>
          <w:pgSz w:w="12240" w:h="15840" w:orient="portrait"/>
          <w:cols w:equalWidth="0" w:num="1">
            <w:col w:w="11501"/>
          </w:cols>
          <w:pgMar w:left="299" w:top="239" w:right="440" w:bottom="1440" w:gutter="0" w:footer="0" w:header="0"/>
          <w:type w:val="continuous"/>
        </w:sectPr>
      </w:pPr>
    </w:p>
    <w:p>
      <w:pPr>
        <w:spacing w:after="0" w:line="334"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249555</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1" w:right="36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38" w:lineRule="exact"/>
        <w:rPr>
          <w:sz w:val="24"/>
          <w:szCs w:val="24"/>
          <w:color w:val="auto"/>
        </w:rPr>
      </w:pPr>
    </w:p>
    <w:p>
      <w:pPr>
        <w:ind w:left="1"/>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Emerging growth company</w:t>
      </w:r>
    </w:p>
    <w:p>
      <w:pPr>
        <w:spacing w:after="0" w:line="138" w:lineRule="exact"/>
        <w:rPr>
          <w:rFonts w:ascii="MS PGothic" w:cs="MS PGothic" w:eastAsia="MS PGothic" w:hAnsi="MS PGothic"/>
          <w:sz w:val="19"/>
          <w:szCs w:val="19"/>
          <w:color w:val="auto"/>
        </w:rPr>
      </w:pPr>
    </w:p>
    <w:p>
      <w:pPr>
        <w:ind w:left="461" w:right="40" w:hanging="461"/>
        <w:spacing w:after="0" w:line="275" w:lineRule="auto"/>
        <w:tabs>
          <w:tab w:leader="none" w:pos="461"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389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7389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501"/>
          </w:cols>
          <w:pgMar w:left="299" w:top="239" w:right="440" w:bottom="1440" w:gutter="0" w:footer="0" w:header="0"/>
          <w:type w:val="continuous"/>
        </w:sectPr>
      </w:pPr>
    </w:p>
    <w:bookmarkStart w:id="1" w:name="page2"/>
    <w:bookmarkEnd w:id="1"/>
    <w:p>
      <w:pPr>
        <w:ind w:left="1040" w:right="80" w:hanging="1040"/>
        <w:spacing w:after="0" w:line="282" w:lineRule="auto"/>
        <w:tabs>
          <w:tab w:leader="none" w:pos="1020" w:val="left"/>
        </w:tabs>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w:t>
      </w:r>
    </w:p>
    <w:p>
      <w:pPr>
        <w:spacing w:after="0" w:line="130" w:lineRule="exact"/>
        <w:rPr>
          <w:sz w:val="20"/>
          <w:szCs w:val="20"/>
          <w:color w:val="auto"/>
        </w:rPr>
      </w:pPr>
    </w:p>
    <w:p>
      <w:pPr>
        <w:ind w:right="280" w:firstLine="465"/>
        <w:spacing w:after="0" w:line="259" w:lineRule="auto"/>
        <w:rPr>
          <w:sz w:val="20"/>
          <w:szCs w:val="20"/>
          <w:color w:val="auto"/>
        </w:rPr>
      </w:pPr>
      <w:r>
        <w:rPr>
          <w:rFonts w:ascii="Arial" w:cs="Arial" w:eastAsia="Arial" w:hAnsi="Arial"/>
          <w:sz w:val="19"/>
          <w:szCs w:val="19"/>
          <w:color w:val="auto"/>
        </w:rPr>
        <w:t>As disclosed by Pacific Biosciences of California, Inc. (the “</w:t>
      </w:r>
      <w:r>
        <w:rPr>
          <w:rFonts w:ascii="Arial" w:cs="Arial" w:eastAsia="Arial" w:hAnsi="Arial"/>
          <w:sz w:val="19"/>
          <w:szCs w:val="19"/>
          <w:u w:val="single" w:color="auto"/>
          <w:color w:val="auto"/>
        </w:rPr>
        <w:t>Company</w:t>
      </w:r>
      <w:r>
        <w:rPr>
          <w:rFonts w:ascii="Arial" w:cs="Arial" w:eastAsia="Arial" w:hAnsi="Arial"/>
          <w:sz w:val="19"/>
          <w:szCs w:val="19"/>
          <w:color w:val="auto"/>
        </w:rPr>
        <w:t>”) in the definitive proxy statement on Schedule 14A filed with the Securities and Exchange Commission on December 18, 2018,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expected to reinstate base salaries and target bonus opportunities of Michael Hunkapiller, Ph.D., the Company’s Chief Executive Officer, and Susan K. Barnes, the Company’s Chief Financial Officer, as part of its annual executive compensation review process.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Increases in Base Salaries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February 15, 2019, the following annual base salary increases for Dr. Hunkapiller and Ms. Barnes were implemented, effective January 1,</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2019:</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194"/>
        </w:trPr>
        <w:tc>
          <w:tcPr>
            <w:tcW w:w="57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1940" w:type="dxa"/>
            <w:vAlign w:val="bottom"/>
            <w:gridSpan w:val="3"/>
          </w:tcPr>
          <w:p>
            <w:pPr>
              <w:spacing w:after="0"/>
              <w:rPr>
                <w:sz w:val="20"/>
                <w:szCs w:val="20"/>
                <w:color w:val="auto"/>
              </w:rPr>
            </w:pPr>
            <w:r>
              <w:rPr>
                <w:rFonts w:ascii="Arial" w:cs="Arial" w:eastAsia="Arial" w:hAnsi="Arial"/>
                <w:sz w:val="15"/>
                <w:szCs w:val="15"/>
                <w:b w:val="1"/>
                <w:bCs w:val="1"/>
                <w:color w:val="auto"/>
              </w:rPr>
              <w:t>2018 Base Salary</w:t>
            </w:r>
          </w:p>
        </w:tc>
        <w:tc>
          <w:tcPr>
            <w:tcW w:w="1180" w:type="dxa"/>
            <w:vAlign w:val="bottom"/>
            <w:gridSpan w:val="3"/>
          </w:tcPr>
          <w:p>
            <w:pPr>
              <w:ind w:left="20"/>
              <w:spacing w:after="0"/>
              <w:rPr>
                <w:sz w:val="20"/>
                <w:szCs w:val="20"/>
                <w:color w:val="auto"/>
              </w:rPr>
            </w:pPr>
            <w:r>
              <w:rPr>
                <w:rFonts w:ascii="Arial" w:cs="Arial" w:eastAsia="Arial" w:hAnsi="Arial"/>
                <w:sz w:val="15"/>
                <w:szCs w:val="15"/>
                <w:b w:val="1"/>
                <w:bCs w:val="1"/>
                <w:color w:val="auto"/>
                <w:w w:val="92"/>
              </w:rPr>
              <w:t>2019 Base Salary</w:t>
            </w:r>
          </w:p>
        </w:tc>
      </w:tr>
      <w:tr>
        <w:trPr>
          <w:trHeight w:val="222"/>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Michael Hunkapiller, Ph.D.</w:t>
            </w:r>
          </w:p>
        </w:tc>
        <w:tc>
          <w:tcPr>
            <w:tcW w:w="7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9"/>
                <w:szCs w:val="19"/>
                <w:color w:val="auto"/>
                <w:w w:val="81"/>
              </w:rPr>
              <w:t>1.00</w:t>
            </w:r>
          </w:p>
        </w:tc>
        <w:tc>
          <w:tcPr>
            <w:tcW w:w="8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582,900</w:t>
            </w:r>
          </w:p>
        </w:tc>
        <w:tc>
          <w:tcPr>
            <w:tcW w:w="60" w:type="dxa"/>
            <w:vAlign w:val="bottom"/>
            <w:tcBorders>
              <w:top w:val="single" w:sz="8" w:color="CCEEFF"/>
            </w:tcBorders>
            <w:shd w:val="clear" w:color="auto" w:fill="CCEEFF"/>
          </w:tcPr>
          <w:p>
            <w:pPr>
              <w:spacing w:after="0"/>
              <w:rPr>
                <w:sz w:val="19"/>
                <w:szCs w:val="19"/>
                <w:color w:val="auto"/>
              </w:rPr>
            </w:pPr>
          </w:p>
        </w:tc>
      </w:tr>
      <w:tr>
        <w:trPr>
          <w:trHeight w:val="241"/>
        </w:trPr>
        <w:tc>
          <w:tcPr>
            <w:tcW w:w="5720" w:type="dxa"/>
            <w:vAlign w:val="bottom"/>
            <w:gridSpan w:val="2"/>
          </w:tcPr>
          <w:p>
            <w:pPr>
              <w:spacing w:after="0"/>
              <w:rPr>
                <w:sz w:val="20"/>
                <w:szCs w:val="20"/>
                <w:color w:val="auto"/>
              </w:rPr>
            </w:pPr>
            <w:r>
              <w:rPr>
                <w:rFonts w:ascii="Arial" w:cs="Arial" w:eastAsia="Arial" w:hAnsi="Arial"/>
                <w:sz w:val="19"/>
                <w:szCs w:val="19"/>
                <w:color w:val="auto"/>
              </w:rPr>
              <w:t>Susan K. Barnes</w:t>
            </w:r>
          </w:p>
        </w:tc>
        <w:tc>
          <w:tcPr>
            <w:tcW w:w="440" w:type="dxa"/>
            <w:vAlign w:val="bottom"/>
          </w:tcPr>
          <w:p>
            <w:pPr>
              <w:spacing w:after="0"/>
              <w:rPr>
                <w:sz w:val="20"/>
                <w:szCs w:val="20"/>
                <w:color w:val="auto"/>
              </w:rPr>
            </w:pPr>
            <w:r>
              <w:rPr>
                <w:rFonts w:ascii="Arial" w:cs="Arial" w:eastAsia="Arial" w:hAnsi="Arial"/>
                <w:sz w:val="19"/>
                <w:szCs w:val="19"/>
                <w:color w:val="auto"/>
              </w:rPr>
              <w:t>$</w:t>
            </w:r>
          </w:p>
        </w:tc>
        <w:tc>
          <w:tcPr>
            <w:tcW w:w="1500" w:type="dxa"/>
            <w:vAlign w:val="bottom"/>
            <w:gridSpan w:val="2"/>
          </w:tcPr>
          <w:p>
            <w:pPr>
              <w:ind w:left="340"/>
              <w:spacing w:after="0"/>
              <w:rPr>
                <w:sz w:val="20"/>
                <w:szCs w:val="20"/>
                <w:color w:val="auto"/>
              </w:rPr>
            </w:pPr>
            <w:r>
              <w:rPr>
                <w:rFonts w:ascii="Arial" w:cs="Arial" w:eastAsia="Arial" w:hAnsi="Arial"/>
                <w:sz w:val="19"/>
                <w:szCs w:val="19"/>
                <w:color w:val="auto"/>
              </w:rPr>
              <w:t>1.00</w:t>
            </w:r>
          </w:p>
        </w:tc>
        <w:tc>
          <w:tcPr>
            <w:tcW w:w="300" w:type="dxa"/>
            <w:vAlign w:val="bottom"/>
          </w:tcPr>
          <w:p>
            <w:pPr>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401,500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2019 Performance Bonuses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annual base salary increases noted above, for the Company’s 2019 fiscal year, Dr. Hunkapiller’s annual target bonus opportunity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was set at 100% of his base salary and Ms. Barnes’ annual target bonus opportunity was set at 65% of her base salary. Consistent with prior years,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Dr. Hunkapiller and Ms. Barnes did not participate in the Company’s 2018 bonus plan. The 2019 bonuses for both Dr. Hunkapiller and Ms. Barnes will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be based upon the achievement of seven categories of performance objectives, each with separate, varied weightings ranging between 6% and 38%</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(inclusive) per category, that consist of corporate operational, product performance and financial metrics, and that are aggressive, but attainable, and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align the compensation of Dr. Hunkapiller and Ms. Barnes with the priorities for the Company.</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2019 RSU Grants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on February 15, 2019, the Company granted a restricted stock unit award to each of Dr. Hunkapiller and Ms. Barnes covering 38,750 shares of the Company’s common stock and 21,250 shares of the Company’s common stock, respectively (the “</w:t>
      </w:r>
      <w:r>
        <w:rPr>
          <w:rFonts w:ascii="Arial" w:cs="Arial" w:eastAsia="Arial" w:hAnsi="Arial"/>
          <w:sz w:val="18"/>
          <w:szCs w:val="18"/>
          <w:u w:val="single" w:color="auto"/>
          <w:color w:val="auto"/>
        </w:rPr>
        <w:t>RSU Awards</w:t>
      </w:r>
      <w:r>
        <w:rPr>
          <w:rFonts w:ascii="Arial" w:cs="Arial" w:eastAsia="Arial" w:hAnsi="Arial"/>
          <w:sz w:val="18"/>
          <w:szCs w:val="18"/>
          <w:color w:val="auto"/>
        </w:rPr>
        <w:t>”). The RSU Awards will be scheduled to vest on the earlier of the (i) one-year anniversary of the date of grant of the RSU Awards and (ii) the completion of the proposed acquisition of the Company by Illumina, Inc., subject to the recipient’s continued service with the Company through the vesting date.</w:t>
      </w:r>
    </w:p>
    <w:p>
      <w:pPr>
        <w:sectPr>
          <w:pgSz w:w="12240" w:h="15840" w:orient="portrait"/>
          <w:cols w:equalWidth="0" w:num="1">
            <w:col w:w="11640"/>
          </w:cols>
          <w:pgMar w:left="300" w:top="136" w:right="30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w:t>
      </w:r>
    </w:p>
    <w:p>
      <w:pPr>
        <w:spacing w:after="0" w:line="244" w:lineRule="exact"/>
        <w:rPr>
          <w:sz w:val="20"/>
          <w:szCs w:val="20"/>
          <w:color w:val="auto"/>
        </w:rPr>
      </w:pPr>
    </w:p>
    <w:p>
      <w:pPr>
        <w:ind w:firstLine="465"/>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spacing w:after="0"/>
        <w:tabs>
          <w:tab w:leader="none" w:pos="5320" w:val="left"/>
        </w:tabs>
        <w:rPr>
          <w:sz w:val="20"/>
          <w:szCs w:val="20"/>
          <w:color w:val="auto"/>
        </w:rPr>
      </w:pPr>
      <w:r>
        <w:rPr>
          <w:rFonts w:ascii="Arial" w:cs="Arial" w:eastAsia="Arial" w:hAnsi="Arial"/>
          <w:sz w:val="19"/>
          <w:szCs w:val="19"/>
          <w:color w:val="auto"/>
        </w:rPr>
        <w:t>Date: February 19, 2019</w:t>
      </w:r>
      <w:r>
        <w:rPr>
          <w:sz w:val="20"/>
          <w:szCs w:val="20"/>
          <w:color w:val="auto"/>
        </w:rPr>
        <w:tab/>
      </w:r>
      <w:r>
        <w:rPr>
          <w:rFonts w:ascii="Arial" w:cs="Arial" w:eastAsia="Arial" w:hAnsi="Arial"/>
          <w:sz w:val="18"/>
          <w:szCs w:val="18"/>
          <w:color w:val="auto"/>
        </w:rPr>
        <w:t>PACIFIC BIOSCIENCES OF CALIFORNIA, INC.</w:t>
      </w:r>
    </w:p>
    <w:p>
      <w:pPr>
        <w:spacing w:after="0" w:line="238"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Stephen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15240</wp:posOffset>
            </wp:positionV>
            <wp:extent cx="3721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18" w:lineRule="exact"/>
        <w:rPr>
          <w:sz w:val="20"/>
          <w:szCs w:val="20"/>
          <w:color w:val="auto"/>
        </w:rPr>
      </w:pPr>
    </w:p>
    <w:p>
      <w:pPr>
        <w:ind w:left="5780"/>
        <w:spacing w:after="0"/>
        <w:rPr>
          <w:sz w:val="20"/>
          <w:szCs w:val="20"/>
          <w:color w:val="auto"/>
        </w:rPr>
      </w:pPr>
      <w:r>
        <w:rPr>
          <w:rFonts w:ascii="Arial" w:cs="Arial" w:eastAsia="Arial" w:hAnsi="Arial"/>
          <w:sz w:val="19"/>
          <w:szCs w:val="19"/>
          <w:color w:val="auto"/>
        </w:rPr>
        <w:t>Name: Stephen M. Moore</w:t>
      </w:r>
    </w:p>
    <w:p>
      <w:pPr>
        <w:spacing w:after="0" w:line="23" w:lineRule="exact"/>
        <w:rPr>
          <w:sz w:val="20"/>
          <w:szCs w:val="20"/>
          <w:color w:val="auto"/>
        </w:rPr>
      </w:pPr>
    </w:p>
    <w:p>
      <w:pPr>
        <w:ind w:left="5780"/>
        <w:spacing w:after="0"/>
        <w:tabs>
          <w:tab w:leader="none" w:pos="6380" w:val="left"/>
        </w:tabs>
        <w:rPr>
          <w:sz w:val="20"/>
          <w:szCs w:val="20"/>
          <w:color w:val="auto"/>
        </w:rPr>
      </w:pPr>
      <w:r>
        <w:rPr>
          <w:rFonts w:ascii="Arial" w:cs="Arial" w:eastAsia="Arial" w:hAnsi="Arial"/>
          <w:sz w:val="19"/>
          <w:szCs w:val="19"/>
          <w:color w:val="auto"/>
        </w:rPr>
        <w:t>Title:</w:t>
        <w:tab/>
        <w:t>Vice President,</w:t>
      </w:r>
    </w:p>
    <w:p>
      <w:pPr>
        <w:spacing w:after="0" w:line="10"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General Counsel and</w:t>
      </w:r>
    </w:p>
    <w:p>
      <w:pPr>
        <w:spacing w:after="0" w:line="10"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Corporate Secretary</w:t>
      </w:r>
    </w:p>
    <w:sectPr>
      <w:pgSz w:w="12240" w:h="15840" w:orient="portrait"/>
      <w:cols w:equalWidth="0" w:num="1">
        <w:col w:w="11320"/>
      </w:cols>
      <w:pgMar w:left="300" w:top="136" w:right="6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2019-12-15T10:40:56Z</dcterms:created>
  <dcterms:modified xsi:type="dcterms:W3CDTF">2019-12-15T10:40:56Z</dcterms:modified>
</cp:coreProperties>
</file>