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20" w:right="1660" w:hanging="3812"/>
        <w:spacing w:after="0" w:line="415" w:lineRule="auto"/>
        <w:tabs>
          <w:tab w:leader="none" w:pos="45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317"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120015</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Pacific Biosciences of California,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107315</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40" w:type="dxa"/>
            <w:vAlign w:val="bottom"/>
          </w:tcPr>
          <w:p>
            <w:pPr>
              <w:jc w:val="center"/>
              <w:ind w:left="1708"/>
              <w:spacing w:after="0"/>
              <w:rPr>
                <w:sz w:val="20"/>
                <w:szCs w:val="20"/>
                <w:color w:val="auto"/>
              </w:rPr>
            </w:pPr>
            <w:r>
              <w:rPr>
                <w:rFonts w:ascii="Arial" w:cs="Arial" w:eastAsia="Arial" w:hAnsi="Arial"/>
                <w:sz w:val="14"/>
                <w:szCs w:val="14"/>
                <w:b w:val="1"/>
                <w:bCs w:val="1"/>
                <w:color w:val="auto"/>
                <w:w w:val="94"/>
              </w:rPr>
              <w:t>Delaware</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408"/>
              <w:spacing w:after="0"/>
              <w:rPr>
                <w:sz w:val="20"/>
                <w:szCs w:val="20"/>
                <w:color w:val="auto"/>
              </w:rPr>
            </w:pPr>
            <w:r>
              <w:rPr>
                <w:rFonts w:ascii="Arial" w:cs="Arial" w:eastAsia="Arial" w:hAnsi="Arial"/>
                <w:sz w:val="14"/>
                <w:szCs w:val="14"/>
                <w:b w:val="1"/>
                <w:bCs w:val="1"/>
                <w:color w:val="auto"/>
              </w:rPr>
              <w:t>16-1590339</w:t>
            </w:r>
          </w:p>
        </w:tc>
      </w:tr>
      <w:tr>
        <w:trPr>
          <w:trHeight w:val="148"/>
        </w:trPr>
        <w:tc>
          <w:tcPr>
            <w:tcW w:w="3840" w:type="dxa"/>
            <w:vAlign w:val="bottom"/>
          </w:tcPr>
          <w:p>
            <w:pPr>
              <w:jc w:val="center"/>
              <w:ind w:left="17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jc w:val="center"/>
              <w:ind w:right="17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6"/>
              </w:rPr>
              <w:t>1305 O’Brien Drive</w:t>
            </w: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62"/>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7"/>
              </w:rPr>
              <w:t>Menlo Park, CA</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568"/>
              <w:spacing w:after="0"/>
              <w:rPr>
                <w:sz w:val="20"/>
                <w:szCs w:val="20"/>
                <w:color w:val="auto"/>
              </w:rPr>
            </w:pPr>
            <w:r>
              <w:rPr>
                <w:rFonts w:ascii="Arial" w:cs="Arial" w:eastAsia="Arial" w:hAnsi="Arial"/>
                <w:sz w:val="14"/>
                <w:szCs w:val="14"/>
                <w:b w:val="1"/>
                <w:bCs w:val="1"/>
                <w:color w:val="auto"/>
              </w:rPr>
              <w:t>94025</w:t>
            </w:r>
          </w:p>
        </w:tc>
      </w:tr>
      <w:tr>
        <w:trPr>
          <w:trHeight w:val="186"/>
        </w:trPr>
        <w:tc>
          <w:tcPr>
            <w:tcW w:w="740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40" w:type="dxa"/>
            <w:vAlign w:val="bottom"/>
          </w:tcPr>
          <w:p>
            <w:pPr>
              <w:spacing w:after="0"/>
              <w:rPr>
                <w:sz w:val="23"/>
                <w:szCs w:val="23"/>
                <w:color w:val="auto"/>
              </w:rPr>
            </w:pPr>
          </w:p>
        </w:tc>
        <w:tc>
          <w:tcPr>
            <w:tcW w:w="32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(650) 521-8000</w:t>
            </w:r>
          </w:p>
        </w:tc>
        <w:tc>
          <w:tcPr>
            <w:tcW w:w="360" w:type="dxa"/>
            <w:vAlign w:val="bottom"/>
          </w:tcPr>
          <w:p>
            <w:pPr>
              <w:spacing w:after="0"/>
              <w:rPr>
                <w:sz w:val="23"/>
                <w:szCs w:val="23"/>
                <w:color w:val="auto"/>
              </w:rPr>
            </w:pPr>
          </w:p>
        </w:tc>
        <w:tc>
          <w:tcPr>
            <w:tcW w:w="3860" w:type="dxa"/>
            <w:vAlign w:val="bottom"/>
          </w:tcPr>
          <w:p>
            <w:pPr>
              <w:spacing w:after="0"/>
              <w:rPr>
                <w:sz w:val="23"/>
                <w:szCs w:val="23"/>
                <w:color w:val="auto"/>
              </w:rPr>
            </w:pPr>
          </w:p>
        </w:tc>
      </w:tr>
      <w:tr>
        <w:trPr>
          <w:trHeight w:val="186"/>
        </w:trPr>
        <w:tc>
          <w:tcPr>
            <w:tcW w:w="3840" w:type="dxa"/>
            <w:vAlign w:val="bottom"/>
          </w:tcPr>
          <w:p>
            <w:pPr>
              <w:spacing w:after="0"/>
              <w:rPr>
                <w:sz w:val="16"/>
                <w:szCs w:val="16"/>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60" w:type="dxa"/>
            <w:vAlign w:val="bottom"/>
          </w:tcPr>
          <w:p>
            <w:pPr>
              <w:spacing w:after="0"/>
              <w:rPr>
                <w:sz w:val="16"/>
                <w:szCs w:val="16"/>
                <w:color w:val="auto"/>
              </w:rPr>
            </w:pPr>
          </w:p>
        </w:tc>
      </w:tr>
      <w:tr>
        <w:trPr>
          <w:trHeight w:val="147"/>
        </w:trPr>
        <w:tc>
          <w:tcPr>
            <w:tcW w:w="38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r>
      <w:tr>
        <w:trPr>
          <w:trHeight w:val="265"/>
        </w:trPr>
        <w:tc>
          <w:tcPr>
            <w:tcW w:w="3840" w:type="dxa"/>
            <w:vAlign w:val="bottom"/>
          </w:tcPr>
          <w:p>
            <w:pPr>
              <w:spacing w:after="0"/>
              <w:rPr>
                <w:sz w:val="23"/>
                <w:szCs w:val="23"/>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60" w:type="dxa"/>
            <w:vAlign w:val="bottom"/>
          </w:tcPr>
          <w:p>
            <w:pPr>
              <w:spacing w:after="0"/>
              <w:rPr>
                <w:sz w:val="23"/>
                <w:szCs w:val="23"/>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179"/>
        </w:trPr>
        <w:tc>
          <w:tcPr>
            <w:tcW w:w="384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3840" w:type="dxa"/>
            <w:vAlign w:val="bottom"/>
            <w:tcBorders>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PACB</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8"/>
              </w:rPr>
              <w:t>The NASDAQ Stock Market LLC</w:t>
            </w:r>
          </w:p>
        </w:tc>
      </w:tr>
    </w:tbl>
    <w:p>
      <w:pPr>
        <w:spacing w:after="0" w:line="292" w:lineRule="exact"/>
        <w:rPr>
          <w:sz w:val="24"/>
          <w:szCs w:val="24"/>
          <w:color w:val="auto"/>
        </w:rPr>
      </w:pPr>
    </w:p>
    <w:p>
      <w:pPr>
        <w:ind w:right="200" w:firstLine="4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98" w:lineRule="exact"/>
        <w:rPr>
          <w:sz w:val="24"/>
          <w:szCs w:val="24"/>
          <w:color w:val="auto"/>
        </w:rPr>
      </w:pPr>
    </w:p>
    <w:p>
      <w:pPr>
        <w:ind w:right="180" w:firstLine="4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20" w:lineRule="exact"/>
        <w:rPr>
          <w:sz w:val="24"/>
          <w:szCs w:val="24"/>
          <w:color w:val="auto"/>
        </w:rPr>
      </w:pPr>
    </w:p>
    <w:p>
      <w:pPr>
        <w:ind w:right="4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2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660"/>
              <w:spacing w:after="0"/>
              <w:rPr>
                <w:sz w:val="20"/>
                <w:szCs w:val="20"/>
                <w:color w:val="auto"/>
              </w:rPr>
            </w:pPr>
            <w:r>
              <w:rPr>
                <w:rFonts w:ascii="Arial" w:cs="Arial" w:eastAsia="Arial" w:hAnsi="Arial"/>
                <w:sz w:val="14"/>
                <w:szCs w:val="14"/>
                <w:color w:val="auto"/>
              </w:rPr>
              <w:t>o</w:t>
            </w:r>
          </w:p>
        </w:tc>
        <w:tc>
          <w:tcPr>
            <w:tcW w:w="478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780"/>
              <w:spacing w:after="0"/>
              <w:rPr>
                <w:sz w:val="20"/>
                <w:szCs w:val="20"/>
                <w:color w:val="auto"/>
              </w:rPr>
            </w:pPr>
            <w:r>
              <w:rPr>
                <w:rFonts w:ascii="Arial" w:cs="Arial" w:eastAsia="Arial" w:hAnsi="Arial"/>
                <w:sz w:val="18"/>
                <w:szCs w:val="18"/>
                <w:color w:val="auto"/>
              </w:rPr>
              <w:t>o</w:t>
            </w:r>
          </w:p>
        </w:tc>
      </w:tr>
      <w:tr>
        <w:trPr>
          <w:trHeight w:val="338"/>
        </w:trPr>
        <w:tc>
          <w:tcPr>
            <w:tcW w:w="22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660"/>
              <w:spacing w:after="0"/>
              <w:rPr>
                <w:sz w:val="20"/>
                <w:szCs w:val="20"/>
                <w:color w:val="auto"/>
              </w:rPr>
            </w:pPr>
            <w:r>
              <w:rPr>
                <w:rFonts w:ascii="Arial" w:cs="Arial" w:eastAsia="Arial" w:hAnsi="Arial"/>
                <w:sz w:val="14"/>
                <w:szCs w:val="14"/>
                <w:color w:val="auto"/>
              </w:rPr>
              <w:t>T</w:t>
            </w:r>
          </w:p>
        </w:tc>
        <w:tc>
          <w:tcPr>
            <w:tcW w:w="478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780"/>
              <w:spacing w:after="0"/>
              <w:rPr>
                <w:sz w:val="20"/>
                <w:szCs w:val="20"/>
                <w:color w:val="auto"/>
              </w:rPr>
            </w:pPr>
            <w:r>
              <w:rPr>
                <w:rFonts w:ascii="Arial" w:cs="Arial" w:eastAsia="Arial" w:hAnsi="Arial"/>
                <w:sz w:val="14"/>
                <w:szCs w:val="14"/>
                <w:color w:val="auto"/>
              </w:rPr>
              <w:t>T</w:t>
            </w:r>
          </w:p>
        </w:tc>
      </w:tr>
      <w:tr>
        <w:trPr>
          <w:trHeight w:val="270"/>
        </w:trPr>
        <w:tc>
          <w:tcPr>
            <w:tcW w:w="224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3180" w:type="dxa"/>
            <w:vAlign w:val="bottom"/>
          </w:tcPr>
          <w:p>
            <w:pPr>
              <w:ind w:left="660"/>
              <w:spacing w:after="0"/>
              <w:rPr>
                <w:sz w:val="20"/>
                <w:szCs w:val="20"/>
                <w:color w:val="auto"/>
              </w:rPr>
            </w:pPr>
            <w:r>
              <w:rPr>
                <w:rFonts w:ascii="Arial" w:cs="Arial" w:eastAsia="Arial" w:hAnsi="Arial"/>
                <w:sz w:val="14"/>
                <w:szCs w:val="14"/>
                <w:color w:val="auto"/>
              </w:rPr>
              <w:t>o</w:t>
            </w:r>
          </w:p>
        </w:tc>
        <w:tc>
          <w:tcPr>
            <w:tcW w:w="47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86"/>
        </w:trPr>
        <w:tc>
          <w:tcPr>
            <w:tcW w:w="22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firstLine="4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0"/>
          <w:szCs w:val="20"/>
          <w:color w:val="auto"/>
        </w:rPr>
      </w:pPr>
    </w:p>
    <w:p>
      <w:pPr>
        <w:ind w:left="440" w:right="3120"/>
        <w:spacing w:after="0" w:line="49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T Number of shares outstanding of the issuer’s common stock as of April 30, 2021: 198,372,941.</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20" w:type="dxa"/>
            <w:vAlign w:val="bottom"/>
            <w:gridSpan w:val="2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8"/>
        </w:trPr>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00" w:type="dxa"/>
            <w:vAlign w:val="bottom"/>
            <w:gridSpan w:val="10"/>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rPr>
              <w:t>PART I. FINANCIAL INFORMATION</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29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Item 1. Financial Statements (unaudited):</w:t>
              </w:r>
            </w:hyperlink>
          </w:p>
        </w:tc>
        <w:tc>
          <w:tcPr>
            <w:tcW w:w="20" w:type="dxa"/>
            <w:vAlign w:val="bottom"/>
            <w:tcBorders>
              <w:bottom w:val="single" w:sz="8" w:color="0000EE"/>
            </w:tcBorders>
          </w:tcPr>
          <w:p>
            <w:pPr>
              <w:spacing w:after="0"/>
              <w:rPr>
                <w:sz w:val="24"/>
                <w:szCs w:val="24"/>
                <w:color w:val="auto"/>
              </w:rPr>
            </w:pPr>
          </w:p>
        </w:tc>
        <w:tc>
          <w:tcPr>
            <w:tcW w:w="7200" w:type="dxa"/>
            <w:vAlign w:val="bottom"/>
            <w:gridSpan w:val="11"/>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March 31, 2021 and December 31, 2020</w:t>
              </w:r>
            </w:hyperlink>
          </w:p>
        </w:tc>
        <w:tc>
          <w:tcPr>
            <w:tcW w:w="20" w:type="dxa"/>
            <w:vAlign w:val="bottom"/>
            <w:tcBorders>
              <w:bottom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Operations and Comprehensive Income (Loss) for the ThreeMonths Ended March 31, 2021</w:t>
              </w:r>
            </w:hyperlink>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and 2020</w:t>
              </w:r>
            </w:hyperlink>
          </w:p>
        </w:tc>
        <w:tc>
          <w:tcPr>
            <w:tcW w:w="140" w:type="dxa"/>
            <w:vAlign w:val="bottom"/>
            <w:tcBorders>
              <w:top w:val="single" w:sz="8" w:color="0000FF"/>
            </w:tcBorders>
            <w:vMerge w:val="restart"/>
          </w:tcPr>
          <w:p>
            <w:pPr>
              <w:spacing w:after="0"/>
              <w:rPr>
                <w:sz w:val="14"/>
                <w:szCs w:val="14"/>
                <w:color w:val="auto"/>
              </w:rPr>
            </w:pPr>
          </w:p>
        </w:tc>
        <w:tc>
          <w:tcPr>
            <w:tcW w:w="440" w:type="dxa"/>
            <w:vAlign w:val="bottom"/>
            <w:tcBorders>
              <w:top w:val="single" w:sz="8" w:color="0000FF"/>
            </w:tcBorders>
            <w:gridSpan w:val="2"/>
            <w:vMerge w:val="restart"/>
          </w:tcPr>
          <w:p>
            <w:pPr>
              <w:spacing w:after="0"/>
              <w:rPr>
                <w:sz w:val="14"/>
                <w:szCs w:val="14"/>
                <w:color w:val="auto"/>
              </w:rPr>
            </w:pPr>
          </w:p>
        </w:tc>
        <w:tc>
          <w:tcPr>
            <w:tcW w:w="20" w:type="dxa"/>
            <w:vAlign w:val="bottom"/>
            <w:tcBorders>
              <w:top w:val="single" w:sz="8" w:color="0000FF"/>
            </w:tcBorders>
            <w:vMerge w:val="restart"/>
          </w:tcPr>
          <w:p>
            <w:pPr>
              <w:spacing w:after="0"/>
              <w:rPr>
                <w:sz w:val="14"/>
                <w:szCs w:val="14"/>
                <w:color w:val="auto"/>
              </w:rPr>
            </w:pPr>
          </w:p>
        </w:tc>
        <w:tc>
          <w:tcPr>
            <w:tcW w:w="260" w:type="dxa"/>
            <w:vAlign w:val="bottom"/>
            <w:tcBorders>
              <w:top w:val="single" w:sz="8" w:color="0000FF"/>
            </w:tcBorders>
            <w:vMerge w:val="restart"/>
          </w:tcPr>
          <w:p>
            <w:pPr>
              <w:spacing w:after="0"/>
              <w:rPr>
                <w:sz w:val="14"/>
                <w:szCs w:val="14"/>
                <w:color w:val="auto"/>
              </w:rPr>
            </w:pPr>
          </w:p>
        </w:tc>
        <w:tc>
          <w:tcPr>
            <w:tcW w:w="20" w:type="dxa"/>
            <w:vAlign w:val="bottom"/>
            <w:tcBorders>
              <w:top w:val="single" w:sz="8" w:color="0000FF"/>
            </w:tcBorders>
            <w:vMerge w:val="restart"/>
          </w:tcPr>
          <w:p>
            <w:pPr>
              <w:spacing w:after="0"/>
              <w:rPr>
                <w:sz w:val="14"/>
                <w:szCs w:val="14"/>
                <w:color w:val="auto"/>
              </w:rPr>
            </w:pPr>
          </w:p>
        </w:tc>
        <w:tc>
          <w:tcPr>
            <w:tcW w:w="440" w:type="dxa"/>
            <w:vAlign w:val="bottom"/>
            <w:tcBorders>
              <w:top w:val="single" w:sz="8" w:color="0000FF"/>
            </w:tcBorders>
            <w:vMerge w:val="restart"/>
          </w:tcPr>
          <w:p>
            <w:pPr>
              <w:spacing w:after="0"/>
              <w:rPr>
                <w:sz w:val="14"/>
                <w:szCs w:val="14"/>
                <w:color w:val="auto"/>
              </w:rPr>
            </w:pPr>
          </w:p>
        </w:tc>
        <w:tc>
          <w:tcPr>
            <w:tcW w:w="480" w:type="dxa"/>
            <w:vAlign w:val="bottom"/>
            <w:tcBorders>
              <w:top w:val="single" w:sz="8" w:color="0000FF"/>
            </w:tcBorders>
            <w:vMerge w:val="restart"/>
          </w:tcPr>
          <w:p>
            <w:pPr>
              <w:spacing w:after="0"/>
              <w:rPr>
                <w:sz w:val="14"/>
                <w:szCs w:val="14"/>
                <w:color w:val="auto"/>
              </w:rPr>
            </w:pPr>
          </w:p>
        </w:tc>
        <w:tc>
          <w:tcPr>
            <w:tcW w:w="1500" w:type="dxa"/>
            <w:vAlign w:val="bottom"/>
            <w:tcBorders>
              <w:top w:val="single" w:sz="8" w:color="0000FF"/>
            </w:tcBorders>
            <w:gridSpan w:val="3"/>
            <w:vMerge w:val="restart"/>
          </w:tcPr>
          <w:p>
            <w:pPr>
              <w:spacing w:after="0"/>
              <w:rPr>
                <w:sz w:val="14"/>
                <w:szCs w:val="14"/>
                <w:color w:val="auto"/>
              </w:rPr>
            </w:pPr>
          </w:p>
        </w:tc>
        <w:tc>
          <w:tcPr>
            <w:tcW w:w="600" w:type="dxa"/>
            <w:vAlign w:val="bottom"/>
            <w:tcBorders>
              <w:top w:val="single" w:sz="8" w:color="0000FF"/>
            </w:tcBorders>
            <w:vMerge w:val="restart"/>
          </w:tcPr>
          <w:p>
            <w:pPr>
              <w:spacing w:after="0"/>
              <w:rPr>
                <w:sz w:val="14"/>
                <w:szCs w:val="14"/>
                <w:color w:val="auto"/>
              </w:rPr>
            </w:pPr>
          </w:p>
        </w:tc>
        <w:tc>
          <w:tcPr>
            <w:tcW w:w="20" w:type="dxa"/>
            <w:vAlign w:val="bottom"/>
            <w:tcBorders>
              <w:top w:val="single" w:sz="8" w:color="0000FF"/>
            </w:tcBorders>
            <w:vMerge w:val="restart"/>
          </w:tcPr>
          <w:p>
            <w:pPr>
              <w:spacing w:after="0"/>
              <w:rPr>
                <w:sz w:val="14"/>
                <w:szCs w:val="14"/>
                <w:color w:val="auto"/>
              </w:rPr>
            </w:pPr>
          </w:p>
        </w:tc>
        <w:tc>
          <w:tcPr>
            <w:tcW w:w="2080" w:type="dxa"/>
            <w:vAlign w:val="bottom"/>
            <w:tcBorders>
              <w:top w:val="single" w:sz="8" w:color="0000FF"/>
            </w:tcBorders>
            <w:gridSpan w:val="3"/>
            <w:vMerge w:val="restart"/>
          </w:tcPr>
          <w:p>
            <w:pPr>
              <w:spacing w:after="0"/>
              <w:rPr>
                <w:sz w:val="14"/>
                <w:szCs w:val="14"/>
                <w:color w:val="auto"/>
              </w:rPr>
            </w:pPr>
          </w:p>
        </w:tc>
        <w:tc>
          <w:tcPr>
            <w:tcW w:w="1020" w:type="dxa"/>
            <w:vAlign w:val="bottom"/>
            <w:tcBorders>
              <w:top w:val="single" w:sz="8" w:color="0000FF"/>
            </w:tcBorders>
            <w:vMerge w:val="restart"/>
          </w:tcPr>
          <w:p>
            <w:pPr>
              <w:spacing w:after="0"/>
              <w:rPr>
                <w:sz w:val="14"/>
                <w:szCs w:val="14"/>
                <w:color w:val="auto"/>
              </w:rPr>
            </w:pPr>
          </w:p>
        </w:tc>
        <w:tc>
          <w:tcPr>
            <w:tcW w:w="660" w:type="dxa"/>
            <w:vAlign w:val="bottom"/>
            <w:tcBorders>
              <w:top w:val="single" w:sz="8" w:color="0000FF"/>
            </w:tcBorders>
            <w:vMerge w:val="restart"/>
          </w:tcPr>
          <w:p>
            <w:pPr>
              <w:spacing w:after="0"/>
              <w:rPr>
                <w:sz w:val="14"/>
                <w:szCs w:val="14"/>
                <w:color w:val="auto"/>
              </w:rPr>
            </w:pPr>
          </w:p>
        </w:tc>
        <w:tc>
          <w:tcPr>
            <w:tcW w:w="180" w:type="dxa"/>
            <w:vAlign w:val="bottom"/>
            <w:tcBorders>
              <w:top w:val="single" w:sz="8" w:color="0000FF"/>
            </w:tcBorders>
            <w:vMerge w:val="restart"/>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FF"/>
            </w:tcBorders>
            <w:vMerge w:val="continue"/>
          </w:tcPr>
          <w:p>
            <w:pPr>
              <w:spacing w:after="0"/>
              <w:rPr>
                <w:sz w:val="5"/>
                <w:szCs w:val="5"/>
                <w:color w:val="auto"/>
              </w:rPr>
            </w:pPr>
          </w:p>
        </w:tc>
        <w:tc>
          <w:tcPr>
            <w:tcW w:w="440" w:type="dxa"/>
            <w:vAlign w:val="bottom"/>
            <w:tcBorders>
              <w:top w:val="single" w:sz="8" w:color="0000FF"/>
            </w:tcBorders>
            <w:gridSpan w:val="2"/>
            <w:vMerge w:val="continue"/>
          </w:tcPr>
          <w:p>
            <w:pPr>
              <w:spacing w:after="0"/>
              <w:rPr>
                <w:sz w:val="5"/>
                <w:szCs w:val="5"/>
                <w:color w:val="auto"/>
              </w:rPr>
            </w:pPr>
          </w:p>
        </w:tc>
        <w:tc>
          <w:tcPr>
            <w:tcW w:w="20" w:type="dxa"/>
            <w:vAlign w:val="bottom"/>
            <w:tcBorders>
              <w:top w:val="single" w:sz="8" w:color="0000FF"/>
            </w:tcBorders>
            <w:vMerge w:val="continue"/>
          </w:tcPr>
          <w:p>
            <w:pPr>
              <w:spacing w:after="0"/>
              <w:rPr>
                <w:sz w:val="5"/>
                <w:szCs w:val="5"/>
                <w:color w:val="auto"/>
              </w:rPr>
            </w:pPr>
          </w:p>
        </w:tc>
        <w:tc>
          <w:tcPr>
            <w:tcW w:w="260" w:type="dxa"/>
            <w:vAlign w:val="bottom"/>
            <w:tcBorders>
              <w:top w:val="single" w:sz="8" w:color="0000FF"/>
            </w:tcBorders>
            <w:vMerge w:val="continue"/>
          </w:tcPr>
          <w:p>
            <w:pPr>
              <w:spacing w:after="0"/>
              <w:rPr>
                <w:sz w:val="5"/>
                <w:szCs w:val="5"/>
                <w:color w:val="auto"/>
              </w:rPr>
            </w:pPr>
          </w:p>
        </w:tc>
        <w:tc>
          <w:tcPr>
            <w:tcW w:w="20" w:type="dxa"/>
            <w:vAlign w:val="bottom"/>
            <w:tcBorders>
              <w:top w:val="single" w:sz="8" w:color="0000FF"/>
            </w:tcBorders>
            <w:vMerge w:val="continue"/>
          </w:tcPr>
          <w:p>
            <w:pPr>
              <w:spacing w:after="0"/>
              <w:rPr>
                <w:sz w:val="5"/>
                <w:szCs w:val="5"/>
                <w:color w:val="auto"/>
              </w:rPr>
            </w:pPr>
          </w:p>
        </w:tc>
        <w:tc>
          <w:tcPr>
            <w:tcW w:w="440" w:type="dxa"/>
            <w:vAlign w:val="bottom"/>
            <w:tcBorders>
              <w:top w:val="single" w:sz="8" w:color="0000FF"/>
            </w:tcBorders>
            <w:vMerge w:val="continue"/>
          </w:tcPr>
          <w:p>
            <w:pPr>
              <w:spacing w:after="0"/>
              <w:rPr>
                <w:sz w:val="5"/>
                <w:szCs w:val="5"/>
                <w:color w:val="auto"/>
              </w:rPr>
            </w:pPr>
          </w:p>
        </w:tc>
        <w:tc>
          <w:tcPr>
            <w:tcW w:w="480" w:type="dxa"/>
            <w:vAlign w:val="bottom"/>
            <w:tcBorders>
              <w:top w:val="single" w:sz="8" w:color="0000FF"/>
            </w:tcBorders>
            <w:vMerge w:val="continue"/>
          </w:tcPr>
          <w:p>
            <w:pPr>
              <w:spacing w:after="0"/>
              <w:rPr>
                <w:sz w:val="5"/>
                <w:szCs w:val="5"/>
                <w:color w:val="auto"/>
              </w:rPr>
            </w:pPr>
          </w:p>
        </w:tc>
        <w:tc>
          <w:tcPr>
            <w:tcW w:w="1500" w:type="dxa"/>
            <w:vAlign w:val="bottom"/>
            <w:tcBorders>
              <w:top w:val="single" w:sz="8" w:color="0000FF"/>
            </w:tcBorders>
            <w:gridSpan w:val="3"/>
            <w:vMerge w:val="continue"/>
          </w:tcPr>
          <w:p>
            <w:pPr>
              <w:spacing w:after="0"/>
              <w:rPr>
                <w:sz w:val="5"/>
                <w:szCs w:val="5"/>
                <w:color w:val="auto"/>
              </w:rPr>
            </w:pPr>
          </w:p>
        </w:tc>
        <w:tc>
          <w:tcPr>
            <w:tcW w:w="600" w:type="dxa"/>
            <w:vAlign w:val="bottom"/>
            <w:tcBorders>
              <w:top w:val="single" w:sz="8" w:color="0000FF"/>
            </w:tcBorders>
            <w:vMerge w:val="continue"/>
          </w:tcPr>
          <w:p>
            <w:pPr>
              <w:spacing w:after="0"/>
              <w:rPr>
                <w:sz w:val="5"/>
                <w:szCs w:val="5"/>
                <w:color w:val="auto"/>
              </w:rPr>
            </w:pPr>
          </w:p>
        </w:tc>
        <w:tc>
          <w:tcPr>
            <w:tcW w:w="20" w:type="dxa"/>
            <w:vAlign w:val="bottom"/>
            <w:tcBorders>
              <w:top w:val="single" w:sz="8" w:color="0000FF"/>
            </w:tcBorders>
            <w:vMerge w:val="continue"/>
          </w:tcPr>
          <w:p>
            <w:pPr>
              <w:spacing w:after="0"/>
              <w:rPr>
                <w:sz w:val="5"/>
                <w:szCs w:val="5"/>
                <w:color w:val="auto"/>
              </w:rPr>
            </w:pPr>
          </w:p>
        </w:tc>
        <w:tc>
          <w:tcPr>
            <w:tcW w:w="2080" w:type="dxa"/>
            <w:vAlign w:val="bottom"/>
            <w:tcBorders>
              <w:top w:val="single" w:sz="8" w:color="0000FF"/>
            </w:tcBorders>
            <w:gridSpan w:val="3"/>
            <w:vMerge w:val="continue"/>
          </w:tcPr>
          <w:p>
            <w:pPr>
              <w:spacing w:after="0"/>
              <w:rPr>
                <w:sz w:val="5"/>
                <w:szCs w:val="5"/>
                <w:color w:val="auto"/>
              </w:rPr>
            </w:pPr>
          </w:p>
        </w:tc>
        <w:tc>
          <w:tcPr>
            <w:tcW w:w="1020" w:type="dxa"/>
            <w:vAlign w:val="bottom"/>
            <w:tcBorders>
              <w:top w:val="single" w:sz="8" w:color="0000FF"/>
            </w:tcBorders>
            <w:vMerge w:val="continue"/>
          </w:tcPr>
          <w:p>
            <w:pPr>
              <w:spacing w:after="0"/>
              <w:rPr>
                <w:sz w:val="5"/>
                <w:szCs w:val="5"/>
                <w:color w:val="auto"/>
              </w:rPr>
            </w:pPr>
          </w:p>
        </w:tc>
        <w:tc>
          <w:tcPr>
            <w:tcW w:w="660" w:type="dxa"/>
            <w:vAlign w:val="bottom"/>
            <w:tcBorders>
              <w:top w:val="single" w:sz="8" w:color="0000FF"/>
            </w:tcBorders>
            <w:vMerge w:val="continue"/>
          </w:tcPr>
          <w:p>
            <w:pPr>
              <w:spacing w:after="0"/>
              <w:rPr>
                <w:sz w:val="5"/>
                <w:szCs w:val="5"/>
                <w:color w:val="auto"/>
              </w:rPr>
            </w:pPr>
          </w:p>
        </w:tc>
        <w:tc>
          <w:tcPr>
            <w:tcW w:w="180" w:type="dxa"/>
            <w:vAlign w:val="bottom"/>
            <w:tcBorders>
              <w:top w:val="single" w:sz="8" w:color="0000FF"/>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 for the Three Months Ended March 31, 2021 and 2020</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34"/>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tcBorders>
              <w:top w:val="single" w:sz="8" w:color="0000FF"/>
            </w:tcBorders>
            <w:gridSpan w:val="20"/>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Condensed Consolidated Statements of Cash Flows for the Three Months Ended March 31, 2021 and 2020</w:t>
              </w:r>
            </w:hyperlink>
          </w:p>
        </w:tc>
        <w:tc>
          <w:tcPr>
            <w:tcW w:w="1520" w:type="dxa"/>
            <w:vAlign w:val="bottom"/>
            <w:gridSpan w:val="3"/>
          </w:tcPr>
          <w:p>
            <w:pPr>
              <w:spacing w:after="0"/>
              <w:rPr>
                <w:sz w:val="24"/>
                <w:szCs w:val="2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Borders>
              <w:top w:val="single" w:sz="8" w:color="0000FF"/>
            </w:tcBorders>
            <w:gridSpan w:val="13"/>
            <w:vMerge w:val="restart"/>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FF"/>
            </w:tcBorders>
            <w:gridSpan w:val="13"/>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3200" w:type="dxa"/>
            <w:vAlign w:val="bottom"/>
            <w:gridSpan w:val="5"/>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700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 Management’s Discussion and Analysis of Financial Condition and Results of Operations</w:t>
              </w:r>
            </w:hyperlink>
          </w:p>
        </w:tc>
        <w:tc>
          <w:tcPr>
            <w:tcW w:w="320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492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3. Quantitative and Qualitative Disclosures About Market Risk</w:t>
              </w:r>
            </w:hyperlink>
          </w:p>
        </w:tc>
        <w:tc>
          <w:tcPr>
            <w:tcW w:w="528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 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rPr>
              <w:t>PART II. OTHER INFORMATION</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88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Item 1. Legal Proceedings</w:t>
              </w:r>
            </w:hyperlink>
          </w:p>
        </w:tc>
        <w:tc>
          <w:tcPr>
            <w:tcW w:w="920" w:type="dxa"/>
            <w:vAlign w:val="bottom"/>
            <w:gridSpan w:val="2"/>
          </w:tcPr>
          <w:p>
            <w:pPr>
              <w:spacing w:after="0"/>
              <w:rPr>
                <w:sz w:val="24"/>
                <w:szCs w:val="24"/>
                <w:color w:val="auto"/>
              </w:rPr>
            </w:pPr>
          </w:p>
        </w:tc>
        <w:tc>
          <w:tcPr>
            <w:tcW w:w="2100" w:type="dxa"/>
            <w:vAlign w:val="bottom"/>
            <w:gridSpan w:val="4"/>
          </w:tcPr>
          <w:p>
            <w:pPr>
              <w:spacing w:after="0"/>
              <w:rPr>
                <w:sz w:val="24"/>
                <w:szCs w:val="24"/>
                <w:color w:val="auto"/>
              </w:rPr>
            </w:pPr>
          </w:p>
        </w:tc>
        <w:tc>
          <w:tcPr>
            <w:tcW w:w="53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58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1A. Risk Factors</w:t>
              </w:r>
            </w:hyperlink>
          </w:p>
        </w:tc>
        <w:tc>
          <w:tcPr>
            <w:tcW w:w="20" w:type="dxa"/>
            <w:vAlign w:val="bottom"/>
            <w:tcBorders>
              <w:bottom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spacing w:after="0"/>
              <w:rPr>
                <w:sz w:val="24"/>
                <w:szCs w:val="24"/>
                <w:color w:val="auto"/>
              </w:rPr>
            </w:pPr>
          </w:p>
        </w:tc>
        <w:tc>
          <w:tcPr>
            <w:tcW w:w="2100" w:type="dxa"/>
            <w:vAlign w:val="bottom"/>
            <w:gridSpan w:val="4"/>
          </w:tcPr>
          <w:p>
            <w:pPr>
              <w:spacing w:after="0"/>
              <w:rPr>
                <w:sz w:val="24"/>
                <w:szCs w:val="24"/>
                <w:color w:val="auto"/>
              </w:rPr>
            </w:pPr>
          </w:p>
        </w:tc>
        <w:tc>
          <w:tcPr>
            <w:tcW w:w="53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49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Item 2. Unregistered Sales of Equity Securities and Use of Proceeds</w:t>
              </w:r>
            </w:hyperlink>
          </w:p>
        </w:tc>
        <w:tc>
          <w:tcPr>
            <w:tcW w:w="53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28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3. Default Upon Senior Securities</w:t>
              </w:r>
            </w:hyperlink>
          </w:p>
        </w:tc>
        <w:tc>
          <w:tcPr>
            <w:tcW w:w="740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232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4. Mine Safety Disclosures</w:t>
              </w:r>
            </w:hyperlink>
          </w:p>
        </w:tc>
        <w:tc>
          <w:tcPr>
            <w:tcW w:w="788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8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Item 5. Other Information</w:t>
              </w:r>
            </w:hyperlink>
          </w:p>
        </w:tc>
        <w:tc>
          <w:tcPr>
            <w:tcW w:w="834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1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6. Exhibits</w:t>
              </w:r>
            </w:hyperlink>
          </w:p>
        </w:tc>
        <w:tc>
          <w:tcPr>
            <w:tcW w:w="9060" w:type="dxa"/>
            <w:vAlign w:val="bottom"/>
            <w:gridSpan w:val="2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9"/>
        </w:trPr>
        <w:tc>
          <w:tcPr>
            <w:tcW w:w="6720" w:type="dxa"/>
            <w:vAlign w:val="bottom"/>
            <w:gridSpan w:val="18"/>
          </w:tcPr>
          <w:p>
            <w:pPr>
              <w:jc w:val="right"/>
              <w:ind w:right="10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6"/>
                <w:szCs w:val="16"/>
                <w:color w:val="auto"/>
              </w:rPr>
            </w:pPr>
          </w:p>
        </w:tc>
        <w:tc>
          <w:tcPr>
            <w:tcW w:w="1760" w:type="dxa"/>
            <w:vAlign w:val="bottom"/>
          </w:tcPr>
          <w:p>
            <w:pPr>
              <w:jc w:val="right"/>
              <w:ind w:right="55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74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96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2020</w:t>
            </w:r>
          </w:p>
        </w:tc>
      </w:tr>
      <w:tr>
        <w:trPr>
          <w:trHeight w:val="182"/>
        </w:trPr>
        <w:tc>
          <w:tcPr>
            <w:tcW w:w="574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932,398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81,611</w:t>
            </w: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227,921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237,203</w:t>
            </w: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16,837</w:t>
            </w: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16,268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14,230</w:t>
            </w: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5,623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4,870</w:t>
            </w:r>
          </w:p>
        </w:tc>
      </w:tr>
      <w:tr>
        <w:trPr>
          <w:trHeight w:val="216"/>
        </w:trPr>
        <w:tc>
          <w:tcPr>
            <w:tcW w:w="5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Short-term restricted cash</w:t>
            </w:r>
          </w:p>
        </w:tc>
        <w:tc>
          <w:tcPr>
            <w:tcW w:w="9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836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836</w:t>
            </w:r>
          </w:p>
        </w:tc>
      </w:tr>
      <w:tr>
        <w:trPr>
          <w:trHeight w:val="196"/>
        </w:trPr>
        <w:tc>
          <w:tcPr>
            <w:tcW w:w="574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1,195,952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355,587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24,207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24,899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29,162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29,951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3,500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r>
      <w:tr>
        <w:trPr>
          <w:trHeight w:val="223"/>
        </w:trPr>
        <w:tc>
          <w:tcPr>
            <w:tcW w:w="5740" w:type="dxa"/>
            <w:vAlign w:val="bottom"/>
            <w:tcBorders>
              <w:bottom w:val="single" w:sz="8" w:color="CCEEFF"/>
            </w:tcBorders>
          </w:tcPr>
          <w:p>
            <w:pPr>
              <w:ind w:left="880"/>
              <w:spacing w:after="0" w:line="182" w:lineRule="exact"/>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91"/>
              <w:spacing w:after="0" w:line="182" w:lineRule="exact"/>
              <w:rPr>
                <w:sz w:val="20"/>
                <w:szCs w:val="20"/>
                <w:color w:val="auto"/>
              </w:rPr>
            </w:pPr>
            <w:r>
              <w:rPr>
                <w:rFonts w:ascii="Arial" w:cs="Arial" w:eastAsia="Arial" w:hAnsi="Arial"/>
                <w:sz w:val="18"/>
                <w:szCs w:val="18"/>
                <w:color w:val="auto"/>
              </w:rPr>
              <w:t>1,252,888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71"/>
              <w:spacing w:after="0" w:line="182" w:lineRule="exact"/>
              <w:rPr>
                <w:sz w:val="20"/>
                <w:szCs w:val="20"/>
                <w:color w:val="auto"/>
              </w:rPr>
            </w:pPr>
            <w:r>
              <w:rPr>
                <w:rFonts w:ascii="Arial" w:cs="Arial" w:eastAsia="Arial" w:hAnsi="Arial"/>
                <w:sz w:val="18"/>
                <w:szCs w:val="18"/>
                <w:color w:val="auto"/>
              </w:rPr>
              <w:t>413,980</w:t>
            </w:r>
          </w:p>
        </w:tc>
      </w:tr>
      <w:tr>
        <w:trPr>
          <w:trHeight w:val="170"/>
        </w:trPr>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3,471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3,579</w:t>
            </w:r>
          </w:p>
        </w:tc>
      </w:tr>
      <w:tr>
        <w:trPr>
          <w:trHeight w:val="230"/>
        </w:trPr>
        <w:tc>
          <w:tcPr>
            <w:tcW w:w="574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14,672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17,350</w:t>
            </w: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revenue, current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9,607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8,722</w:t>
            </w: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Operating lease liabilities, current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4,448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4,332</w:t>
            </w: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liabilities, current</w:t>
            </w:r>
          </w:p>
        </w:tc>
        <w:tc>
          <w:tcPr>
            <w:tcW w:w="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1,539</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4,519</w:t>
            </w:r>
          </w:p>
        </w:tc>
      </w:tr>
      <w:tr>
        <w:trPr>
          <w:trHeight w:val="196"/>
        </w:trPr>
        <w:tc>
          <w:tcPr>
            <w:tcW w:w="5740" w:type="dxa"/>
            <w:vAlign w:val="bottom"/>
          </w:tcPr>
          <w:p>
            <w:pPr>
              <w:ind w:left="88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Pr>
          <w:p>
            <w:pPr>
              <w:jc w:val="right"/>
              <w:ind w:right="91"/>
              <w:spacing w:after="0" w:line="196" w:lineRule="exact"/>
              <w:rPr>
                <w:sz w:val="20"/>
                <w:szCs w:val="20"/>
                <w:color w:val="auto"/>
              </w:rPr>
            </w:pPr>
            <w:r>
              <w:rPr>
                <w:rFonts w:ascii="Arial" w:cs="Arial" w:eastAsia="Arial" w:hAnsi="Arial"/>
                <w:sz w:val="18"/>
                <w:szCs w:val="18"/>
                <w:color w:val="auto"/>
              </w:rPr>
              <w:t>33,737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38,502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5,687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36,485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37,667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net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895,674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 non-current</w:t>
            </w:r>
          </w:p>
        </w:tc>
        <w:tc>
          <w:tcPr>
            <w:tcW w:w="9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752</w:t>
            </w:r>
          </w:p>
        </w:tc>
      </w:tr>
      <w:tr>
        <w:trPr>
          <w:trHeight w:val="196"/>
        </w:trPr>
        <w:tc>
          <w:tcPr>
            <w:tcW w:w="574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972,335</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78,489</w:t>
            </w:r>
          </w:p>
        </w:tc>
      </w:tr>
      <w:tr>
        <w:trPr>
          <w:trHeight w:val="196"/>
        </w:trPr>
        <w:tc>
          <w:tcPr>
            <w:tcW w:w="5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Preferred stock, $0.001 par value: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Authorized 50,000 shares; No shares issued or outstanding</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Pr>
          <w:p>
            <w:pPr>
              <w:ind w:left="440"/>
              <w:spacing w:after="0"/>
              <w:rPr>
                <w:sz w:val="20"/>
                <w:szCs w:val="20"/>
                <w:color w:val="auto"/>
              </w:rPr>
            </w:pPr>
            <w:r>
              <w:rPr>
                <w:rFonts w:ascii="Arial" w:cs="Arial" w:eastAsia="Arial" w:hAnsi="Arial"/>
                <w:sz w:val="18"/>
                <w:szCs w:val="18"/>
                <w:color w:val="auto"/>
              </w:rPr>
              <w:t>Common stock, $0.001 par value:</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39" w:lineRule="exact"/>
        <w:rPr>
          <w:sz w:val="20"/>
          <w:szCs w:val="20"/>
          <w:color w:val="auto"/>
        </w:rPr>
      </w:pPr>
    </w:p>
    <w:p>
      <w:pPr>
        <w:ind w:left="560" w:right="780"/>
        <w:spacing w:after="0" w:line="274" w:lineRule="auto"/>
        <w:rPr>
          <w:sz w:val="20"/>
          <w:szCs w:val="20"/>
          <w:color w:val="auto"/>
        </w:rPr>
      </w:pPr>
      <w:r>
        <w:rPr>
          <w:rFonts w:ascii="Arial" w:cs="Arial" w:eastAsia="Arial" w:hAnsi="Arial"/>
          <w:sz w:val="17"/>
          <w:szCs w:val="17"/>
          <w:color w:val="auto"/>
        </w:rPr>
        <w:t>Authorized 1,000,000 shares; issued and outstanding 198,340 shares and 192,294 shares at March 31, 2021 and December 31, 2020, respectively</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520"/>
        <w:spacing w:after="0"/>
        <w:tabs>
          <w:tab w:leader="none" w:pos="286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192</w:t>
      </w:r>
    </w:p>
    <w:p>
      <w:pPr>
        <w:spacing w:after="0" w:line="198" w:lineRule="exact"/>
        <w:rPr>
          <w:sz w:val="20"/>
          <w:szCs w:val="20"/>
          <w:color w:val="auto"/>
        </w:rPr>
      </w:pPr>
    </w:p>
    <w:p>
      <w:pPr>
        <w:ind w:left="60"/>
        <w:spacing w:after="0"/>
        <w:tabs>
          <w:tab w:leader="none" w:pos="2420" w:val="left"/>
        </w:tabs>
        <w:rPr>
          <w:sz w:val="20"/>
          <w:szCs w:val="20"/>
          <w:color w:val="auto"/>
        </w:rPr>
      </w:pPr>
      <w:r>
        <w:rPr>
          <w:rFonts w:ascii="Arial" w:cs="Arial" w:eastAsia="Arial" w:hAnsi="Arial"/>
          <w:sz w:val="17"/>
          <w:szCs w:val="17"/>
          <w:color w:val="auto"/>
        </w:rPr>
        <w:t>1,404,585</w:t>
      </w:r>
      <w:r>
        <w:rPr>
          <w:sz w:val="20"/>
          <w:szCs w:val="20"/>
          <w:color w:val="auto"/>
        </w:rPr>
        <w:tab/>
      </w:r>
      <w:r>
        <w:rPr>
          <w:rFonts w:ascii="Arial" w:cs="Arial" w:eastAsia="Arial" w:hAnsi="Arial"/>
          <w:sz w:val="17"/>
          <w:szCs w:val="17"/>
          <w:color w:val="auto"/>
        </w:rPr>
        <w:t>1,372,083</w:t>
      </w:r>
    </w:p>
    <w:p>
      <w:pPr>
        <w:spacing w:after="0" w:line="88" w:lineRule="exact"/>
        <w:rPr>
          <w:sz w:val="20"/>
          <w:szCs w:val="20"/>
          <w:color w:val="auto"/>
        </w:rPr>
      </w:pPr>
    </w:p>
    <w:p>
      <w:pPr>
        <w:ind w:left="600"/>
        <w:spacing w:after="0"/>
        <w:tabs>
          <w:tab w:leader="none" w:pos="29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85</w:t>
      </w:r>
    </w:p>
    <w:p>
      <w:pPr>
        <w:spacing w:after="0" w:line="63" w:lineRule="exact"/>
        <w:rPr>
          <w:sz w:val="20"/>
          <w:szCs w:val="20"/>
          <w:color w:val="auto"/>
        </w:rPr>
      </w:pPr>
    </w:p>
    <w:p>
      <w:pPr>
        <w:spacing w:after="0"/>
        <w:tabs>
          <w:tab w:leader="none" w:pos="2340" w:val="left"/>
        </w:tabs>
        <w:rPr>
          <w:sz w:val="20"/>
          <w:szCs w:val="20"/>
          <w:color w:val="auto"/>
        </w:rPr>
      </w:pPr>
      <w:r>
        <w:rPr>
          <w:rFonts w:ascii="Arial" w:cs="Arial" w:eastAsia="Arial" w:hAnsi="Arial"/>
          <w:sz w:val="16"/>
          <w:szCs w:val="16"/>
          <w:color w:val="auto"/>
        </w:rPr>
        <w:t>(1,124,304)</w:t>
      </w:r>
      <w:r>
        <w:rPr>
          <w:sz w:val="20"/>
          <w:szCs w:val="20"/>
          <w:color w:val="auto"/>
        </w:rPr>
        <w:tab/>
      </w:r>
      <w:r>
        <w:rPr>
          <w:rFonts w:ascii="Arial" w:cs="Arial" w:eastAsia="Arial" w:hAnsi="Arial"/>
          <w:sz w:val="16"/>
          <w:szCs w:val="16"/>
          <w:color w:val="auto"/>
        </w:rPr>
        <w:t>(1,036,869)</w:t>
      </w:r>
    </w:p>
    <w:p>
      <w:pPr>
        <w:spacing w:after="0" w:line="52" w:lineRule="exact"/>
        <w:rPr>
          <w:sz w:val="20"/>
          <w:szCs w:val="20"/>
          <w:color w:val="auto"/>
        </w:rPr>
      </w:pPr>
    </w:p>
    <w:p>
      <w:pPr>
        <w:sectPr>
          <w:pgSz w:w="11900" w:h="16838" w:orient="portrait"/>
          <w:cols w:equalWidth="0" w:num="2">
            <w:col w:w="7200" w:space="720"/>
            <w:col w:w="332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24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4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280,553</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335,491</w:t>
            </w:r>
          </w:p>
        </w:tc>
      </w:tr>
      <w:tr>
        <w:trPr>
          <w:trHeight w:val="277"/>
        </w:trPr>
        <w:tc>
          <w:tcPr>
            <w:tcW w:w="524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1,252,888</w:t>
            </w:r>
          </w:p>
        </w:tc>
        <w:tc>
          <w:tcPr>
            <w:tcW w:w="220" w:type="dxa"/>
            <w:vAlign w:val="bottom"/>
          </w:tcPr>
          <w:p>
            <w:pPr>
              <w:spacing w:after="0"/>
              <w:rPr>
                <w:sz w:val="24"/>
                <w:szCs w:val="24"/>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413,980</w:t>
            </w:r>
          </w:p>
        </w:tc>
      </w:tr>
      <w:tr>
        <w:trPr>
          <w:trHeight w:val="20"/>
        </w:trPr>
        <w:tc>
          <w:tcPr>
            <w:tcW w:w="5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620" w:type="dxa"/>
            <w:vAlign w:val="bottom"/>
          </w:tcPr>
          <w:p>
            <w:pPr>
              <w:spacing w:after="0"/>
              <w:rPr>
                <w:sz w:val="13"/>
                <w:szCs w:val="13"/>
                <w:color w:val="auto"/>
              </w:rPr>
            </w:pPr>
          </w:p>
        </w:tc>
        <w:tc>
          <w:tcPr>
            <w:tcW w:w="1940" w:type="dxa"/>
            <w:vAlign w:val="bottom"/>
          </w:tcPr>
          <w:p>
            <w:pPr>
              <w:jc w:val="right"/>
              <w:ind w:right="10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tcPr>
          <w:p>
            <w:pPr>
              <w:jc w:val="right"/>
              <w:ind w:right="113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4"/>
        </w:trPr>
        <w:tc>
          <w:tcPr>
            <w:tcW w:w="252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8"/>
                <w:szCs w:val="18"/>
                <w:color w:val="auto"/>
              </w:rPr>
              <w:t>Revenue:</w:t>
            </w:r>
          </w:p>
        </w:tc>
        <w:tc>
          <w:tcPr>
            <w:tcW w:w="3260" w:type="dxa"/>
            <w:vAlign w:val="bottom"/>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Product revenue</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25,303</w:t>
            </w:r>
          </w:p>
        </w:tc>
        <w:tc>
          <w:tcPr>
            <w:tcW w:w="12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Service and other revenue</w:t>
            </w:r>
          </w:p>
        </w:tc>
        <w:tc>
          <w:tcPr>
            <w:tcW w:w="6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3,694</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revenue</w:t>
            </w:r>
          </w:p>
        </w:tc>
        <w:tc>
          <w:tcPr>
            <w:tcW w:w="6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28,997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revenue</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12,697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Cost of service and other revenue</w:t>
            </w:r>
          </w:p>
        </w:tc>
        <w:tc>
          <w:tcPr>
            <w:tcW w:w="6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3,323</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cost of revenue</w:t>
            </w:r>
          </w:p>
        </w:tc>
        <w:tc>
          <w:tcPr>
            <w:tcW w:w="6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16,020</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10"/>
        </w:trPr>
        <w:tc>
          <w:tcPr>
            <w:tcW w:w="5780" w:type="dxa"/>
            <w:vAlign w:val="bottom"/>
            <w:gridSpan w:val="2"/>
          </w:tcPr>
          <w:p>
            <w:pPr>
              <w:ind w:left="1200"/>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8"/>
                <w:szCs w:val="18"/>
                <w:color w:val="auto"/>
              </w:rPr>
            </w:pP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12,977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expense:</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9"/>
                <w:szCs w:val="19"/>
                <w:color w:val="auto"/>
              </w:rPr>
            </w:pP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20,548</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general and administrative</w:t>
            </w:r>
          </w:p>
        </w:tc>
        <w:tc>
          <w:tcPr>
            <w:tcW w:w="6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26,139</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09"/>
        </w:trPr>
        <w:tc>
          <w:tcPr>
            <w:tcW w:w="5780" w:type="dxa"/>
            <w:vAlign w:val="bottom"/>
            <w:gridSpan w:val="2"/>
          </w:tcPr>
          <w:p>
            <w:pPr>
              <w:ind w:left="760"/>
              <w:spacing w:after="0"/>
              <w:rPr>
                <w:sz w:val="20"/>
                <w:szCs w:val="20"/>
                <w:color w:val="auto"/>
              </w:rPr>
            </w:pPr>
            <w:r>
              <w:rPr>
                <w:rFonts w:ascii="Arial" w:cs="Arial" w:eastAsia="Arial" w:hAnsi="Arial"/>
                <w:sz w:val="18"/>
                <w:szCs w:val="18"/>
                <w:color w:val="auto"/>
              </w:rPr>
              <w:t>Total operating expense</w:t>
            </w:r>
          </w:p>
        </w:tc>
        <w:tc>
          <w:tcPr>
            <w:tcW w:w="620" w:type="dxa"/>
            <w:vAlign w:val="bottom"/>
          </w:tcPr>
          <w:p>
            <w:pPr>
              <w:spacing w:after="0"/>
              <w:rPr>
                <w:sz w:val="18"/>
                <w:szCs w:val="18"/>
                <w:color w:val="auto"/>
              </w:rPr>
            </w:pP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46,687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Operating loss</w:t>
            </w:r>
          </w:p>
        </w:tc>
        <w:tc>
          <w:tcPr>
            <w:tcW w:w="620" w:type="dxa"/>
            <w:vAlign w:val="bottom"/>
          </w:tcPr>
          <w:p>
            <w:pPr>
              <w:spacing w:after="0"/>
              <w:rPr>
                <w:sz w:val="19"/>
                <w:szCs w:val="19"/>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(33,710)</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(32,709)</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(loss) from Continuation Advances</w:t>
            </w:r>
          </w:p>
        </w:tc>
        <w:tc>
          <w:tcPr>
            <w:tcW w:w="6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(52,000)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30"/>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6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8"/>
                <w:szCs w:val="18"/>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(87,435)</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6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Unrealized income (loss) on investments</w:t>
            </w:r>
          </w:p>
        </w:tc>
        <w:tc>
          <w:tcPr>
            <w:tcW w:w="62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Comprehensive income (loss)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(87,446)</w:t>
            </w:r>
          </w:p>
        </w:tc>
        <w:tc>
          <w:tcPr>
            <w:tcW w:w="12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 per share:</w:t>
            </w:r>
          </w:p>
        </w:tc>
        <w:tc>
          <w:tcPr>
            <w:tcW w:w="6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2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7"/>
        </w:trPr>
        <w:tc>
          <w:tcPr>
            <w:tcW w:w="5780" w:type="dxa"/>
            <w:vAlign w:val="bottom"/>
            <w:tcBorders>
              <w:top w:val="single" w:sz="8" w:color="CCEEFF"/>
              <w:bottom w:val="single" w:sz="8" w:color="CCEEFF"/>
            </w:tcBorders>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Diluted</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89"/>
              </w:rPr>
              <w:t>Weighted average shares outstanding used in computing net income (loss) per</w:t>
            </w:r>
          </w:p>
        </w:tc>
        <w:tc>
          <w:tcPr>
            <w:tcW w:w="6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6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23"/>
                <w:szCs w:val="23"/>
                <w:color w:val="auto"/>
              </w:rPr>
            </w:pP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194,790</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153,453</w:t>
            </w:r>
          </w:p>
        </w:tc>
        <w:tc>
          <w:tcPr>
            <w:tcW w:w="0" w:type="dxa"/>
            <w:vAlign w:val="bottom"/>
          </w:tcPr>
          <w:p>
            <w:pPr>
              <w:spacing w:after="0"/>
              <w:rPr>
                <w:sz w:val="1"/>
                <w:szCs w:val="1"/>
                <w:color w:val="auto"/>
              </w:rPr>
            </w:pPr>
          </w:p>
        </w:tc>
      </w:tr>
      <w:tr>
        <w:trPr>
          <w:trHeight w:val="94"/>
        </w:trPr>
        <w:tc>
          <w:tcPr>
            <w:tcW w:w="2520" w:type="dxa"/>
            <w:vAlign w:val="bottom"/>
            <w:tcBorders>
              <w:bottom w:val="single" w:sz="8" w:color="CCEEFF"/>
            </w:tcBorders>
          </w:tcPr>
          <w:p>
            <w:pPr>
              <w:spacing w:after="0"/>
              <w:rPr>
                <w:sz w:val="8"/>
                <w:szCs w:val="8"/>
                <w:color w:val="auto"/>
              </w:rPr>
            </w:pPr>
          </w:p>
        </w:tc>
        <w:tc>
          <w:tcPr>
            <w:tcW w:w="326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Diluted</w:t>
            </w:r>
          </w:p>
        </w:tc>
        <w:tc>
          <w:tcPr>
            <w:tcW w:w="6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194,790</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155,855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2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r>
      <w:tr>
        <w:trPr>
          <w:trHeight w:val="229"/>
        </w:trPr>
        <w:tc>
          <w:tcPr>
            <w:tcW w:w="2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9"/>
                <w:szCs w:val="19"/>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Stockholders'</w:t>
            </w:r>
          </w:p>
        </w:tc>
      </w:tr>
      <w:tr>
        <w:trPr>
          <w:trHeight w:val="21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3"/>
          </w:tcPr>
          <w:p>
            <w:pPr>
              <w:ind w:left="360"/>
              <w:spacing w:after="0"/>
              <w:rPr>
                <w:sz w:val="20"/>
                <w:szCs w:val="20"/>
                <w:color w:val="auto"/>
              </w:rPr>
            </w:pPr>
            <w:r>
              <w:rPr>
                <w:rFonts w:ascii="Arial" w:cs="Arial" w:eastAsia="Arial" w:hAnsi="Arial"/>
                <w:sz w:val="14"/>
                <w:szCs w:val="14"/>
                <w:b w:val="1"/>
                <w:bCs w:val="1"/>
                <w:color w:val="auto"/>
                <w:w w:val="97"/>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8"/>
                <w:szCs w:val="18"/>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r>
      <w:tr>
        <w:trPr>
          <w:trHeight w:val="196"/>
        </w:trPr>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For the three months ended March 31, 2021</w:t>
            </w: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3"/>
        </w:trPr>
        <w:tc>
          <w:tcPr>
            <w:tcW w:w="26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Balance at December 31, 2020</w:t>
            </w:r>
          </w:p>
        </w:tc>
        <w:tc>
          <w:tcPr>
            <w:tcW w:w="16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192,294</w:t>
            </w: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3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1,372,083</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(1,036,869)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335,491</w:t>
            </w:r>
          </w:p>
        </w:tc>
      </w:tr>
      <w:tr>
        <w:trPr>
          <w:trHeight w:val="229"/>
        </w:trPr>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(87,435)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(87,435)</w:t>
            </w:r>
          </w:p>
        </w:tc>
      </w:tr>
      <w:tr>
        <w:trPr>
          <w:trHeight w:val="230"/>
        </w:trPr>
        <w:tc>
          <w:tcPr>
            <w:tcW w:w="424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6,046</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22,343</w:t>
            </w:r>
          </w:p>
        </w:tc>
      </w:tr>
      <w:tr>
        <w:trPr>
          <w:trHeight w:val="229"/>
        </w:trPr>
        <w:tc>
          <w:tcPr>
            <w:tcW w:w="424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10,165</w:t>
            </w:r>
          </w:p>
        </w:tc>
      </w:tr>
      <w:tr>
        <w:trPr>
          <w:trHeight w:val="196"/>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1,404,585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(1,124,304)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280,553</w:t>
            </w:r>
          </w:p>
        </w:tc>
      </w:tr>
      <w:tr>
        <w:trPr>
          <w:trHeight w:val="20"/>
        </w:trPr>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2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For the three months ended March 31, 2020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3"/>
        </w:trPr>
        <w:tc>
          <w:tcPr>
            <w:tcW w:w="26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Balance at December 31, 2019</w:t>
            </w:r>
          </w:p>
        </w:tc>
        <w:tc>
          <w:tcPr>
            <w:tcW w:w="16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153,119</w:t>
            </w: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3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1,120,999</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(1,066,240)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54,917</w:t>
            </w:r>
          </w:p>
        </w:tc>
      </w:tr>
      <w:tr>
        <w:trPr>
          <w:trHeight w:val="229"/>
        </w:trPr>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r>
      <w:tr>
        <w:trPr>
          <w:trHeight w:val="230"/>
        </w:trPr>
        <w:tc>
          <w:tcPr>
            <w:tcW w:w="424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9"/>
        </w:trPr>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Adoption effect of Topic 326</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jc w:val="center"/>
              <w:ind w:left="88"/>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230"/>
        </w:trPr>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w:t>
            </w:r>
          </w:p>
        </w:tc>
      </w:tr>
      <w:tr>
        <w:trPr>
          <w:trHeight w:val="19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153,953</w:t>
            </w:r>
          </w:p>
        </w:tc>
        <w:tc>
          <w:tcPr>
            <w:tcW w:w="14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1,125,229</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(1,065,010)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60,403</w:t>
            </w:r>
          </w:p>
        </w:tc>
      </w:tr>
      <w:tr>
        <w:trPr>
          <w:trHeight w:val="20"/>
        </w:trPr>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0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8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(87,435)</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(gain) from Continuation Advances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Amortization of debt discount and financing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Amortization (accretion) from investment premium (discount)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(2,556)</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Deferred gain from Reverse Termination Fee</w:t>
            </w: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Purchase of investments</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(64,426)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 of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Continuation Advances</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(52,000)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Notes payable principal payoff</w:t>
            </w: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Convertible Senior Notes, net of issuance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895,624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Issuance costs paid for underwritten public equity offering</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from equity plans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tcPr>
          <w:p>
            <w:pPr>
              <w:spacing w:after="0"/>
              <w:rPr>
                <w:sz w:val="20"/>
                <w:szCs w:val="20"/>
                <w:color w:val="auto"/>
              </w:rPr>
            </w:pPr>
          </w:p>
        </w:tc>
        <w:tc>
          <w:tcPr>
            <w:tcW w:w="6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865,721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increase in cash and cash equivalents and restricted cash</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850,787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936,734</w:t>
            </w:r>
          </w:p>
        </w:tc>
        <w:tc>
          <w:tcPr>
            <w:tcW w:w="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932,398</w:t>
            </w:r>
          </w:p>
        </w:tc>
        <w:tc>
          <w:tcPr>
            <w:tcW w:w="180" w:type="dxa"/>
            <w:vAlign w:val="bottom"/>
          </w:tcPr>
          <w:p>
            <w:pPr>
              <w:spacing w:after="0"/>
              <w:rPr>
                <w:sz w:val="18"/>
                <w:szCs w:val="18"/>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cash at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936,734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56" w:lineRule="exact"/>
        <w:rPr>
          <w:sz w:val="20"/>
          <w:szCs w:val="20"/>
          <w:color w:val="auto"/>
        </w:rPr>
      </w:pPr>
    </w:p>
    <w:p>
      <w:pPr>
        <w:ind w:right="180" w:firstLine="440"/>
        <w:spacing w:after="0" w:line="225" w:lineRule="auto"/>
        <w:rPr>
          <w:sz w:val="20"/>
          <w:szCs w:val="20"/>
          <w:color w:val="auto"/>
        </w:rPr>
      </w:pPr>
      <w:r>
        <w:rPr>
          <w:rFonts w:ascii="Arial" w:cs="Arial" w:eastAsia="Arial" w:hAnsi="Arial"/>
          <w:sz w:val="18"/>
          <w:szCs w:val="18"/>
          <w:color w:val="auto"/>
        </w:rPr>
        <w:t xml:space="preserve">We design, develop and manufacture sequencing systems to help scientists resolve genetically complex problems. Based on our novel Single Molecule, Real-Time (SMRT®) sequencing technology, our products enable: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6" w:lineRule="exact"/>
        <w:rPr>
          <w:sz w:val="20"/>
          <w:szCs w:val="20"/>
          <w:color w:val="auto"/>
        </w:rPr>
      </w:pPr>
    </w:p>
    <w:p>
      <w:pPr>
        <w:ind w:right="20" w:firstLine="440"/>
        <w:spacing w:after="0" w:line="246" w:lineRule="auto"/>
        <w:rPr>
          <w:sz w:val="20"/>
          <w:szCs w:val="20"/>
          <w:color w:val="auto"/>
        </w:rPr>
      </w:pPr>
      <w:r>
        <w:rPr>
          <w:rFonts w:ascii="Arial" w:cs="Arial" w:eastAsia="Arial" w:hAnsi="Arial"/>
          <w:sz w:val="17"/>
          <w:szCs w:val="17"/>
          <w:color w:val="auto"/>
        </w:rPr>
        <w:t>Our current products include the Sequel II and Sequel IIe instruments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36" w:lineRule="exact"/>
        <w:rPr>
          <w:sz w:val="20"/>
          <w:szCs w:val="20"/>
          <w:color w:val="auto"/>
        </w:rPr>
      </w:pPr>
    </w:p>
    <w:p>
      <w:pPr>
        <w:ind w:right="60" w:firstLine="440"/>
        <w:spacing w:after="0" w:line="253" w:lineRule="auto"/>
        <w:rPr>
          <w:sz w:val="20"/>
          <w:szCs w:val="20"/>
          <w:color w:val="auto"/>
        </w:rPr>
      </w:pPr>
      <w:r>
        <w:rPr>
          <w:rFonts w:ascii="Arial" w:cs="Arial" w:eastAsia="Arial" w:hAnsi="Arial"/>
          <w:sz w:val="17"/>
          <w:szCs w:val="17"/>
          <w:color w:val="auto"/>
        </w:rPr>
        <w:t>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“Pacific Biosciences,” “PacBio,” “SMRT,” “SMRTbell,” “Sequel” and our logo are our trademarks.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INVITAE COLLABORATION</w:t>
      </w:r>
    </w:p>
    <w:p>
      <w:pPr>
        <w:spacing w:after="0" w:line="67" w:lineRule="exact"/>
        <w:rPr>
          <w:sz w:val="20"/>
          <w:szCs w:val="20"/>
          <w:color w:val="auto"/>
        </w:rPr>
      </w:pPr>
    </w:p>
    <w:p>
      <w:pPr>
        <w:ind w:right="320" w:firstLine="440"/>
        <w:spacing w:after="0" w:line="228" w:lineRule="auto"/>
        <w:rPr>
          <w:sz w:val="20"/>
          <w:szCs w:val="20"/>
          <w:color w:val="auto"/>
        </w:rPr>
      </w:pPr>
      <w:r>
        <w:rPr>
          <w:rFonts w:ascii="Arial" w:cs="Arial" w:eastAsia="Arial" w:hAnsi="Arial"/>
          <w:sz w:val="18"/>
          <w:szCs w:val="18"/>
          <w:color w:val="auto"/>
        </w:rPr>
        <w:t>On January 12, 2021 we entered into a multi-year Development and Commercialization Agreement (the “Development Agreement”) with Invitae Corporation (“Invitae”). Pursuant to the Development Agreement, Invitae is providing certain funding to PacBio to enable PacBio to develop products relating to production-scale high-throughput sequencing (“Program Products”). If and when Program Products become commercially available for sale, Invitae may purchase the Program Products. In addition to selling the Program Products to Invitae, we will have the right to broadly commercialize Program Products for sale to other customers.</w:t>
      </w:r>
    </w:p>
    <w:p>
      <w:pPr>
        <w:spacing w:after="0" w:line="43" w:lineRule="exact"/>
        <w:rPr>
          <w:sz w:val="20"/>
          <w:szCs w:val="20"/>
          <w:color w:val="auto"/>
        </w:rPr>
      </w:pPr>
    </w:p>
    <w:p>
      <w:pPr>
        <w:ind w:right="80" w:firstLine="440"/>
        <w:spacing w:after="0" w:line="228" w:lineRule="auto"/>
        <w:rPr>
          <w:sz w:val="20"/>
          <w:szCs w:val="20"/>
          <w:color w:val="auto"/>
        </w:rPr>
      </w:pPr>
      <w:r>
        <w:rPr>
          <w:rFonts w:ascii="Arial" w:cs="Arial" w:eastAsia="Arial" w:hAnsi="Arial"/>
          <w:sz w:val="18"/>
          <w:szCs w:val="18"/>
          <w:color w:val="auto"/>
        </w:rPr>
        <w:t>The funding Invitae will provide to PacBio will equal certain development costs incurred by PacBio in connection with the Program Products (“Program Development Costs”). Under the Development Agreement, we will be responsible for conducting a program to develop the Program Products, and subsequently for manufacturing the Program Products. We will make general decisions regarding the development program jointly with Invitae but PacBio is responsible for all research and development activities. The entire development program is expected to last approximately sixty months, but may be shorter or longer.</w:t>
      </w:r>
    </w:p>
    <w:p>
      <w:pPr>
        <w:spacing w:after="0" w:line="43" w:lineRule="exact"/>
        <w:rPr>
          <w:sz w:val="20"/>
          <w:szCs w:val="20"/>
          <w:color w:val="auto"/>
        </w:rPr>
      </w:pPr>
    </w:p>
    <w:p>
      <w:pPr>
        <w:ind w:firstLine="440"/>
        <w:spacing w:after="0" w:line="225" w:lineRule="auto"/>
        <w:rPr>
          <w:sz w:val="20"/>
          <w:szCs w:val="20"/>
          <w:color w:val="auto"/>
        </w:rPr>
      </w:pPr>
      <w:r>
        <w:rPr>
          <w:rFonts w:ascii="Arial" w:cs="Arial" w:eastAsia="Arial" w:hAnsi="Arial"/>
          <w:sz w:val="18"/>
          <w:szCs w:val="18"/>
          <w:color w:val="auto"/>
        </w:rPr>
        <w:t>As the primary benefit of its contribution, Invitae will be entitled to preferred pricing on the Program Products if and when they are available for commercial sale. Each Program Product will have a preferential pricing period, which will not exceed four years from the date of the first delivery of that Program Product (“Preferential Pricing Period”). During the Preferential Pricing Period for each Program Product, Invitae may purchase the Program Product at a substantially reduced margin until it has recouped a multiple of its contribution as defined in the Development Agreement. For a specified period after the end of the Preferential Pricing Period, Invitae has the right to purchase the Program Product at a higher price, determined by a formula, than the price during the Preferential Pricing Period (“Extended Pricing Period”). The Extended Pricing Periods will terminate early if Invitae does not meet certain volume minimums.</w:t>
      </w:r>
    </w:p>
    <w:p>
      <w:pPr>
        <w:spacing w:after="0" w:line="46" w:lineRule="exact"/>
        <w:rPr>
          <w:sz w:val="20"/>
          <w:szCs w:val="20"/>
          <w:color w:val="auto"/>
        </w:rPr>
      </w:pPr>
    </w:p>
    <w:p>
      <w:pPr>
        <w:ind w:right="100" w:firstLine="440"/>
        <w:spacing w:after="0" w:line="253" w:lineRule="auto"/>
        <w:rPr>
          <w:sz w:val="20"/>
          <w:szCs w:val="20"/>
          <w:color w:val="auto"/>
        </w:rPr>
      </w:pPr>
      <w:r>
        <w:rPr>
          <w:rFonts w:ascii="Arial" w:cs="Arial" w:eastAsia="Arial" w:hAnsi="Arial"/>
          <w:sz w:val="17"/>
          <w:szCs w:val="17"/>
          <w:color w:val="auto"/>
        </w:rPr>
        <w:t>We and Invitae may terminate the Development Agreement if the other party remains in material breach of the Development Agreement following a cure period to remedy the material breach. In addition, the Development Agreement includes certain other circumstances for termination by each party, including circumstances where Invitae may terminate for delays, IP concerns, PacBio’s change in control, or without cause.</w:t>
      </w:r>
    </w:p>
    <w:p>
      <w:pPr>
        <w:spacing w:after="0" w:line="30" w:lineRule="exact"/>
        <w:rPr>
          <w:sz w:val="20"/>
          <w:szCs w:val="20"/>
          <w:color w:val="auto"/>
        </w:rPr>
      </w:pPr>
    </w:p>
    <w:p>
      <w:pPr>
        <w:jc w:val="both"/>
        <w:ind w:right="180" w:firstLine="440"/>
        <w:spacing w:after="0" w:line="238" w:lineRule="auto"/>
        <w:rPr>
          <w:sz w:val="20"/>
          <w:szCs w:val="20"/>
          <w:color w:val="auto"/>
        </w:rPr>
      </w:pPr>
      <w:r>
        <w:rPr>
          <w:rFonts w:ascii="Arial" w:cs="Arial" w:eastAsia="Arial" w:hAnsi="Arial"/>
          <w:sz w:val="17"/>
          <w:szCs w:val="17"/>
          <w:color w:val="auto"/>
        </w:rPr>
        <w:t>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reimbursed to us, and in certain circumstances, a mutually agreed return.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We expect to incur significant development costs over the duration of the Development Agreement. There can be no assurances that the development program will be successful or that the Program Products will become ready for commercial sale.</w:t>
      </w:r>
    </w:p>
    <w:p>
      <w:pPr>
        <w:spacing w:after="0" w:line="35"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 xml:space="preserve">We determined that the primary benefit from the arrangement to Invitae is the ability to procure the Program Products during the Preferential Pricing Period at substantial discounts. As we expect the Program Products to be available for Invitae to purchase in the future, we concluded the arrangement is within the scope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In addition, Invitae is not expected to substantially benefit from the intellectual property developed under the arrangement, or benefit from other goods or services during the development period. It is also not a collaboration in the scope of ASC Topic 808 Collaborative Arrangements, as PacBio is responsible for performing the research and development activities.</w:t>
      </w:r>
    </w:p>
    <w:p>
      <w:pPr>
        <w:spacing w:after="0" w:line="26" w:lineRule="exact"/>
        <w:rPr>
          <w:sz w:val="20"/>
          <w:szCs w:val="20"/>
          <w:color w:val="auto"/>
        </w:rPr>
      </w:pPr>
    </w:p>
    <w:p>
      <w:pPr>
        <w:ind w:right="80" w:firstLine="440"/>
        <w:spacing w:after="0" w:line="261" w:lineRule="auto"/>
        <w:rPr>
          <w:sz w:val="20"/>
          <w:szCs w:val="20"/>
          <w:color w:val="auto"/>
        </w:rPr>
      </w:pPr>
      <w:r>
        <w:rPr>
          <w:rFonts w:ascii="Arial" w:cs="Arial" w:eastAsia="Arial" w:hAnsi="Arial"/>
          <w:sz w:val="16"/>
          <w:szCs w:val="16"/>
          <w:color w:val="auto"/>
        </w:rPr>
        <w:t>Accordingly, the amounts received by the Company from Invitae during the development period represent significant discounts toward future supplies of the Program Products during the Preferential Pricing Period, and will be accounted as material rights in accordance with ASC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Proportionate amounts of these material rights will be recognized in revenue when Invitae places purchase orders for Program Products and the associated goods or services are delivered to Invitae. To the extent the discounts are not expected to be used, they will be recognized consistent with the guidance in Topic 606 relating to breakage, in proportion to the expected purchases by Invitae. Any remaining unused discounts will be recognized when they expire.</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amounts received from Invitae will be initially deferred and accumulated in non-current deferred revenue.</w:t>
      </w:r>
    </w:p>
    <w:p>
      <w:pPr>
        <w:spacing w:after="0" w:line="63" w:lineRule="exact"/>
        <w:rPr>
          <w:sz w:val="20"/>
          <w:szCs w:val="20"/>
          <w:color w:val="auto"/>
        </w:rPr>
      </w:pPr>
    </w:p>
    <w:p>
      <w:pPr>
        <w:jc w:val="both"/>
        <w:ind w:right="140" w:firstLine="440"/>
        <w:spacing w:after="0" w:line="253" w:lineRule="auto"/>
        <w:rPr>
          <w:sz w:val="20"/>
          <w:szCs w:val="20"/>
          <w:color w:val="auto"/>
        </w:rPr>
      </w:pPr>
      <w:r>
        <w:rPr>
          <w:rFonts w:ascii="Arial" w:cs="Arial" w:eastAsia="Arial" w:hAnsi="Arial"/>
          <w:sz w:val="17"/>
          <w:szCs w:val="17"/>
          <w:color w:val="auto"/>
        </w:rPr>
        <w:t>We determined that a significant financing component exists in relation to the amounts received by Invitae during the development period and until the development is complete. The resulting financing costs will be recognized by the Company over that period, with corresponding increases in deferred revenues. As a result, future revenue attributable to the material rights will be increased by the same amount.</w:t>
      </w:r>
    </w:p>
    <w:p>
      <w:pPr>
        <w:spacing w:after="0" w:line="30" w:lineRule="exact"/>
        <w:rPr>
          <w:sz w:val="20"/>
          <w:szCs w:val="20"/>
          <w:color w:val="auto"/>
        </w:rPr>
      </w:pPr>
    </w:p>
    <w:p>
      <w:pPr>
        <w:jc w:val="both"/>
        <w:ind w:right="140" w:firstLine="440"/>
        <w:spacing w:after="0" w:line="246" w:lineRule="auto"/>
        <w:rPr>
          <w:sz w:val="20"/>
          <w:szCs w:val="20"/>
          <w:color w:val="auto"/>
        </w:rPr>
      </w:pPr>
      <w:r>
        <w:rPr>
          <w:rFonts w:ascii="Arial" w:cs="Arial" w:eastAsia="Arial" w:hAnsi="Arial"/>
          <w:sz w:val="18"/>
          <w:szCs w:val="18"/>
          <w:color w:val="auto"/>
        </w:rPr>
        <w:t>Costs incurred to develop the Program Products are considered research and development and are expensed as incurred. There are no origination or fulfilment costs related to the arrangement with Invitae that are eligible to be capitalized.</w:t>
      </w:r>
    </w:p>
    <w:p>
      <w:pPr>
        <w:spacing w:after="0" w:line="3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As of March 31, 2021, cumulative payments received from Invitae amounted to $4.1 million, and are included in “Deferred revenue, non-current” on the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TERMINATION OF MERGER WITH ILLUMINA</w:t>
      </w:r>
    </w:p>
    <w:p>
      <w:pPr>
        <w:spacing w:after="0" w:line="175"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On November 1, 2018, we entered into an Agreement and Plan of Merger (as amended, the “Merger Agreement”) with Illumina, Inc. (“Illumina”) and FC Ops Corp., a wholly owned subsidiary of Illumina (“Merger Subsidiary”). On January 2, 2020, we, Illumina and Merger Subsidiary, entered into an agreement to terminate the Merger Agreement (the “Termination Agreement”).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Continuation Advances from Illumina</w:t>
      </w:r>
    </w:p>
    <w:p>
      <w:pPr>
        <w:spacing w:after="0" w:line="63"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As part of the Termination Agreement, Illumina paid us cash payments (“Continuation Advances”) of $18.0 million during the fourth quarter of 2019 and $34.0 million during the first quarter of 2020. We recorded the $34.0 million as part of other income in the condensed consolidated statements of operations and comprehensive income (loss) for the three months ended March 31, 2020.</w:t>
      </w:r>
    </w:p>
    <w:p>
      <w:pPr>
        <w:spacing w:after="0" w:line="40"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40" w:lineRule="exact"/>
        <w:rPr>
          <w:sz w:val="20"/>
          <w:szCs w:val="20"/>
          <w:color w:val="auto"/>
        </w:rPr>
      </w:pPr>
    </w:p>
    <w:p>
      <w:pPr>
        <w:ind w:right="180" w:firstLine="440"/>
        <w:spacing w:after="0" w:line="223" w:lineRule="auto"/>
        <w:rPr>
          <w:sz w:val="20"/>
          <w:szCs w:val="20"/>
          <w:color w:val="auto"/>
        </w:rPr>
      </w:pPr>
      <w:r>
        <w:rPr>
          <w:rFonts w:ascii="Arial" w:cs="Arial" w:eastAsia="Arial" w:hAnsi="Arial"/>
          <w:sz w:val="18"/>
          <w:szCs w:val="18"/>
          <w:color w:val="auto"/>
        </w:rPr>
        <w:t xml:space="preserve">Resulting from the issuance and sale of $900 million of 1.50% Convertible Senior Notes due February 15, 2028, $52.0 million of Continuation Advances were paid without interest to Illumina in February 2021 and recorded as other expense in the condensed consolidated statements of operations and comprehensive income (loss) for the three months ended March 31, 2021. Please 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the accounting treatment of the Continuation Advances.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Termination Fee from Illumina</w:t>
      </w:r>
    </w:p>
    <w:p>
      <w:pPr>
        <w:spacing w:after="0" w:line="63"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As part of the Termination Agreement, Illumina paid us a $98.0 million termination fee (the “Reverse Termination Fee”), from which we paid our financial advisor associated fees of $6.0 million in April 2020.</w:t>
      </w:r>
    </w:p>
    <w:p>
      <w:pPr>
        <w:spacing w:after="0" w:line="35" w:lineRule="exact"/>
        <w:rPr>
          <w:sz w:val="20"/>
          <w:szCs w:val="20"/>
          <w:color w:val="auto"/>
        </w:rPr>
      </w:pPr>
    </w:p>
    <w:p>
      <w:pPr>
        <w:ind w:right="40" w:firstLine="440"/>
        <w:spacing w:after="0"/>
        <w:rPr>
          <w:sz w:val="20"/>
          <w:szCs w:val="20"/>
          <w:color w:val="auto"/>
        </w:rPr>
      </w:pPr>
      <w:r>
        <w:rPr>
          <w:rFonts w:ascii="Arial" w:cs="Arial" w:eastAsia="Arial" w:hAnsi="Arial"/>
          <w:sz w:val="17"/>
          <w:szCs w:val="17"/>
          <w:color w:val="auto"/>
        </w:rPr>
        <w:t>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As indicated in ASC 450, Contingencies, a gain contingency usually is not recognized in the financial statements until the period in which all contingencies are resolved and the gain is realizable. As such, we deferred the gain from the Reverse Termination Fee from Illumina until the date when the associated contingency lapsed. On October 1, 2020, the contingency clauses lapsed and we recorded the $98.0 million as a part of other income in the fourth quarter of 2020.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63"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In the opinion of management, our accompanying unaudited condensed consolidated financial statements (“Financial Statements”) have been prepared on a consistent basis with our December 31, 2020 audited consolidated financial statements and include all adjustments, consisting of only normal recurring adjustments, necessary to fairly state the information set forth herein. The Financial Statements have been prepared in accordance with the rules and regulations of the Securities and Exchange Commission (“SEC”) and, as permitted by such rules and regulations, omit certain information and footnote disclosures necessary to present the statements in accordance with accounting principles generally accepted in the United States (“U.S. GAAP”). These Financial Statements should be read in conjunction with the audited consolidated financial statements and notes thereto included in our Annual Report on Form 10-K for the year ended December 31, 2020. The results of operations for the three months ended March 31, 2021 are not necessarily indicative of the results to be expected for the entire year or any future periods.</w:t>
      </w:r>
    </w:p>
    <w:p>
      <w:pPr>
        <w:spacing w:after="0" w:line="42"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The condensed consolidated financial statements include the accounts of Pacific Biosciences and our wholly-owned subsidiaries. All intercompany transactions and balances have been eliminated.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63" w:lineRule="exact"/>
        <w:rPr>
          <w:sz w:val="20"/>
          <w:szCs w:val="20"/>
          <w:color w:val="auto"/>
        </w:rPr>
      </w:pPr>
    </w:p>
    <w:p>
      <w:pPr>
        <w:ind w:right="280" w:firstLine="440"/>
        <w:spacing w:after="0" w:line="276" w:lineRule="auto"/>
        <w:rPr>
          <w:sz w:val="20"/>
          <w:szCs w:val="20"/>
          <w:color w:val="auto"/>
        </w:rPr>
      </w:pPr>
      <w:r>
        <w:rPr>
          <w:rFonts w:ascii="Arial" w:cs="Arial" w:eastAsia="Arial" w:hAnsi="Arial"/>
          <w:sz w:val="16"/>
          <w:szCs w:val="16"/>
          <w:color w:val="auto"/>
        </w:rPr>
        <w:t>We are subject to risks and uncertainties as a result of the novel coronavirus pandemic (“COVID-19”). The extent of the impact of the COVID-19 pandemic on our business is highly uncertain as responses to the pandemic can change quickly and information is rapidly evolving. We considered the impact of COVID-19 on the assumptions and estimates used to determine the results reported and asset valuations as of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3" w:lineRule="exact"/>
        <w:rPr>
          <w:sz w:val="20"/>
          <w:szCs w:val="20"/>
          <w:color w:val="auto"/>
        </w:rPr>
      </w:pPr>
    </w:p>
    <w:p>
      <w:pPr>
        <w:ind w:right="60" w:firstLine="440"/>
        <w:spacing w:after="0" w:line="249"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probability of repaying the Continuation Advances and Reverse Termination Fee to Illumina, the valuation and recognition of share-based compensation, the expected renewal period for service contracts to derive the amortization period for capitalized commissions, the useful lives assigned to long-lived assets, the computation of provisions for income taxes, the borrowing rate used in calculating the operating lease right-of-use assets and operating lease liabilities, the borrowing rate used in calculating the financing component of the Invitae collaboration and valuations related to our convertible senior notes. Actual results could differ materially from these estimates.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63" w:lineRule="exact"/>
        <w:rPr>
          <w:sz w:val="20"/>
          <w:szCs w:val="20"/>
          <w:color w:val="auto"/>
        </w:rPr>
      </w:pPr>
    </w:p>
    <w:p>
      <w:pPr>
        <w:ind w:right="400" w:firstLine="440"/>
        <w:spacing w:after="0" w:line="246" w:lineRule="auto"/>
        <w:rPr>
          <w:sz w:val="20"/>
          <w:szCs w:val="20"/>
          <w:color w:val="auto"/>
        </w:rPr>
      </w:pPr>
      <w:r>
        <w:rPr>
          <w:rFonts w:ascii="Arial" w:cs="Arial" w:eastAsia="Arial" w:hAnsi="Arial"/>
          <w:sz w:val="18"/>
          <w:szCs w:val="18"/>
          <w:color w:val="auto"/>
        </w:rPr>
        <w:t>The carrying amount of our accounts receivable, prepaid expenses, other current assets, accounts payable, accrued expenses and other liabilities, current, approximate fair value due to their short maturities.</w:t>
      </w:r>
    </w:p>
    <w:p>
      <w:pPr>
        <w:spacing w:after="0" w:line="35" w:lineRule="exact"/>
        <w:rPr>
          <w:sz w:val="20"/>
          <w:szCs w:val="20"/>
          <w:color w:val="auto"/>
        </w:rPr>
      </w:pPr>
    </w:p>
    <w:p>
      <w:pPr>
        <w:ind w:right="800" w:firstLine="440"/>
        <w:spacing w:after="0" w:line="274" w:lineRule="auto"/>
        <w:rPr>
          <w:sz w:val="20"/>
          <w:szCs w:val="20"/>
          <w:color w:val="auto"/>
        </w:rPr>
      </w:pPr>
      <w:r>
        <w:rPr>
          <w:rFonts w:ascii="Arial" w:cs="Arial" w:eastAsia="Arial" w:hAnsi="Arial"/>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1100" w:right="40"/>
        <w:spacing w:after="0" w:line="253"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7" w:lineRule="exact"/>
        <w:rPr>
          <w:sz w:val="20"/>
          <w:szCs w:val="20"/>
          <w:color w:val="auto"/>
        </w:rPr>
      </w:pPr>
    </w:p>
    <w:p>
      <w:pPr>
        <w:ind w:left="1100" w:right="60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5" w:lineRule="exact"/>
        <w:rPr>
          <w:sz w:val="20"/>
          <w:szCs w:val="20"/>
          <w:color w:val="auto"/>
        </w:rPr>
      </w:pPr>
    </w:p>
    <w:p>
      <w:pPr>
        <w:ind w:right="120" w:firstLine="482"/>
        <w:spacing w:after="0" w:line="246"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6"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40" w:lineRule="exact"/>
        <w:rPr>
          <w:sz w:val="20"/>
          <w:szCs w:val="20"/>
          <w:color w:val="auto"/>
        </w:rPr>
      </w:pPr>
    </w:p>
    <w:p>
      <w:pPr>
        <w:ind w:right="280" w:firstLine="440"/>
        <w:spacing w:after="0" w:line="23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fair value of our financial assets and liabilities that were measured on a recurring basis as of March 31, 2021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March 31, 2021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83"/>
        </w:trPr>
        <w:tc>
          <w:tcPr>
            <w:tcW w:w="28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1</w:t>
            </w: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9"/>
              <w:spacing w:after="0"/>
              <w:rPr>
                <w:sz w:val="20"/>
                <w:szCs w:val="20"/>
                <w:color w:val="auto"/>
              </w:rPr>
            </w:pPr>
            <w:r>
              <w:rPr>
                <w:rFonts w:ascii="Arial" w:cs="Arial" w:eastAsia="Arial" w:hAnsi="Arial"/>
                <w:sz w:val="13"/>
                <w:szCs w:val="13"/>
                <w:b w:val="1"/>
                <w:bCs w:val="1"/>
                <w:color w:val="auto"/>
              </w:rPr>
              <w:t>Total</w:t>
            </w:r>
          </w:p>
        </w:tc>
      </w:tr>
      <w:tr>
        <w:trPr>
          <w:trHeight w:val="211"/>
        </w:trPr>
        <w:tc>
          <w:tcPr>
            <w:tcW w:w="2820" w:type="dxa"/>
            <w:vAlign w:val="bottom"/>
            <w:gridSpan w:val="4"/>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01"/>
        </w:trPr>
        <w:tc>
          <w:tcPr>
            <w:tcW w:w="2820" w:type="dxa"/>
            <w:vAlign w:val="bottom"/>
            <w:gridSpan w:val="4"/>
          </w:tcPr>
          <w:p>
            <w:pPr>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Cash and money market funds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906,453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906,453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43,040</w:t>
            </w:r>
          </w:p>
        </w:tc>
      </w:tr>
      <w:tr>
        <w:trPr>
          <w:trHeight w:val="229"/>
        </w:trPr>
        <w:tc>
          <w:tcPr>
            <w:tcW w:w="2820" w:type="dxa"/>
            <w:vAlign w:val="bottom"/>
            <w:gridSpan w:val="4"/>
          </w:tcPr>
          <w:p>
            <w:pPr>
              <w:spacing w:after="0"/>
              <w:rPr>
                <w:sz w:val="20"/>
                <w:szCs w:val="20"/>
                <w:color w:val="auto"/>
              </w:rPr>
            </w:pPr>
            <w:r>
              <w:rPr>
                <w:rFonts w:ascii="Arial" w:cs="Arial" w:eastAsia="Arial" w:hAnsi="Arial"/>
                <w:sz w:val="14"/>
                <w:szCs w:val="14"/>
                <w:color w:val="auto"/>
              </w:rPr>
              <w:t>Commercial paper</w:t>
            </w: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32,537</w:t>
            </w:r>
          </w:p>
        </w:tc>
      </w:tr>
      <w:tr>
        <w:trPr>
          <w:trHeight w:val="230"/>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30"/>
        </w:trPr>
        <w:tc>
          <w:tcPr>
            <w:tcW w:w="2820" w:type="dxa"/>
            <w:vAlign w:val="bottom"/>
            <w:gridSpan w:val="4"/>
          </w:tcPr>
          <w:p>
            <w:pPr>
              <w:spacing w:after="0"/>
              <w:rPr>
                <w:sz w:val="20"/>
                <w:szCs w:val="20"/>
                <w:color w:val="auto"/>
              </w:rPr>
            </w:pPr>
            <w:r>
              <w:rPr>
                <w:rFonts w:ascii="Arial" w:cs="Arial" w:eastAsia="Arial" w:hAnsi="Arial"/>
                <w:sz w:val="14"/>
                <w:szCs w:val="14"/>
                <w:color w:val="auto"/>
              </w:rPr>
              <w:t>U.S. Treasury security</w:t>
            </w: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5,864</w:t>
            </w:r>
          </w:p>
        </w:tc>
      </w:tr>
      <w:tr>
        <w:trPr>
          <w:trHeight w:val="20"/>
        </w:trPr>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cash and cash equivalents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906,453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932,398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81,611</w:t>
            </w:r>
          </w:p>
        </w:tc>
      </w:tr>
      <w:tr>
        <w:trPr>
          <w:trHeight w:val="216"/>
        </w:trPr>
        <w:tc>
          <w:tcPr>
            <w:tcW w:w="2820" w:type="dxa"/>
            <w:vAlign w:val="bottom"/>
            <w:gridSpan w:val="4"/>
          </w:tcPr>
          <w:p>
            <w:pPr>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75,465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75,465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112,644</w:t>
            </w:r>
          </w:p>
        </w:tc>
      </w:tr>
      <w:tr>
        <w:trPr>
          <w:trHeight w:val="229"/>
        </w:trPr>
        <w:tc>
          <w:tcPr>
            <w:tcW w:w="2820" w:type="dxa"/>
            <w:vAlign w:val="bottom"/>
            <w:gridSpan w:val="4"/>
          </w:tcPr>
          <w:p>
            <w:pPr>
              <w:spacing w:after="0"/>
              <w:rPr>
                <w:sz w:val="20"/>
                <w:szCs w:val="20"/>
                <w:color w:val="auto"/>
              </w:rPr>
            </w:pPr>
            <w:r>
              <w:rPr>
                <w:rFonts w:ascii="Arial" w:cs="Arial" w:eastAsia="Arial" w:hAnsi="Arial"/>
                <w:sz w:val="14"/>
                <w:szCs w:val="14"/>
                <w:color w:val="auto"/>
              </w:rPr>
              <w:t>Corporate debt securities</w:t>
            </w:r>
          </w:p>
        </w:tc>
        <w:tc>
          <w:tcPr>
            <w:tcW w:w="1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17,456</w:t>
            </w:r>
          </w:p>
        </w:tc>
      </w:tr>
      <w:tr>
        <w:trPr>
          <w:trHeight w:val="230"/>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107,103</w:t>
            </w:r>
          </w:p>
        </w:tc>
      </w:tr>
      <w:tr>
        <w:trPr>
          <w:trHeight w:val="20"/>
        </w:trPr>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0"/>
        </w:trPr>
        <w:tc>
          <w:tcPr>
            <w:tcW w:w="2820" w:type="dxa"/>
            <w:vAlign w:val="bottom"/>
            <w:gridSpan w:val="4"/>
          </w:tcPr>
          <w:p>
            <w:pPr>
              <w:spacing w:after="0"/>
              <w:rPr>
                <w:sz w:val="20"/>
                <w:szCs w:val="20"/>
                <w:color w:val="auto"/>
              </w:rPr>
            </w:pPr>
            <w:r>
              <w:rPr>
                <w:rFonts w:ascii="Arial" w:cs="Arial" w:eastAsia="Arial" w:hAnsi="Arial"/>
                <w:sz w:val="14"/>
                <w:szCs w:val="14"/>
                <w:color w:val="auto"/>
              </w:rPr>
              <w:t>Total investments</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227,921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237,203</w:t>
            </w:r>
          </w:p>
        </w:tc>
      </w:tr>
      <w:tr>
        <w:trPr>
          <w:trHeight w:val="216"/>
        </w:trPr>
        <w:tc>
          <w:tcPr>
            <w:tcW w:w="156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2"/>
              </w:rPr>
              <w:t>Short-term restricted cash:</w:t>
            </w:r>
          </w:p>
        </w:tc>
        <w:tc>
          <w:tcPr>
            <w:tcW w:w="1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223"/>
        </w:trPr>
        <w:tc>
          <w:tcPr>
            <w:tcW w:w="2820" w:type="dxa"/>
            <w:vAlign w:val="bottom"/>
            <w:gridSpan w:val="4"/>
          </w:tcPr>
          <w:p>
            <w:pPr>
              <w:spacing w:after="0"/>
              <w:rPr>
                <w:sz w:val="20"/>
                <w:szCs w:val="20"/>
                <w:color w:val="auto"/>
              </w:rPr>
            </w:pPr>
            <w:r>
              <w:rPr>
                <w:rFonts w:ascii="Arial" w:cs="Arial" w:eastAsia="Arial" w:hAnsi="Arial"/>
                <w:sz w:val="14"/>
                <w:szCs w:val="14"/>
                <w:color w:val="auto"/>
              </w:rPr>
              <w:t>Cash</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w:t>
            </w:r>
          </w:p>
        </w:tc>
      </w:tr>
      <w:tr>
        <w:trPr>
          <w:trHeight w:val="216"/>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Long-term restricted cash:</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3"/>
        </w:trPr>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Cash</w:t>
            </w:r>
          </w:p>
        </w:tc>
        <w:tc>
          <w:tcPr>
            <w:tcW w:w="130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ind w:left="400"/>
              <w:spacing w:after="0"/>
              <w:rPr>
                <w:sz w:val="20"/>
                <w:szCs w:val="20"/>
                <w:color w:val="auto"/>
              </w:rPr>
            </w:pPr>
            <w:r>
              <w:rPr>
                <w:rFonts w:ascii="Arial" w:cs="Arial" w:eastAsia="Arial" w:hAnsi="Arial"/>
                <w:sz w:val="14"/>
                <w:szCs w:val="14"/>
                <w:color w:val="auto"/>
                <w:w w:val="71"/>
              </w:rPr>
              <w:t>—</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r>
      <w:tr>
        <w:trPr>
          <w:trHeight w:val="20"/>
        </w:trPr>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96"/>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910,789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1,164,655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323,150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70"/>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2820" w:type="dxa"/>
            <w:vAlign w:val="bottom"/>
            <w:gridSpan w:val="4"/>
          </w:tcPr>
          <w:p>
            <w:pPr>
              <w:spacing w:after="0"/>
              <w:rPr>
                <w:sz w:val="20"/>
                <w:szCs w:val="20"/>
                <w:color w:val="auto"/>
              </w:rPr>
            </w:pPr>
            <w:r>
              <w:rPr>
                <w:rFonts w:ascii="Arial" w:cs="Arial" w:eastAsia="Arial" w:hAnsi="Arial"/>
                <w:sz w:val="14"/>
                <w:szCs w:val="14"/>
                <w:color w:val="auto"/>
              </w:rPr>
              <w:t>Continuation Advances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ind w:left="400"/>
              <w:spacing w:after="0"/>
              <w:rPr>
                <w:sz w:val="20"/>
                <w:szCs w:val="20"/>
                <w:color w:val="auto"/>
              </w:rPr>
            </w:pPr>
            <w:r>
              <w:rPr>
                <w:rFonts w:ascii="Arial" w:cs="Arial" w:eastAsia="Arial" w:hAnsi="Arial"/>
                <w:sz w:val="14"/>
                <w:szCs w:val="14"/>
                <w:color w:val="auto"/>
                <w:w w:val="71"/>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6"/>
        </w:trPr>
        <w:tc>
          <w:tcPr>
            <w:tcW w:w="2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liabilities measured at fair value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1"/>
              </w:rPr>
              <w:t>—</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Continuation Advances liability</w:t>
      </w:r>
    </w:p>
    <w:p>
      <w:pPr>
        <w:spacing w:after="0" w:line="63" w:lineRule="exact"/>
        <w:rPr>
          <w:sz w:val="20"/>
          <w:szCs w:val="20"/>
          <w:color w:val="auto"/>
        </w:rPr>
      </w:pPr>
    </w:p>
    <w:p>
      <w:pPr>
        <w:jc w:val="both"/>
        <w:ind w:right="100" w:firstLine="440"/>
        <w:spacing w:after="0" w:line="227" w:lineRule="auto"/>
        <w:rPr>
          <w:sz w:val="20"/>
          <w:szCs w:val="20"/>
          <w:color w:val="auto"/>
        </w:rPr>
      </w:pPr>
      <w:r>
        <w:rPr>
          <w:rFonts w:ascii="Arial" w:cs="Arial" w:eastAsia="Arial" w:hAnsi="Arial"/>
          <w:sz w:val="18"/>
          <w:szCs w:val="18"/>
          <w:color w:val="auto"/>
        </w:rPr>
        <w:t xml:space="preserve">In accordance with the terms of the Merger Agreement, we received financing from Illumina in the form of Continuation Advances of $18.0 million and $34.0 million from Illumina during the fourth quarter of 2019 and the first quarter of 2020, respectively. The Continuation Advances were provided to the Company to support the Company’s working capital needs in light of the continued negative cash flows incurred by the Company during the extended regulatory approval period for the merger and the Company’s need for additional capital to meet its debt repayment obligations and to fund its operations. As discussed in Note 3. </w:t>
      </w:r>
      <w:r>
        <w:rPr>
          <w:rFonts w:ascii="Arial" w:cs="Arial" w:eastAsia="Arial" w:hAnsi="Arial"/>
          <w:sz w:val="18"/>
          <w:szCs w:val="18"/>
          <w:i w:val="1"/>
          <w:iCs w:val="1"/>
          <w:color w:val="auto"/>
        </w:rPr>
        <w:t>Termination of Merger with Illumina</w:t>
      </w:r>
      <w:r>
        <w:rPr>
          <w:rFonts w:ascii="Arial" w:cs="Arial" w:eastAsia="Arial" w:hAnsi="Arial"/>
          <w:sz w:val="18"/>
          <w:szCs w:val="18"/>
          <w:color w:val="auto"/>
        </w:rPr>
        <w:t>, the Merger Agreement was entered into in November 2018 and was ultimately terminated in January 2020.</w:t>
      </w:r>
    </w:p>
    <w:p>
      <w:pPr>
        <w:spacing w:after="0" w:line="40"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We determined that the Continuation Advances, which are subject to repayment under certain circumstances as discussed below, constitute a financial liability.</w:t>
      </w:r>
    </w:p>
    <w:p>
      <w:pPr>
        <w:spacing w:after="0" w:line="35" w:lineRule="exact"/>
        <w:rPr>
          <w:sz w:val="20"/>
          <w:szCs w:val="20"/>
          <w:color w:val="auto"/>
        </w:rPr>
      </w:pPr>
    </w:p>
    <w:p>
      <w:pPr>
        <w:ind w:right="60" w:firstLine="440"/>
        <w:spacing w:after="0" w:line="227" w:lineRule="auto"/>
        <w:rPr>
          <w:sz w:val="20"/>
          <w:szCs w:val="20"/>
          <w:color w:val="auto"/>
        </w:rPr>
      </w:pPr>
      <w:r>
        <w:rPr>
          <w:rFonts w:ascii="Arial" w:cs="Arial" w:eastAsia="Arial" w:hAnsi="Arial"/>
          <w:sz w:val="18"/>
          <w:szCs w:val="18"/>
          <w:color w:val="auto"/>
        </w:rPr>
        <w:t xml:space="preserve">The fair value option was elected for the financial liability because management believes that among all measurement methods allowed by Accounting Standards Codification, or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would most fairly represent the value of such a financial liability. Management applied the income approach to estimate the fair value of this financial liability. The estimated fair value of the liability related to the Continuation Advances was determined using Level 3 inputs, or significant unobservable inputs. Management estimated that the fair value of this financial instrument was immaterial because of the low probability of either of the following events occurring and requiring repayment to Illumina as of December 31, 2020:</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enter into a Change of Control Transaction within two years following March 31, 2020; or</w:t>
      </w:r>
    </w:p>
    <w:p>
      <w:pPr>
        <w:spacing w:after="0" w:line="90"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we raise $100 million or more in a single equity or debt financing (that may have multiple closings) within two years following March 31, 2020, with the amount repayable dependent on the amount raised by us.</w:t>
      </w:r>
    </w:p>
    <w:p>
      <w:pPr>
        <w:spacing w:after="0" w:line="35" w:lineRule="exact"/>
        <w:rPr>
          <w:sz w:val="20"/>
          <w:szCs w:val="20"/>
          <w:color w:val="auto"/>
        </w:rPr>
      </w:pPr>
    </w:p>
    <w:p>
      <w:pPr>
        <w:ind w:right="40" w:firstLine="440"/>
        <w:spacing w:after="0" w:line="231" w:lineRule="auto"/>
        <w:rPr>
          <w:sz w:val="20"/>
          <w:szCs w:val="20"/>
          <w:color w:val="auto"/>
        </w:rPr>
      </w:pPr>
      <w:r>
        <w:rPr>
          <w:rFonts w:ascii="Arial" w:cs="Arial" w:eastAsia="Arial" w:hAnsi="Arial"/>
          <w:sz w:val="18"/>
          <w:szCs w:val="18"/>
          <w:color w:val="auto"/>
        </w:rPr>
        <w:t>As a result, the estimated fair value of the liability associated with the contingent repayment of the Continuation Advances was assessed to be zero as of March 31, 2020 and December 31, 2020, with a resulting non-operating gain of $34.0 million recorded as “Gain from Continuation Advances from Illumina” for the quarter ended March 31, 2020. We recorded a similar gain of $18.0 million in 2019 for the Continuation Advances received during the fourth quarter of 2019.</w:t>
      </w:r>
    </w:p>
    <w:p>
      <w:pPr>
        <w:spacing w:after="0" w:line="40" w:lineRule="exact"/>
        <w:rPr>
          <w:sz w:val="20"/>
          <w:szCs w:val="20"/>
          <w:color w:val="auto"/>
        </w:rPr>
      </w:pPr>
    </w:p>
    <w:p>
      <w:pPr>
        <w:ind w:right="20" w:firstLine="440"/>
        <w:spacing w:after="0" w:line="227" w:lineRule="auto"/>
        <w:rPr>
          <w:sz w:val="20"/>
          <w:szCs w:val="20"/>
          <w:color w:val="auto"/>
        </w:rPr>
      </w:pPr>
      <w:r>
        <w:rPr>
          <w:rFonts w:ascii="Arial" w:cs="Arial" w:eastAsia="Arial" w:hAnsi="Arial"/>
          <w:sz w:val="18"/>
          <w:szCs w:val="18"/>
          <w:color w:val="auto"/>
        </w:rPr>
        <w:t xml:space="preserve">The Company was first approached by SB Northstar LP during the quarter ended March 31, 2021 regarding a potential convertible debt transaction. As discussed further below in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in February 2021, the Company entered into an investment agreement with SB Northstar LP for the issuance and sale of $900 million of 1.50% Convertible Senior Notes due February 15, 2028. As a result, $52.0 million of Continuation Advances were repaid without interest to Illumina in February 2021 and recorded as other expense in the condensed consolidated statements of operations and comprehensive income (loss) for the quarter ended March 31, 2021. There was no further liability exposure for Continuation Advances as of March 31, 2021.</w:t>
      </w:r>
    </w:p>
    <w:p>
      <w:pPr>
        <w:spacing w:after="0" w:line="40"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For the quarter ended March 31, 2021, there were no transfers between Level 1, Level 2, or Level 3 assets or liabilities reported at fair value on a recurring basis and our valuation techniques did not change compared to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44" w:lineRule="exact"/>
        <w:rPr>
          <w:sz w:val="20"/>
          <w:szCs w:val="20"/>
          <w:color w:val="auto"/>
        </w:rPr>
      </w:pPr>
    </w:p>
    <w:p>
      <w:pPr>
        <w:ind w:firstLine="440"/>
        <w:spacing w:after="0" w:line="246" w:lineRule="auto"/>
        <w:rPr>
          <w:sz w:val="20"/>
          <w:szCs w:val="20"/>
          <w:color w:val="auto"/>
        </w:rPr>
      </w:pPr>
      <w:r>
        <w:rPr>
          <w:rFonts w:ascii="Arial" w:cs="Arial" w:eastAsia="Arial" w:hAnsi="Arial"/>
          <w:sz w:val="17"/>
          <w:szCs w:val="17"/>
          <w:color w:val="auto"/>
        </w:rPr>
        <w:t>Basic net income (loss) per share is computed by dividing net income (loss) by the weighted average number of shares of common stock outstanding during the period. Diluted net income (loss) per share is computed using the weighted average number of shares of common stock outstanding and potential shares assuming the dilutive effect of the convertible senior notes, using the if-converted method, and outstanding stock options, restricted stock units and common stock issuable pursuant to our employee stock purchase plan, or ESPP, using the treasury stock method.</w:t>
      </w:r>
    </w:p>
    <w:p>
      <w:pPr>
        <w:spacing w:after="0" w:line="117" w:lineRule="exact"/>
        <w:rPr>
          <w:sz w:val="20"/>
          <w:szCs w:val="20"/>
          <w:color w:val="auto"/>
        </w:rPr>
      </w:pPr>
    </w:p>
    <w:p>
      <w:pPr>
        <w:jc w:val="both"/>
        <w:ind w:right="140" w:firstLine="440"/>
        <w:spacing w:after="0" w:line="225" w:lineRule="auto"/>
        <w:rPr>
          <w:sz w:val="20"/>
          <w:szCs w:val="20"/>
          <w:color w:val="auto"/>
        </w:rPr>
      </w:pPr>
      <w:r>
        <w:rPr>
          <w:rFonts w:ascii="Arial" w:cs="Arial" w:eastAsia="Arial" w:hAnsi="Arial"/>
          <w:sz w:val="18"/>
          <w:szCs w:val="18"/>
          <w:color w:val="auto"/>
        </w:rPr>
        <w:t>The following table presents the calculation of weighted average shares of common stock used in the computations of basic and diluted net income (loss) per share amounts presented in the accompanying condensed consolidated statements of operations and comprehensive income (loss) (in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90"/>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02"/>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(87,435)</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used in computing basic net income (loss) per share</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153,453</w:t>
            </w:r>
          </w:p>
        </w:tc>
      </w:tr>
      <w:tr>
        <w:trPr>
          <w:trHeight w:val="263"/>
        </w:trPr>
        <w:tc>
          <w:tcPr>
            <w:tcW w:w="83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2"/>
                <w:szCs w:val="2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190"/>
        </w:trPr>
        <w:tc>
          <w:tcPr>
            <w:tcW w:w="8300" w:type="dxa"/>
            <w:vAlign w:val="bottom"/>
            <w:tcBorders>
              <w:top w:val="single" w:sz="8" w:color="CCEEFF"/>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56"/>
        </w:trPr>
        <w:tc>
          <w:tcPr>
            <w:tcW w:w="8300" w:type="dxa"/>
            <w:vAlign w:val="bottom"/>
          </w:tcPr>
          <w:p>
            <w:pPr>
              <w:ind w:left="220"/>
              <w:spacing w:after="0"/>
              <w:rPr>
                <w:sz w:val="20"/>
                <w:szCs w:val="20"/>
                <w:color w:val="auto"/>
              </w:rPr>
            </w:pPr>
            <w:r>
              <w:rPr>
                <w:rFonts w:ascii="Arial" w:cs="Arial" w:eastAsia="Arial" w:hAnsi="Arial"/>
                <w:sz w:val="18"/>
                <w:szCs w:val="18"/>
                <w:color w:val="auto"/>
              </w:rPr>
              <w:t>Weighted average shares used in computing basic net income (loss) per share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194,790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153,453</w:t>
            </w:r>
          </w:p>
        </w:tc>
      </w:tr>
      <w:tr>
        <w:trPr>
          <w:trHeight w:val="25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weighted average stock options</w:t>
            </w: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r>
      <w:tr>
        <w:trPr>
          <w:trHeight w:val="257"/>
        </w:trPr>
        <w:tc>
          <w:tcPr>
            <w:tcW w:w="8300" w:type="dxa"/>
            <w:vAlign w:val="bottom"/>
          </w:tcPr>
          <w:p>
            <w:pPr>
              <w:ind w:left="220"/>
              <w:spacing w:after="0"/>
              <w:rPr>
                <w:sz w:val="20"/>
                <w:szCs w:val="20"/>
                <w:color w:val="auto"/>
              </w:rPr>
            </w:pPr>
            <w:r>
              <w:rPr>
                <w:rFonts w:ascii="Arial" w:cs="Arial" w:eastAsia="Arial" w:hAnsi="Arial"/>
                <w:sz w:val="18"/>
                <w:szCs w:val="18"/>
                <w:color w:val="auto"/>
              </w:rPr>
              <w:t>Add: weighted average restricted stock units</w:t>
            </w:r>
          </w:p>
        </w:tc>
        <w:tc>
          <w:tcPr>
            <w:tcW w:w="28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7"/>
        </w:trPr>
        <w:tc>
          <w:tcPr>
            <w:tcW w:w="83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shares used in computing diluted net income (loss) per share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194,790</w:t>
            </w: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155,855</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9"/>
                <w:szCs w:val="19"/>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8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20" w:firstLine="440"/>
        <w:spacing w:after="0" w:line="231" w:lineRule="auto"/>
        <w:rPr>
          <w:sz w:val="20"/>
          <w:szCs w:val="20"/>
          <w:color w:val="auto"/>
        </w:rPr>
      </w:pPr>
      <w:r>
        <w:rPr>
          <w:rFonts w:ascii="Arial" w:cs="Arial" w:eastAsia="Arial" w:hAnsi="Arial"/>
          <w:sz w:val="18"/>
          <w:szCs w:val="18"/>
          <w:color w:val="auto"/>
        </w:rPr>
        <w:t xml:space="preserve">The following outstanding shares issuable upon conversion of the convertible senior notes, common stock options, restricted stock units (“RSUs”), with time-based vesting and RSUs with performance-based vesting, were excluded from the computation of diluted net loss per share for the periods presented because including them would have had an anti-dilutive effect.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detailed information on RSUs with time-based vesting and RSUs with performance-based vesting.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3820" w:type="dxa"/>
            <w:vAlign w:val="bottom"/>
            <w:gridSpan w:val="3"/>
          </w:tcPr>
          <w:p>
            <w:pPr>
              <w:jc w:val="right"/>
              <w:ind w:right="833"/>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7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convertible senior notes</w:t>
            </w:r>
          </w:p>
        </w:tc>
        <w:tc>
          <w:tcPr>
            <w:tcW w:w="17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20,690</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tcPr>
          <w:p>
            <w:pPr>
              <w:jc w:val="right"/>
              <w:ind w:right="95"/>
              <w:spacing w:after="0"/>
              <w:rPr>
                <w:sz w:val="20"/>
                <w:szCs w:val="20"/>
                <w:color w:val="auto"/>
              </w:rPr>
            </w:pPr>
            <w:r>
              <w:rPr>
                <w:rFonts w:ascii="Arial" w:cs="Arial" w:eastAsia="Arial" w:hAnsi="Arial"/>
                <w:sz w:val="18"/>
                <w:szCs w:val="18"/>
                <w:color w:val="auto"/>
              </w:rPr>
              <w:t>12,332</w:t>
            </w:r>
          </w:p>
        </w:tc>
        <w:tc>
          <w:tcPr>
            <w:tcW w:w="220" w:type="dxa"/>
            <w:vAlign w:val="bottom"/>
          </w:tcPr>
          <w:p>
            <w:pPr>
              <w:spacing w:after="0"/>
              <w:rPr>
                <w:sz w:val="19"/>
                <w:szCs w:val="19"/>
                <w:color w:val="auto"/>
              </w:rPr>
            </w:pPr>
          </w:p>
        </w:tc>
        <w:tc>
          <w:tcPr>
            <w:tcW w:w="1880" w:type="dxa"/>
            <w:vAlign w:val="bottom"/>
          </w:tcPr>
          <w:p>
            <w:pPr>
              <w:jc w:val="right"/>
              <w:ind w:right="73"/>
              <w:spacing w:after="0"/>
              <w:rPr>
                <w:sz w:val="20"/>
                <w:szCs w:val="20"/>
                <w:color w:val="auto"/>
              </w:rPr>
            </w:pPr>
            <w:r>
              <w:rPr>
                <w:rFonts w:ascii="Arial" w:cs="Arial" w:eastAsia="Arial" w:hAnsi="Arial"/>
                <w:sz w:val="18"/>
                <w:szCs w:val="18"/>
                <w:color w:val="auto"/>
              </w:rPr>
              <w:t>14,265</w:t>
            </w:r>
          </w:p>
        </w:tc>
      </w:tr>
      <w:tr>
        <w:trPr>
          <w:trHeight w:val="22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RSUs with time-based vesting</w:t>
            </w:r>
          </w:p>
        </w:tc>
        <w:tc>
          <w:tcPr>
            <w:tcW w:w="17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6,527</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2,208</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RSUs with performance-based vesting</w:t>
            </w: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3"/>
              <w:spacing w:after="0"/>
              <w:rPr>
                <w:sz w:val="20"/>
                <w:szCs w:val="20"/>
                <w:color w:val="auto"/>
              </w:rPr>
            </w:pPr>
            <w:r>
              <w:rPr>
                <w:rFonts w:ascii="Arial" w:cs="Arial" w:eastAsia="Arial" w:hAnsi="Arial"/>
                <w:sz w:val="18"/>
                <w:szCs w:val="18"/>
                <w:color w:val="auto"/>
              </w:rPr>
              <w:t>138</w:t>
            </w: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ESPP shares</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1,346</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and Other Risks</w:t>
      </w:r>
    </w:p>
    <w:p>
      <w:pPr>
        <w:spacing w:after="0" w:line="63" w:lineRule="exact"/>
        <w:rPr>
          <w:sz w:val="20"/>
          <w:szCs w:val="20"/>
          <w:color w:val="auto"/>
        </w:rPr>
      </w:pPr>
    </w:p>
    <w:p>
      <w:pPr>
        <w:jc w:val="both"/>
        <w:ind w:right="60" w:firstLine="570"/>
        <w:spacing w:after="0" w:line="231" w:lineRule="auto"/>
        <w:rPr>
          <w:sz w:val="20"/>
          <w:szCs w:val="20"/>
          <w:color w:val="auto"/>
        </w:rPr>
      </w:pPr>
      <w:r>
        <w:rPr>
          <w:rFonts w:ascii="Arial" w:cs="Arial" w:eastAsia="Arial" w:hAnsi="Arial"/>
          <w:sz w:val="18"/>
          <w:szCs w:val="18"/>
          <w:color w:val="auto"/>
        </w:rPr>
        <w:t>For the three months ended March 31, 2021, Gene Company Limited accounted for approximately 12% of our total revenue during the period with no other customer exceeding 10% during the period. For the three months ended March 31, 2020, TOMY Digital Biology Co. accounted for approximately 11% of our total revenue with no other customer exceeding 10% during the period. Gene Company Limited is our primary distributor in China and TOMY Digital Biology Co. is our distributor in Japan.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44" w:lineRule="exact"/>
        <w:rPr>
          <w:sz w:val="20"/>
          <w:szCs w:val="20"/>
          <w:color w:val="auto"/>
        </w:rPr>
      </w:pPr>
    </w:p>
    <w:p>
      <w:pPr>
        <w:ind w:right="100" w:firstLine="440"/>
        <w:spacing w:after="0" w:line="233"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No. 2020-06,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and Other Options (Subtopic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This guidance simplifies the accounting for convertible instruments primarily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eliminating the existing cash conversion and beneficial conversion models within Subtopic 470-20, which will result in fewer embedded conversion options being accounted for separately from the debt host. The guidance also amends and simplifies the calculation of earnings per share relating to convertible instruments. This guidance is effective for annual periods beginning after December 15, 2021, including interim periods within that reporting period, excluding smaller reporting companies. Early adoption is permitted, but no earlier than fiscal years beginning after December 15, 2020, including interim periods within that reporting period, using either a full or modified retrospective approach. We adopted ASU 2020-06 on January 1, 2021. Because we had no convertible instruments within the scope of ASU 2020-06 at the time of adoption, there was no impact of adoption on our condensed consolidated financial statements. However, in February 2021 we issued $900 million of 1.50% Convertible Senior Notes due February 15, 2028, as described in Note 7.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which are accounted for under ASU 2020-06.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firstLine="492"/>
        <w:spacing w:after="0" w:line="261" w:lineRule="auto"/>
        <w:rPr>
          <w:sz w:val="20"/>
          <w:szCs w:val="20"/>
          <w:color w:val="auto"/>
        </w:rPr>
      </w:pPr>
      <w:r>
        <w:rPr>
          <w:rFonts w:ascii="Arial" w:cs="Arial" w:eastAsia="Arial" w:hAnsi="Arial"/>
          <w:sz w:val="16"/>
          <w:szCs w:val="16"/>
          <w:color w:val="212529"/>
        </w:rPr>
        <w:t xml:space="preserve">In December 2019, the FASB issued ASU No. 2019-12, </w:t>
      </w:r>
      <w:r>
        <w:rPr>
          <w:rFonts w:ascii="Arial" w:cs="Arial" w:eastAsia="Arial" w:hAnsi="Arial"/>
          <w:sz w:val="16"/>
          <w:szCs w:val="16"/>
          <w:i w:val="1"/>
          <w:iCs w:val="1"/>
          <w:color w:val="212529"/>
        </w:rPr>
        <w:t>Income Taxes (Topic</w:t>
      </w:r>
      <w:r>
        <w:rPr>
          <w:rFonts w:ascii="Arial" w:cs="Arial" w:eastAsia="Arial" w:hAnsi="Arial"/>
          <w:sz w:val="16"/>
          <w:szCs w:val="16"/>
          <w:color w:val="212529"/>
        </w:rPr>
        <w:t xml:space="preserve"> 740</w:t>
      </w:r>
      <w:r>
        <w:rPr>
          <w:rFonts w:ascii="Arial" w:cs="Arial" w:eastAsia="Arial" w:hAnsi="Arial"/>
          <w:sz w:val="16"/>
          <w:szCs w:val="16"/>
          <w:i w:val="1"/>
          <w:iCs w:val="1"/>
          <w:color w:val="212529"/>
        </w:rPr>
        <w:t>): Simplifying the Accounting for Income Taxes</w:t>
      </w:r>
      <w:r>
        <w:rPr>
          <w:rFonts w:ascii="Arial" w:cs="Arial" w:eastAsia="Arial" w:hAnsi="Arial"/>
          <w:sz w:val="16"/>
          <w:szCs w:val="16"/>
          <w:color w:val="212529"/>
        </w:rPr>
        <w:t xml:space="preserve">. This ASU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w:t>
      </w:r>
      <w:r>
        <w:rPr>
          <w:rFonts w:ascii="Arial" w:cs="Arial" w:eastAsia="Arial" w:hAnsi="Arial"/>
          <w:sz w:val="16"/>
          <w:szCs w:val="16"/>
          <w:color w:val="000000"/>
        </w:rPr>
        <w:t>The</w:t>
      </w:r>
      <w:r>
        <w:rPr>
          <w:rFonts w:ascii="Arial" w:cs="Arial" w:eastAsia="Arial" w:hAnsi="Arial"/>
          <w:sz w:val="16"/>
          <w:szCs w:val="16"/>
          <w:color w:val="212529"/>
        </w:rPr>
        <w:t xml:space="preserve"> </w:t>
      </w:r>
      <w:r>
        <w:rPr>
          <w:rFonts w:ascii="Arial" w:cs="Arial" w:eastAsia="Arial" w:hAnsi="Arial"/>
          <w:sz w:val="16"/>
          <w:szCs w:val="16"/>
          <w:color w:val="000000"/>
        </w:rPr>
        <w:t>standard is effective for our annual reporting periods beginning after December 15, 2020, including interim reporting periods within those fiscal years. We adopted ASU 2019-12 on January 1, 2021, and the adoption did not have a material impact on our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Except for the adoption of ASU 2020-06 as discussed above and in Note 7</w:t>
      </w:r>
      <w:r>
        <w:rPr>
          <w:rFonts w:ascii="Arial" w:cs="Arial" w:eastAsia="Arial" w:hAnsi="Arial"/>
          <w:sz w:val="17"/>
          <w:szCs w:val="17"/>
          <w:i w:val="1"/>
          <w:iCs w:val="1"/>
          <w:color w:val="auto"/>
        </w:rPr>
        <w:t>. Convertible Senior Notes</w:t>
      </w:r>
      <w:r>
        <w:rPr>
          <w:rFonts w:ascii="Arial" w:cs="Arial" w:eastAsia="Arial" w:hAnsi="Arial"/>
          <w:sz w:val="17"/>
          <w:szCs w:val="17"/>
          <w:color w:val="auto"/>
        </w:rPr>
        <w:t>, there have been no new or material changes to the significant accounting policies discussed in our Annual Report on Form 10-K for the fiscal year ended December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INVESTMENTS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cash, cash equivalents and investments as of March 31, 2021 and December 31, 2020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As of March 31, 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906,453</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906,453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25,945</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932,400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932,398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136,908</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investments</w:t>
            </w:r>
          </w:p>
        </w:tc>
        <w:tc>
          <w:tcPr>
            <w:tcW w:w="9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227,845</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227,921</w:t>
            </w:r>
          </w:p>
        </w:tc>
        <w:tc>
          <w:tcPr>
            <w:tcW w:w="0" w:type="dxa"/>
            <w:vAlign w:val="bottom"/>
          </w:tcPr>
          <w:p>
            <w:pPr>
              <w:spacing w:after="0"/>
              <w:rPr>
                <w:sz w:val="1"/>
                <w:szCs w:val="1"/>
                <w:color w:val="auto"/>
              </w:rPr>
            </w:pPr>
          </w:p>
        </w:tc>
      </w:tr>
      <w:tr>
        <w:trPr>
          <w:trHeight w:val="250"/>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1,160,245</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1,160,319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Short-term restricted cash:</w:t>
            </w: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2"/>
              </w:rPr>
              <w:t>As of December 31, 2020</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32,537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Treasury security</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81,611</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112,644</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17,456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investments</w:t>
            </w:r>
          </w:p>
        </w:tc>
        <w:tc>
          <w:tcPr>
            <w:tcW w:w="9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237,117</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237,203</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cash, cash equivalents and investments</w:t>
            </w: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318,729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318,814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Short-term restricted cash:</w:t>
            </w: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tcPr>
          <w:p>
            <w:pPr>
              <w:spacing w:after="0"/>
              <w:rPr>
                <w:sz w:val="24"/>
                <w:szCs w:val="24"/>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14</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firstLine="492"/>
        <w:spacing w:after="0" w:line="246" w:lineRule="auto"/>
        <w:rPr>
          <w:sz w:val="20"/>
          <w:szCs w:val="20"/>
          <w:color w:val="auto"/>
        </w:rPr>
      </w:pPr>
      <w:r>
        <w:rPr>
          <w:rFonts w:ascii="Arial" w:cs="Arial" w:eastAsia="Arial" w:hAnsi="Arial"/>
          <w:sz w:val="18"/>
          <w:szCs w:val="18"/>
          <w:color w:val="auto"/>
        </w:rPr>
        <w:t>The following table summarizes the contractual maturities of our cash equivalents and available-for-sale investments, excluding money market funds, as of March 31,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236,278</w:t>
            </w:r>
          </w:p>
        </w:tc>
      </w:tr>
      <w:tr>
        <w:trPr>
          <w:trHeight w:val="270"/>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5 years</w:t>
            </w:r>
          </w:p>
        </w:tc>
        <w:tc>
          <w:tcPr>
            <w:tcW w:w="5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w:t>
            </w:r>
          </w:p>
        </w:tc>
      </w:tr>
      <w:tr>
        <w:trPr>
          <w:trHeight w:val="237"/>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253,866</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Actual maturities may differ from contractual maturities because issuers may have the right to call or prepay obligations without call or prepayment penalties.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restricted cash</w:t>
      </w:r>
    </w:p>
    <w:p>
      <w:pPr>
        <w:spacing w:after="0" w:line="90" w:lineRule="exact"/>
        <w:rPr>
          <w:sz w:val="20"/>
          <w:szCs w:val="20"/>
          <w:color w:val="auto"/>
        </w:rPr>
      </w:pPr>
    </w:p>
    <w:p>
      <w:pPr>
        <w:ind w:right="320" w:firstLine="402"/>
        <w:spacing w:after="0" w:line="246" w:lineRule="auto"/>
        <w:rPr>
          <w:sz w:val="20"/>
          <w:szCs w:val="20"/>
          <w:color w:val="auto"/>
        </w:rPr>
      </w:pPr>
      <w:r>
        <w:rPr>
          <w:rFonts w:ascii="Arial" w:cs="Arial" w:eastAsia="Arial" w:hAnsi="Arial"/>
          <w:sz w:val="18"/>
          <w:szCs w:val="18"/>
          <w:color w:val="auto"/>
        </w:rPr>
        <w:t>As of March 31, 2021 and December 31, 2020, the short-term restricted cash balance of $0.8 million was comprised of $0.5 million of a customer deposit and $0.3 million of the security deposit for the credit cards for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2021 and December 31, 2020, our inventory consisted of the following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960" w:type="dxa"/>
            <w:vAlign w:val="bottom"/>
          </w:tcPr>
          <w:p>
            <w:pPr>
              <w:jc w:val="right"/>
              <w:ind w:right="147"/>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3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216"/>
              <w:spacing w:after="0"/>
              <w:rPr>
                <w:sz w:val="20"/>
                <w:szCs w:val="20"/>
                <w:color w:val="auto"/>
              </w:rPr>
            </w:pPr>
            <w:r>
              <w:rPr>
                <w:rFonts w:ascii="Arial" w:cs="Arial" w:eastAsia="Arial" w:hAnsi="Arial"/>
                <w:sz w:val="14"/>
                <w:szCs w:val="14"/>
                <w:b w:val="1"/>
                <w:bCs w:val="1"/>
                <w:color w:val="auto"/>
              </w:rPr>
              <w:t>2020</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Purchased materials</w:t>
            </w:r>
          </w:p>
        </w:tc>
        <w:tc>
          <w:tcPr>
            <w:tcW w:w="1960" w:type="dxa"/>
            <w:vAlign w:val="bottom"/>
            <w:shd w:val="clear" w:color="auto" w:fill="CCEEFF"/>
          </w:tcPr>
          <w:p>
            <w:pPr>
              <w:jc w:val="right"/>
              <w:ind w:right="18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4,458</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3,531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Work in process</w:t>
            </w:r>
          </w:p>
        </w:tc>
        <w:tc>
          <w:tcPr>
            <w:tcW w:w="19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6,862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jc w:val="right"/>
              <w:ind w:right="76"/>
              <w:spacing w:after="0"/>
              <w:rPr>
                <w:sz w:val="20"/>
                <w:szCs w:val="20"/>
                <w:color w:val="auto"/>
              </w:rPr>
            </w:pPr>
            <w:r>
              <w:rPr>
                <w:rFonts w:ascii="Arial" w:cs="Arial" w:eastAsia="Arial" w:hAnsi="Arial"/>
                <w:sz w:val="18"/>
                <w:szCs w:val="18"/>
                <w:color w:val="auto"/>
              </w:rPr>
              <w:t>6,651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4,948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4,048</w:t>
            </w:r>
          </w:p>
        </w:tc>
      </w:tr>
      <w:tr>
        <w:trPr>
          <w:trHeight w:val="183"/>
        </w:trPr>
        <w:tc>
          <w:tcPr>
            <w:tcW w:w="5120" w:type="dxa"/>
            <w:vAlign w:val="bottom"/>
          </w:tcPr>
          <w:p>
            <w:pPr>
              <w:ind w:left="560"/>
              <w:spacing w:after="0" w:line="182" w:lineRule="exact"/>
              <w:rPr>
                <w:sz w:val="20"/>
                <w:szCs w:val="20"/>
                <w:color w:val="auto"/>
              </w:rPr>
            </w:pPr>
            <w:r>
              <w:rPr>
                <w:rFonts w:ascii="Arial" w:cs="Arial" w:eastAsia="Arial" w:hAnsi="Arial"/>
                <w:sz w:val="18"/>
                <w:szCs w:val="18"/>
                <w:color w:val="auto"/>
              </w:rPr>
              <w:t>Inventory</w:t>
            </w:r>
          </w:p>
        </w:tc>
        <w:tc>
          <w:tcPr>
            <w:tcW w:w="1960" w:type="dxa"/>
            <w:vAlign w:val="bottom"/>
            <w:tcBorders>
              <w:bottom w:val="single" w:sz="8" w:color="auto"/>
            </w:tcBorders>
          </w:tcPr>
          <w:p>
            <w:pPr>
              <w:jc w:val="right"/>
              <w:ind w:right="18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16,268</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ind w:right="76"/>
              <w:spacing w:after="0" w:line="182" w:lineRule="exact"/>
              <w:rPr>
                <w:sz w:val="20"/>
                <w:szCs w:val="20"/>
                <w:color w:val="auto"/>
              </w:rPr>
            </w:pPr>
            <w:r>
              <w:rPr>
                <w:rFonts w:ascii="Arial" w:cs="Arial" w:eastAsia="Arial" w:hAnsi="Arial"/>
                <w:sz w:val="18"/>
                <w:szCs w:val="18"/>
                <w:color w:val="auto"/>
              </w:rPr>
              <w:t>14,230</w:t>
            </w:r>
          </w:p>
        </w:tc>
      </w:tr>
      <w:tr>
        <w:trPr>
          <w:trHeight w:val="20"/>
        </w:trPr>
        <w:tc>
          <w:tcPr>
            <w:tcW w:w="5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restricted cash</w:t>
      </w:r>
    </w:p>
    <w:p>
      <w:pPr>
        <w:spacing w:after="0" w:line="171" w:lineRule="exact"/>
        <w:rPr>
          <w:sz w:val="20"/>
          <w:szCs w:val="20"/>
          <w:color w:val="auto"/>
        </w:rPr>
      </w:pPr>
    </w:p>
    <w:p>
      <w:pPr>
        <w:ind w:right="100" w:firstLine="440"/>
        <w:spacing w:after="0" w:line="266" w:lineRule="auto"/>
        <w:rPr>
          <w:sz w:val="20"/>
          <w:szCs w:val="20"/>
          <w:color w:val="auto"/>
        </w:rPr>
      </w:pPr>
      <w:r>
        <w:rPr>
          <w:rFonts w:ascii="Arial" w:cs="Arial" w:eastAsia="Arial" w:hAnsi="Arial"/>
          <w:sz w:val="16"/>
          <w:szCs w:val="16"/>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on May 1, 2019, the amount of the letter of credit was reduced from $4.5 million to $4.0 million and in May 2020 was reduced to $3.5 million. As such, $3.5 million was recorded in “Long-term restricted cash” in the condensed consolidated balance sheet as of March 31, 2021 and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63" w:lineRule="exact"/>
        <w:rPr>
          <w:sz w:val="20"/>
          <w:szCs w:val="20"/>
          <w:color w:val="auto"/>
        </w:rPr>
      </w:pPr>
    </w:p>
    <w:p>
      <w:pPr>
        <w:ind w:right="240" w:firstLine="440"/>
        <w:spacing w:after="0"/>
        <w:rPr>
          <w:sz w:val="20"/>
          <w:szCs w:val="20"/>
          <w:color w:val="auto"/>
        </w:rPr>
      </w:pPr>
      <w:r>
        <w:rPr>
          <w:rFonts w:ascii="Arial" w:cs="Arial" w:eastAsia="Arial" w:hAnsi="Arial"/>
          <w:sz w:val="17"/>
          <w:szCs w:val="17"/>
          <w:color w:val="auto"/>
        </w:rPr>
        <w:t>As of March 31, 2021, we had a total of $15.3 million of deferred revenue, $9.6 million of which was recorded as “Deferred revenue, current” and primarily relates to our service contracts to be recognized over the next year and the remaining $5.7 million was recorded as “Deferred revenue, non-current.” Of the “Deferred revenue, non-current” balance, $1.6 million primarily relates to our service contracts and is scheduled to be recognized in the next 5 years, while $4.1 million relates to payments received under the Invitae collaboration described in Note 2. Revenue recorded in the three months ended March 31, 2021 includes $3.1 million of previously deferred revenue that was included in “Deferred revenue, current” as of December 31, 2020. Contract assets as of March 31, 2021 and December 31, 2020 were not material.</w:t>
      </w:r>
    </w:p>
    <w:p>
      <w:pPr>
        <w:spacing w:after="0" w:line="42" w:lineRule="exact"/>
        <w:rPr>
          <w:sz w:val="20"/>
          <w:szCs w:val="20"/>
          <w:color w:val="auto"/>
        </w:rPr>
      </w:pPr>
    </w:p>
    <w:p>
      <w:pPr>
        <w:ind w:right="100" w:firstLine="440"/>
        <w:spacing w:after="0" w:line="225" w:lineRule="auto"/>
        <w:rPr>
          <w:sz w:val="20"/>
          <w:szCs w:val="20"/>
          <w:color w:val="auto"/>
        </w:rPr>
      </w:pPr>
      <w:r>
        <w:rPr>
          <w:rFonts w:ascii="Arial" w:cs="Arial" w:eastAsia="Arial" w:hAnsi="Arial"/>
          <w:sz w:val="18"/>
          <w:szCs w:val="18"/>
          <w:color w:val="auto"/>
        </w:rPr>
        <w:t>As of March 31, 2021, we had a total of $0.7 million of deferred commissions included in “Prepaid expenses and other current assets” which is recognized as the related revenue is recognized. Additionally, as a practical expedient, we expense costs to obtain a contract as incurred if the amortization period would have been a year or less.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SENIOR NOTES</w:t>
      </w:r>
    </w:p>
    <w:p>
      <w:pPr>
        <w:spacing w:after="0" w:line="202" w:lineRule="exact"/>
        <w:rPr>
          <w:sz w:val="20"/>
          <w:szCs w:val="20"/>
          <w:color w:val="auto"/>
        </w:rPr>
      </w:pPr>
    </w:p>
    <w:p>
      <w:pPr>
        <w:ind w:right="140" w:firstLine="440"/>
        <w:spacing w:after="0" w:line="253" w:lineRule="auto"/>
        <w:rPr>
          <w:sz w:val="20"/>
          <w:szCs w:val="20"/>
          <w:color w:val="auto"/>
        </w:rPr>
      </w:pPr>
      <w:r>
        <w:rPr>
          <w:rFonts w:ascii="Arial" w:cs="Arial" w:eastAsia="Arial" w:hAnsi="Arial"/>
          <w:sz w:val="17"/>
          <w:szCs w:val="17"/>
          <w:color w:val="auto"/>
        </w:rPr>
        <w:t>On February 9, 2021, we entered into an investment agreement (the “Investment Agreement”) with SB Northstar LP (the “Purchaser”), a subsidiary of SoftBank Group Corp., relating to the issuance and sale to the Purchaser of $900 million in aggregate principal amount of the Company’s 1.50% Convertible Senior Notes due February 15, 2028 (the “Notes”). The Notes were issued on February 16, 2021.</w:t>
      </w:r>
    </w:p>
    <w:p>
      <w:pPr>
        <w:spacing w:after="0" w:line="30" w:lineRule="exact"/>
        <w:rPr>
          <w:sz w:val="20"/>
          <w:szCs w:val="20"/>
          <w:color w:val="auto"/>
        </w:rPr>
      </w:pPr>
    </w:p>
    <w:p>
      <w:pPr>
        <w:ind w:right="140" w:firstLine="440"/>
        <w:spacing w:after="0" w:line="235" w:lineRule="auto"/>
        <w:rPr>
          <w:sz w:val="20"/>
          <w:szCs w:val="20"/>
          <w:color w:val="auto"/>
        </w:rPr>
      </w:pPr>
      <w:r>
        <w:rPr>
          <w:rFonts w:ascii="Arial" w:cs="Arial" w:eastAsia="Arial" w:hAnsi="Arial"/>
          <w:sz w:val="18"/>
          <w:szCs w:val="18"/>
          <w:color w:val="auto"/>
        </w:rPr>
        <w:t>The Notes are governed by an indenture (the “Indenture”) between the Company and U.S. Bank National Association, as trustee. The Notes bear interest at a rate of 1.50% per annum. Interest on the Notes is payable semi-annually in arrears on February 15 and August 15 commencing on August 15, 2021. The Notes will mature on February 15, 2028, subject to earlier conversion, redemption or repurchase.</w:t>
      </w:r>
    </w:p>
    <w:p>
      <w:pPr>
        <w:spacing w:after="0" w:line="40" w:lineRule="exact"/>
        <w:rPr>
          <w:sz w:val="20"/>
          <w:szCs w:val="20"/>
          <w:color w:val="auto"/>
        </w:rPr>
      </w:pPr>
    </w:p>
    <w:p>
      <w:pPr>
        <w:ind w:right="100" w:firstLine="440"/>
        <w:spacing w:after="0" w:line="242" w:lineRule="auto"/>
        <w:rPr>
          <w:sz w:val="20"/>
          <w:szCs w:val="20"/>
          <w:color w:val="auto"/>
        </w:rPr>
      </w:pPr>
      <w:r>
        <w:rPr>
          <w:rFonts w:ascii="Arial" w:cs="Arial" w:eastAsia="Arial" w:hAnsi="Arial"/>
          <w:sz w:val="17"/>
          <w:szCs w:val="17"/>
          <w:color w:val="auto"/>
        </w:rPr>
        <w:t>The Notes are convertible at the option of the holder at any time until the second scheduled trading day prior to the maturity date, including in connection with a redemption by the Company. The Notes are convertible into shares of the Company’s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40"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On or after February 20, 2026, the Notes will be redeemable by the Company in the event that the closing sale price of the Company’s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at a redemption price of 100% of the principal amount of such Notes, plus accrued and unpaid interest to, but excluding, the redemption date.</w:t>
      </w:r>
    </w:p>
    <w:p>
      <w:pPr>
        <w:spacing w:after="0" w:line="43"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With certain exceptions, upon a change of control of the Company or the failure of the Company’s common stock to be listed on certain stock exchanges (a “Fundamental Change”), the holders of the Notes may require that the Company repurchase all or part of the principal amount of the Notes at a purchase price of par plus unpaid interest to, but excluding, the maturity date.</w:t>
      </w:r>
    </w:p>
    <w:p>
      <w:pPr>
        <w:spacing w:after="0" w:line="40"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35" w:lineRule="exact"/>
        <w:rPr>
          <w:sz w:val="20"/>
          <w:szCs w:val="20"/>
          <w:color w:val="auto"/>
        </w:rPr>
      </w:pPr>
    </w:p>
    <w:p>
      <w:pPr>
        <w:ind w:right="20" w:firstLine="440"/>
        <w:spacing w:after="0" w:line="237" w:lineRule="auto"/>
        <w:rPr>
          <w:sz w:val="20"/>
          <w:szCs w:val="20"/>
          <w:color w:val="auto"/>
        </w:rPr>
      </w:pPr>
      <w:r>
        <w:rPr>
          <w:rFonts w:ascii="Arial" w:cs="Arial" w:eastAsia="Arial" w:hAnsi="Arial"/>
          <w:sz w:val="17"/>
          <w:szCs w:val="17"/>
          <w:color w:val="auto"/>
        </w:rPr>
        <w:t>To the extent the Company elects, the sole remedy for an event of default relating to the Company’s failure to comply with certain of its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the Company’s failure to comply with its obligations is not cured or waived prior to such 361st day), the Notes shall be subject to acceleration as provided for in the Indenture.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71"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Under ASU 2020-06, a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required to be accounted for as an embedded derivative because it is considered to be indexed to the Company’s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42" w:lineRule="exact"/>
        <w:rPr>
          <w:sz w:val="20"/>
          <w:szCs w:val="20"/>
          <w:color w:val="auto"/>
        </w:rPr>
      </w:pPr>
    </w:p>
    <w:p>
      <w:pPr>
        <w:ind w:right="160" w:firstLine="440"/>
        <w:spacing w:after="0" w:line="225" w:lineRule="auto"/>
        <w:rPr>
          <w:sz w:val="20"/>
          <w:szCs w:val="20"/>
          <w:color w:val="auto"/>
        </w:rPr>
      </w:pPr>
      <w:r>
        <w:rPr>
          <w:rFonts w:ascii="Arial" w:cs="Arial" w:eastAsia="Arial" w:hAnsi="Arial"/>
          <w:sz w:val="18"/>
          <w:szCs w:val="18"/>
          <w:color w:val="auto"/>
        </w:rPr>
        <w:t xml:space="preserve">The requirement to repurchase the Notes including unpaid interest to the maturity date in the event of a Fundamental Change is considered a put option for certain periods requiring bifurcation under ASC 815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However, given the low probability of a Fundamental Change occurring during the applicable periods, the value of the embedded derivative is immaterial.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The additional interest feature in the event of the Company’s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40" w:lineRule="exact"/>
        <w:rPr>
          <w:sz w:val="20"/>
          <w:szCs w:val="20"/>
          <w:color w:val="auto"/>
        </w:rPr>
      </w:pPr>
    </w:p>
    <w:p>
      <w:pPr>
        <w:ind w:right="80" w:firstLine="485"/>
        <w:spacing w:after="0" w:line="266" w:lineRule="auto"/>
        <w:rPr>
          <w:sz w:val="20"/>
          <w:szCs w:val="20"/>
          <w:color w:val="auto"/>
        </w:rPr>
      </w:pPr>
      <w:r>
        <w:rPr>
          <w:rFonts w:ascii="Arial" w:cs="Arial" w:eastAsia="Arial" w:hAnsi="Arial"/>
          <w:sz w:val="16"/>
          <w:szCs w:val="16"/>
          <w:color w:val="auto"/>
        </w:rPr>
        <w:t>We incurred issuance costs related to the Notes of approximately $4.4 million, which were recorded as debt issuance cost and are presented as a reduction to the Notes on our Condensed Consolidated Balance Sheet and are amortized to interest expense using the effective interest method over the term of the Notes, resulting in an effective interest rate of 1.6%. As of March 31, 2021, the net carrying amount of the liability for the Notes is classified as a long-term liability in the “Convertible senior notes, net” line item in the Company’s Condensed Consolidated Balance Sheet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1460" w:type="dxa"/>
            <w:vAlign w:val="bottom"/>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3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issuance costs</w:t>
            </w:r>
          </w:p>
        </w:tc>
        <w:tc>
          <w:tcPr>
            <w:tcW w:w="14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r>
      <w:tr>
        <w:trPr>
          <w:trHeight w:val="209"/>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1460" w:type="dxa"/>
            <w:vAlign w:val="bottom"/>
            <w:tcBorders>
              <w:bottom w:val="single" w:sz="8" w:color="auto"/>
            </w:tcBorders>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895,674</w:t>
            </w:r>
          </w:p>
        </w:tc>
      </w:tr>
      <w:tr>
        <w:trPr>
          <w:trHeight w:val="20"/>
        </w:trPr>
        <w:tc>
          <w:tcPr>
            <w:tcW w:w="7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2021, interest expense for the Notes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4140" w:type="dxa"/>
            <w:vAlign w:val="bottom"/>
            <w:gridSpan w:val="2"/>
            <w:shd w:val="clear" w:color="auto" w:fill="CCEEFF"/>
          </w:tcPr>
          <w:p>
            <w:pPr>
              <w:jc w:val="right"/>
              <w:ind w:right="1327"/>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29"/>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debt issuance costs</w:t>
            </w:r>
          </w:p>
        </w:tc>
        <w:tc>
          <w:tcPr>
            <w:tcW w:w="26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6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0"/>
        </w:trPr>
        <w:tc>
          <w:tcPr>
            <w:tcW w:w="5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firstLine="492"/>
        <w:spacing w:after="0" w:line="246" w:lineRule="auto"/>
        <w:rPr>
          <w:sz w:val="20"/>
          <w:szCs w:val="20"/>
          <w:color w:val="auto"/>
        </w:rPr>
      </w:pPr>
      <w:r>
        <w:rPr>
          <w:rFonts w:ascii="Arial" w:cs="Arial" w:eastAsia="Arial" w:hAnsi="Arial"/>
          <w:sz w:val="18"/>
          <w:szCs w:val="18"/>
          <w:color w:val="auto"/>
        </w:rPr>
        <w:t>As of March 31, 2021, the estimated fair value (Level 2) of the Notes was $975.6 million. The fair value of the Notes is estimated using a pricing model that is primarily affected by the trading price of the Company’s common stock and market interest rates.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56" w:lineRule="exact"/>
        <w:rPr>
          <w:sz w:val="20"/>
          <w:szCs w:val="20"/>
          <w:color w:val="auto"/>
        </w:rPr>
      </w:pPr>
    </w:p>
    <w:p>
      <w:pPr>
        <w:ind w:right="20" w:firstLine="440"/>
        <w:spacing w:after="0" w:line="236" w:lineRule="auto"/>
        <w:rPr>
          <w:sz w:val="20"/>
          <w:szCs w:val="20"/>
          <w:color w:val="auto"/>
        </w:rPr>
      </w:pPr>
      <w:r>
        <w:rPr>
          <w:rFonts w:ascii="Arial" w:cs="Arial" w:eastAsia="Arial" w:hAnsi="Arial"/>
          <w:sz w:val="17"/>
          <w:szCs w:val="17"/>
          <w:color w:val="auto"/>
        </w:rPr>
        <w:t>On July 22, 2015, we entered into a lease agreement with respect to our facility located at 1305 O’Brien Drive, Menlo Park, California. The term of the O’Brien Lease is one hundred thirty-two (132) months. In December 2016, we entered into an amendment to the O’Brien Lease which defined the commencement date of the lease to be October 25, 2016, notwithstanding that such substantial completion did not occur until the first quarter of 2017. Base monthly rent was abated for the first six (6) months of the lease term and thereafter was $540,000 per month during the first year of the lease term, with specified annual increases thereafter until reaching $711,000 per month during the last twelve (12) months of the lease term. If the rent is not received within five days of the due date, there will be an additional sum equal to 5% of the amount overdue as a late charge. Any amount not paid within 10 days after receipt of the landlord’s written notice will bear interest from the date due until paid, at the lesser rate of (1) the prime rate of interest as published in the Wall Street Journal, plus 2% or (2) the maximum rate allowed by law, in addition to the late payment charge. We were required to establish a letter of credit for the benefit of the landlord and to submit $4.5 million as a deposit for the letter of credit in October 2015. Subsequently, pursuant to the terms of the O’Brien Lease, on May 1, 2019 the $4.5 million in restricted cash was reduced to $4.0 million and on May 1, 2020 the $4.0 million in restricted cash was reduced to $3.5 million.</w:t>
      </w:r>
    </w:p>
    <w:p>
      <w:pPr>
        <w:spacing w:after="0" w:line="46" w:lineRule="exact"/>
        <w:rPr>
          <w:sz w:val="20"/>
          <w:szCs w:val="20"/>
          <w:color w:val="auto"/>
        </w:rPr>
      </w:pPr>
    </w:p>
    <w:p>
      <w:pPr>
        <w:ind w:right="120" w:firstLine="440"/>
        <w:spacing w:after="0" w:line="227" w:lineRule="auto"/>
        <w:rPr>
          <w:sz w:val="20"/>
          <w:szCs w:val="20"/>
          <w:color w:val="auto"/>
        </w:rPr>
      </w:pPr>
      <w:r>
        <w:rPr>
          <w:rFonts w:ascii="Arial" w:cs="Arial" w:eastAsia="Arial" w:hAnsi="Arial"/>
          <w:sz w:val="18"/>
          <w:szCs w:val="18"/>
          <w:color w:val="auto"/>
        </w:rPr>
        <w:t>All of our leases are operating leases. Operating lease assets and liabilities are reflected within “Operating lease right-of-use assets, net”, “Operating lease liabilities, current” and “Operating lease liabilities, non-current” on the condensed consolidated balance sheets. These assets and liabilities are recognized at the commencement date based on the present value of remaining minimum lease payments over the lease term using our estimated secured incremental borrowing rates.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40" w:lineRule="exact"/>
        <w:rPr>
          <w:sz w:val="20"/>
          <w:szCs w:val="20"/>
          <w:color w:val="auto"/>
        </w:rPr>
      </w:pPr>
    </w:p>
    <w:p>
      <w:pPr>
        <w:ind w:right="60" w:firstLine="440"/>
        <w:spacing w:after="0" w:line="222" w:lineRule="auto"/>
        <w:rPr>
          <w:sz w:val="20"/>
          <w:szCs w:val="20"/>
          <w:color w:val="auto"/>
        </w:rPr>
      </w:pPr>
      <w:r>
        <w:rPr>
          <w:rFonts w:ascii="Arial" w:cs="Arial" w:eastAsia="Arial" w:hAnsi="Arial"/>
          <w:sz w:val="18"/>
          <w:szCs w:val="18"/>
          <w:color w:val="auto"/>
        </w:rPr>
        <w:t>We often have options to renew lease terms for buildings. For the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March 31, 2021 was 6.6 years.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firstLine="440"/>
        <w:spacing w:after="0" w:line="276" w:lineRule="auto"/>
        <w:rPr>
          <w:sz w:val="20"/>
          <w:szCs w:val="20"/>
          <w:color w:val="auto"/>
        </w:rPr>
      </w:pPr>
      <w:r>
        <w:rPr>
          <w:rFonts w:ascii="Arial" w:cs="Arial" w:eastAsia="Arial" w:hAnsi="Arial"/>
          <w:sz w:val="16"/>
          <w:szCs w:val="16"/>
          <w:color w:val="auto"/>
        </w:rPr>
        <w:t>The discount rate implicit within our leases is generally not determinable and therefore we determine the discount rate based on our incremental borrowing rate. The incremental borrowing rate for our leases is determined based on lease term and currency in which lease payments are made, adjusted for impacts of collateral. The weighted average discount rate used to measure our operating lease liabilities as of March 31, 2021 was 7.9%.</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as to the amount and timing of cash flows arising from our operating leases as of March 31,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40" w:type="dxa"/>
            <w:vAlign w:val="bottom"/>
          </w:tcPr>
          <w:p>
            <w:pPr>
              <w:spacing w:after="0"/>
              <w:rPr>
                <w:sz w:val="20"/>
                <w:szCs w:val="20"/>
                <w:color w:val="auto"/>
              </w:rPr>
            </w:pPr>
          </w:p>
        </w:tc>
        <w:tc>
          <w:tcPr>
            <w:tcW w:w="2300" w:type="dxa"/>
            <w:vAlign w:val="bottom"/>
          </w:tcPr>
          <w:p>
            <w:pPr>
              <w:jc w:val="right"/>
              <w:ind w:right="10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39"/>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54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52,218</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40,933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Classification</w:t>
            </w:r>
          </w:p>
        </w:tc>
        <w:tc>
          <w:tcPr>
            <w:tcW w:w="5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54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36,485</w:t>
            </w:r>
          </w:p>
        </w:tc>
        <w:tc>
          <w:tcPr>
            <w:tcW w:w="0" w:type="dxa"/>
            <w:vAlign w:val="bottom"/>
          </w:tcPr>
          <w:p>
            <w:pPr>
              <w:spacing w:after="0"/>
              <w:rPr>
                <w:sz w:val="1"/>
                <w:szCs w:val="1"/>
                <w:color w:val="auto"/>
              </w:rPr>
            </w:pPr>
          </w:p>
        </w:tc>
      </w:tr>
      <w:tr>
        <w:trPr>
          <w:trHeight w:val="290"/>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40,933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ind w:right="300" w:firstLine="440"/>
        <w:spacing w:after="0" w:line="233" w:lineRule="auto"/>
        <w:rPr>
          <w:sz w:val="20"/>
          <w:szCs w:val="20"/>
          <w:color w:val="auto"/>
        </w:rPr>
      </w:pPr>
      <w:r>
        <w:rPr>
          <w:rFonts w:ascii="Arial" w:cs="Arial" w:eastAsia="Arial" w:hAnsi="Arial"/>
          <w:sz w:val="18"/>
          <w:szCs w:val="18"/>
          <w:color w:val="auto"/>
        </w:rPr>
        <w:t>Cash paid for amounts included in the present value of operating lease liabilities was $1.8 million for the three months ended March 31, 2021 and included in operating cash flow.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Costs</w:t>
      </w:r>
    </w:p>
    <w:p>
      <w:pPr>
        <w:ind w:right="80" w:firstLine="440"/>
        <w:spacing w:after="0" w:line="233" w:lineRule="auto"/>
        <w:rPr>
          <w:sz w:val="20"/>
          <w:szCs w:val="20"/>
          <w:color w:val="auto"/>
        </w:rPr>
      </w:pPr>
      <w:r>
        <w:rPr>
          <w:rFonts w:ascii="Arial" w:cs="Arial" w:eastAsia="Arial" w:hAnsi="Arial"/>
          <w:sz w:val="18"/>
          <w:szCs w:val="18"/>
          <w:color w:val="auto"/>
        </w:rPr>
        <w:t>Operating lease costs were $1.6 million for both the three months ended March 31, 2021 and 2020, primarily related to our operating leases, but also included immaterial amounts for variable leases.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6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District Court Proceedings</w:t>
      </w:r>
    </w:p>
    <w:p>
      <w:pPr>
        <w:spacing w:after="0" w:line="63" w:lineRule="exact"/>
        <w:rPr>
          <w:sz w:val="20"/>
          <w:szCs w:val="20"/>
          <w:color w:val="auto"/>
        </w:rPr>
      </w:pPr>
    </w:p>
    <w:p>
      <w:pPr>
        <w:ind w:right="180" w:firstLine="440"/>
        <w:spacing w:after="0" w:line="228" w:lineRule="auto"/>
        <w:rPr>
          <w:sz w:val="20"/>
          <w:szCs w:val="20"/>
          <w:color w:val="auto"/>
        </w:rPr>
      </w:pPr>
      <w:r>
        <w:rPr>
          <w:rFonts w:ascii="Arial" w:cs="Arial" w:eastAsia="Arial" w:hAnsi="Arial"/>
          <w:sz w:val="18"/>
          <w:szCs w:val="18"/>
          <w:color w:val="auto"/>
        </w:rPr>
        <w:t>On March 15, 2017, we filed a complaint in the U.S. District Court for the District of Delaware against ONT Inc. for patent infringement (C.A. No. 17-cv-275) (the “275 Action”). The complaint is based on our U.S. Patent No. 9,546,400 (the “’400 Patent”) which covers novel methods for nanopore sequencing of nucleic acid molecules using the signals from multiple monomeric units. We are seeking remedies including injunctive relief, damages and costs. On August 23, 2018, we filed an amended complaint, adding allegations of willful infringement and adding ONT Ltd. as a defendant in the 275 Action, which was granted on August 15, 2019.</w:t>
      </w:r>
    </w:p>
    <w:p>
      <w:pPr>
        <w:spacing w:after="0" w:line="43" w:lineRule="exact"/>
        <w:rPr>
          <w:sz w:val="20"/>
          <w:szCs w:val="20"/>
          <w:color w:val="auto"/>
        </w:rPr>
      </w:pPr>
    </w:p>
    <w:p>
      <w:pPr>
        <w:ind w:right="80" w:firstLine="440"/>
        <w:spacing w:after="0" w:line="222" w:lineRule="auto"/>
        <w:rPr>
          <w:sz w:val="20"/>
          <w:szCs w:val="20"/>
          <w:color w:val="auto"/>
        </w:rPr>
      </w:pPr>
      <w:r>
        <w:rPr>
          <w:rFonts w:ascii="Arial" w:cs="Arial" w:eastAsia="Arial" w:hAnsi="Arial"/>
          <w:sz w:val="18"/>
          <w:szCs w:val="18"/>
          <w:color w:val="auto"/>
        </w:rPr>
        <w:t>On September 25, 2017, we filed a second complaint in the U.S. District Court for the District of Delaware against ONT Inc. for patent infringement (C.A. No. 17-cv-1353) (the “1353 Action”). The complaint is based on our U.S. Patent No. 9,678,056 (the “’056 Patent”) and U.S. Patent No. 9,738,929. We are seeking remedies including injunctive relief, damages and costs. On March 28, 2018, we added a claim for infringement of our U.S. Patent No. 9,772,323 (the “’323 Patent”). On August 23, 2018 we filed an amended complaint, adding allegations of willful infringement and adding ONT Ltd. as a defendant in the 1353 Action, which was granted on August 15,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firstLine="440"/>
        <w:spacing w:after="0" w:line="231" w:lineRule="auto"/>
        <w:rPr>
          <w:sz w:val="20"/>
          <w:szCs w:val="20"/>
          <w:color w:val="auto"/>
        </w:rPr>
      </w:pPr>
      <w:r>
        <w:rPr>
          <w:rFonts w:ascii="Arial" w:cs="Arial" w:eastAsia="Arial" w:hAnsi="Arial"/>
          <w:sz w:val="18"/>
          <w:szCs w:val="18"/>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the ’056 Patent, written description and indefiniteness. The jury declined to find valid or infringed U.S. Patent No. 9,738,929. We are pursuing an appeal of the decision at the U.S. Court of Appeals for the Federal Circuit.</w:t>
      </w:r>
    </w:p>
    <w:p>
      <w:pPr>
        <w:spacing w:after="0" w:line="40" w:lineRule="exact"/>
        <w:rPr>
          <w:sz w:val="20"/>
          <w:szCs w:val="20"/>
          <w:color w:val="auto"/>
        </w:rPr>
      </w:pPr>
    </w:p>
    <w:p>
      <w:pPr>
        <w:jc w:val="both"/>
        <w:ind w:right="80" w:firstLine="440"/>
        <w:spacing w:after="0" w:line="246" w:lineRule="auto"/>
        <w:rPr>
          <w:sz w:val="20"/>
          <w:szCs w:val="20"/>
          <w:color w:val="auto"/>
        </w:rPr>
      </w:pPr>
      <w:r>
        <w:rPr>
          <w:rFonts w:ascii="Arial" w:cs="Arial" w:eastAsia="Arial" w:hAnsi="Arial"/>
          <w:sz w:val="17"/>
          <w:szCs w:val="17"/>
          <w:color w:val="auto"/>
        </w:rPr>
        <w:t>Unrelated to the preceding matters, 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36"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On June 22, 2020, we filed a petition requesting institution of an inter-partes review (IPR) to the Patent Trial and Appeals Board (the “Board”) at the United States Patent Office requesting the Board to find a set of claims in the ‘441 invalid. On June 27, 2020, we filed a second petition requesting institution of an IPR requesting the Board to find another set of claims in the ‘441 invalid. The two petitions (the “PacBio IPR Petitions”) requesting IPRs assert that all of the claims relevant to the PGI complaint are invalid. On January 19, 2021, the Board ordered that both PacBio IPR Petitions are instituted on all grounds presented.</w:t>
      </w:r>
    </w:p>
    <w:p>
      <w:pPr>
        <w:spacing w:after="0" w:line="43" w:lineRule="exact"/>
        <w:rPr>
          <w:sz w:val="20"/>
          <w:szCs w:val="20"/>
          <w:color w:val="auto"/>
        </w:rPr>
      </w:pPr>
    </w:p>
    <w:p>
      <w:pPr>
        <w:ind w:right="200" w:firstLine="440"/>
        <w:spacing w:after="0" w:line="274" w:lineRule="auto"/>
        <w:rPr>
          <w:sz w:val="20"/>
          <w:szCs w:val="20"/>
          <w:color w:val="auto"/>
        </w:rPr>
      </w:pPr>
      <w:r>
        <w:rPr>
          <w:rFonts w:ascii="Arial" w:cs="Arial" w:eastAsia="Arial" w:hAnsi="Arial"/>
          <w:sz w:val="17"/>
          <w:szCs w:val="17"/>
          <w:color w:val="auto"/>
        </w:rPr>
        <w:t>On August 19, 2020, the court ordered a stay of the PGI District Court matter based on a joint stipulation by the parties. With the institution of the PacBio IPR Petitions described above, pursuant to the joint stipulation, the matter is now stayed pending a final written decision on the IPRs.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 China</w:t>
      </w:r>
    </w:p>
    <w:p>
      <w:pPr>
        <w:spacing w:after="0" w:line="63" w:lineRule="exact"/>
        <w:rPr>
          <w:sz w:val="20"/>
          <w:szCs w:val="20"/>
          <w:color w:val="auto"/>
        </w:rPr>
      </w:pPr>
    </w:p>
    <w:p>
      <w:pPr>
        <w:ind w:right="80" w:firstLine="440"/>
        <w:spacing w:after="0" w:line="242" w:lineRule="auto"/>
        <w:rPr>
          <w:sz w:val="20"/>
          <w:szCs w:val="20"/>
          <w:color w:val="auto"/>
        </w:rPr>
      </w:pPr>
      <w:r>
        <w:rPr>
          <w:rFonts w:ascii="Arial" w:cs="Arial" w:eastAsia="Arial" w:hAnsi="Arial"/>
          <w:sz w:val="17"/>
          <w:szCs w:val="17"/>
          <w:color w:val="auto"/>
        </w:rPr>
        <w:t>On May 12, 2020, PGI filed a complaint in the Wuhan Intermediate People’s Court in China alleging infringement of one or more claims of China patent No. CN101743321B (the “CN321 Patent”), which is related to the ‘441 Patent. We were served on January 20, 2021 and plan to vigorously defend in this matter.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Proceedings</w:t>
      </w:r>
    </w:p>
    <w:p>
      <w:pPr>
        <w:spacing w:after="0" w:line="63"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63" w:lineRule="exact"/>
        <w:rPr>
          <w:sz w:val="20"/>
          <w:szCs w:val="20"/>
          <w:color w:val="auto"/>
        </w:rPr>
      </w:pPr>
    </w:p>
    <w:p>
      <w:pPr>
        <w:ind w:firstLine="440"/>
        <w:spacing w:after="0" w:line="220" w:lineRule="auto"/>
        <w:rPr>
          <w:sz w:val="20"/>
          <w:szCs w:val="20"/>
          <w:color w:val="auto"/>
        </w:rPr>
      </w:pPr>
      <w:r>
        <w:rPr>
          <w:rFonts w:ascii="Arial" w:cs="Arial" w:eastAsia="Arial" w:hAnsi="Arial"/>
          <w:sz w:val="18"/>
          <w:szCs w:val="18"/>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March 31, 2021.</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63"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At March 31, 2020, in total, we had three active equity compensation plans: the 2010 Equity Incentive Plan (“2010 Plan”), the 2010 Outside Director Equity Incentive Plan (“2010 Director Plan”) and the 2010 Employee Stock Purchase Plan (“ESPP”). Our 2010 Plan and 2010 Director Plan expired on July 29, 2020.</w:t>
      </w:r>
    </w:p>
    <w:p>
      <w:pPr>
        <w:spacing w:after="0" w:line="40"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On August 4, 2020, stockholders approved our new 2020 Equity Incentive Plan (the “2020 Plan”) and reserved 11,000,000 shares of the Company’s common stock for issuance pursuant to equity awards granted under the 2020 Plan.</w:t>
      </w:r>
    </w:p>
    <w:p>
      <w:pPr>
        <w:spacing w:after="0" w:line="35" w:lineRule="exact"/>
        <w:rPr>
          <w:sz w:val="20"/>
          <w:szCs w:val="20"/>
          <w:color w:val="auto"/>
        </w:rPr>
      </w:pPr>
    </w:p>
    <w:p>
      <w:pPr>
        <w:ind w:right="120" w:firstLine="440"/>
        <w:spacing w:after="0" w:line="231" w:lineRule="auto"/>
        <w:rPr>
          <w:sz w:val="20"/>
          <w:szCs w:val="20"/>
          <w:color w:val="auto"/>
        </w:rPr>
      </w:pPr>
      <w:r>
        <w:rPr>
          <w:rFonts w:ascii="Arial" w:cs="Arial" w:eastAsia="Arial" w:hAnsi="Arial"/>
          <w:sz w:val="18"/>
          <w:szCs w:val="18"/>
          <w:color w:val="auto"/>
        </w:rPr>
        <w:t>On December 2, 2020, the Board of Directors (the “Board”) adopted the 2020 Inducement Equity Incentive Plan (the “Inducement Plan”) and reserved 2,500,000 shares of the Company’s common stock for issuance pursuant to equity awards granted under the Inducement Plan. On April 18, 2021, the Board amended the Inducement Plan to reserve an additional 750,000 shares of the Company’s common stock for issuance pursuant to equity awards granted under the Inducement Plan.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63" w:lineRule="exact"/>
        <w:rPr>
          <w:sz w:val="20"/>
          <w:szCs w:val="20"/>
          <w:color w:val="auto"/>
        </w:rPr>
      </w:pPr>
    </w:p>
    <w:p>
      <w:pPr>
        <w:ind w:right="100" w:firstLine="440"/>
        <w:spacing w:after="0" w:line="246" w:lineRule="auto"/>
        <w:rPr>
          <w:sz w:val="20"/>
          <w:szCs w:val="20"/>
          <w:color w:val="auto"/>
        </w:rPr>
      </w:pPr>
      <w:r>
        <w:rPr>
          <w:rFonts w:ascii="Arial" w:cs="Arial" w:eastAsia="Arial" w:hAnsi="Arial"/>
          <w:sz w:val="18"/>
          <w:szCs w:val="18"/>
          <w:color w:val="auto"/>
        </w:rPr>
        <w:t>The following table summarizes stock option activity for all our stock option plans for the three months ended March 31, 2021 (in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Stock Options Outstanding</w:t>
            </w:r>
          </w:p>
        </w:tc>
        <w:tc>
          <w:tcPr>
            <w:tcW w:w="5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r>
      <w:tr>
        <w:trPr>
          <w:trHeight w:val="152"/>
        </w:trPr>
        <w:tc>
          <w:tcPr>
            <w:tcW w:w="3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40" w:type="dxa"/>
            <w:vAlign w:val="bottom"/>
          </w:tcPr>
          <w:p>
            <w:pPr>
              <w:jc w:val="center"/>
              <w:ind w:right="457"/>
              <w:spacing w:after="0" w:line="153" w:lineRule="exact"/>
              <w:rPr>
                <w:sz w:val="20"/>
                <w:szCs w:val="20"/>
                <w:color w:val="auto"/>
              </w:rPr>
            </w:pPr>
            <w:r>
              <w:rPr>
                <w:rFonts w:ascii="Arial" w:cs="Arial" w:eastAsia="Arial" w:hAnsi="Arial"/>
                <w:sz w:val="14"/>
                <w:szCs w:val="14"/>
                <w:b w:val="1"/>
                <w:bCs w:val="1"/>
                <w:color w:val="auto"/>
                <w:w w:val="91"/>
              </w:rPr>
              <w:t>Weighted</w:t>
            </w:r>
          </w:p>
        </w:tc>
      </w:tr>
      <w:tr>
        <w:trPr>
          <w:trHeight w:val="186"/>
        </w:trPr>
        <w:tc>
          <w:tcPr>
            <w:tcW w:w="3960" w:type="dxa"/>
            <w:vAlign w:val="bottom"/>
          </w:tcPr>
          <w:p>
            <w:pPr>
              <w:spacing w:after="0"/>
              <w:rPr>
                <w:sz w:val="16"/>
                <w:szCs w:val="16"/>
                <w:color w:val="auto"/>
              </w:rPr>
            </w:pPr>
          </w:p>
        </w:tc>
        <w:tc>
          <w:tcPr>
            <w:tcW w:w="1820" w:type="dxa"/>
            <w:vAlign w:val="bottom"/>
          </w:tcPr>
          <w:p>
            <w:pPr>
              <w:jc w:val="right"/>
              <w:ind w:right="575"/>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tcPr>
          <w:p>
            <w:pPr>
              <w:jc w:val="center"/>
              <w:ind w:right="477"/>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396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87"/>
              </w:rPr>
              <w:t>exercise price</w:t>
            </w: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Balances, December 31, 2020</w:t>
            </w:r>
          </w:p>
        </w:tc>
        <w:tc>
          <w:tcPr>
            <w:tcW w:w="1820" w:type="dxa"/>
            <w:vAlign w:val="bottom"/>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14,638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20.90</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CEEFF"/>
          </w:tcPr>
          <w:p>
            <w:pPr>
              <w:jc w:val="right"/>
              <w:ind w:right="517"/>
              <w:spacing w:after="0" w:line="196" w:lineRule="exact"/>
              <w:rPr>
                <w:sz w:val="20"/>
                <w:szCs w:val="20"/>
                <w:color w:val="auto"/>
              </w:rPr>
            </w:pPr>
            <w:r>
              <w:rPr>
                <w:rFonts w:ascii="Arial" w:cs="Arial" w:eastAsia="Arial" w:hAnsi="Arial"/>
                <w:sz w:val="18"/>
                <w:szCs w:val="18"/>
                <w:color w:val="auto"/>
              </w:rPr>
              <w:t>5.53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Options granted</w:t>
            </w:r>
          </w:p>
        </w:tc>
        <w:tc>
          <w:tcPr>
            <w:tcW w:w="1820" w:type="dxa"/>
            <w:vAlign w:val="bottom"/>
          </w:tcPr>
          <w:p>
            <w:pPr>
              <w:jc w:val="right"/>
              <w:ind w:right="95"/>
              <w:spacing w:after="0"/>
              <w:rPr>
                <w:sz w:val="20"/>
                <w:szCs w:val="20"/>
                <w:color w:val="auto"/>
              </w:rPr>
            </w:pPr>
            <w:r>
              <w:rPr>
                <w:rFonts w:ascii="Arial" w:cs="Arial" w:eastAsia="Arial" w:hAnsi="Arial"/>
                <w:sz w:val="18"/>
                <w:szCs w:val="18"/>
                <w:color w:val="auto"/>
              </w:rPr>
              <w:t>1,697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46.37</w:t>
            </w:r>
          </w:p>
        </w:tc>
        <w:tc>
          <w:tcPr>
            <w:tcW w:w="540" w:type="dxa"/>
            <w:vAlign w:val="bottom"/>
          </w:tcPr>
          <w:p>
            <w:pPr>
              <w:spacing w:after="0"/>
              <w:rPr>
                <w:sz w:val="18"/>
                <w:szCs w:val="18"/>
                <w:color w:val="auto"/>
              </w:rPr>
            </w:pPr>
          </w:p>
        </w:tc>
        <w:tc>
          <w:tcPr>
            <w:tcW w:w="2240" w:type="dxa"/>
            <w:vAlign w:val="bottom"/>
          </w:tcPr>
          <w:p>
            <w:pPr>
              <w:jc w:val="right"/>
              <w:ind w:right="517"/>
              <w:spacing w:after="0"/>
              <w:rPr>
                <w:sz w:val="20"/>
                <w:szCs w:val="20"/>
                <w:color w:val="auto"/>
              </w:rPr>
            </w:pPr>
            <w:r>
              <w:rPr>
                <w:rFonts w:ascii="Arial" w:cs="Arial" w:eastAsia="Arial" w:hAnsi="Arial"/>
                <w:sz w:val="18"/>
                <w:szCs w:val="18"/>
                <w:color w:val="auto"/>
              </w:rPr>
              <w:t>37.37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(3,558)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15.98</w:t>
            </w:r>
          </w:p>
        </w:tc>
        <w:tc>
          <w:tcPr>
            <w:tcW w:w="5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5.43</w:t>
            </w: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canceled</w:t>
            </w: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2.54 – 5.27</w:t>
            </w:r>
          </w:p>
        </w:tc>
        <w:tc>
          <w:tcPr>
            <w:tcW w:w="54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jc w:val="right"/>
              <w:ind w:right="517"/>
              <w:spacing w:after="0"/>
              <w:rPr>
                <w:sz w:val="20"/>
                <w:szCs w:val="20"/>
                <w:color w:val="auto"/>
              </w:rPr>
            </w:pPr>
            <w:r>
              <w:rPr>
                <w:rFonts w:ascii="Arial" w:cs="Arial" w:eastAsia="Arial" w:hAnsi="Arial"/>
                <w:sz w:val="18"/>
                <w:szCs w:val="18"/>
                <w:color w:val="auto"/>
              </w:rPr>
              <w:t>3.79</w:t>
            </w:r>
          </w:p>
        </w:tc>
      </w:tr>
      <w:tr>
        <w:trPr>
          <w:trHeight w:val="237"/>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2021</w:t>
            </w:r>
          </w:p>
        </w:tc>
        <w:tc>
          <w:tcPr>
            <w:tcW w:w="18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12,332</w:t>
            </w:r>
          </w:p>
        </w:tc>
        <w:tc>
          <w:tcPr>
            <w:tcW w:w="6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46.37</w:t>
            </w:r>
          </w:p>
        </w:tc>
        <w:tc>
          <w:tcPr>
            <w:tcW w:w="540" w:type="dxa"/>
            <w:vAlign w:val="bottom"/>
            <w:tcBorders>
              <w:bottom w:val="single" w:sz="8" w:color="CCEEFF"/>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24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10.00</w:t>
            </w:r>
          </w:p>
        </w:tc>
      </w:tr>
      <w:tr>
        <w:trPr>
          <w:trHeight w:val="20"/>
        </w:trPr>
        <w:tc>
          <w:tcPr>
            <w:tcW w:w="39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2021, we recognized stock-based compensation expense of $2.5 million related to options.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Time-based RSUs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time-based RSUs activity for the three months ended March 31, 2021 (in thousands,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80" w:type="dxa"/>
            <w:vAlign w:val="bottom"/>
          </w:tcPr>
          <w:p>
            <w:pPr>
              <w:jc w:val="center"/>
              <w:ind w:right="4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3"/>
                <w:szCs w:val="23"/>
                <w:color w:val="auto"/>
              </w:rPr>
            </w:pPr>
          </w:p>
        </w:tc>
        <w:tc>
          <w:tcPr>
            <w:tcW w:w="142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80" w:type="dxa"/>
            <w:vAlign w:val="bottom"/>
          </w:tcPr>
          <w:p>
            <w:pPr>
              <w:jc w:val="center"/>
              <w:ind w:right="437"/>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323"/>
        </w:trPr>
        <w:tc>
          <w:tcPr>
            <w:tcW w:w="644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of shares</w:t>
            </w:r>
          </w:p>
        </w:tc>
        <w:tc>
          <w:tcPr>
            <w:tcW w:w="3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December 31, 2020</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5,919</w:t>
            </w: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4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RSUs granted</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2,123</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80" w:type="dxa"/>
            <w:vAlign w:val="bottom"/>
          </w:tcPr>
          <w:p>
            <w:pPr>
              <w:jc w:val="right"/>
              <w:ind w:right="517"/>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7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(1,412)</w:t>
            </w: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RSUs forfeited</w:t>
            </w:r>
          </w:p>
        </w:tc>
        <w:tc>
          <w:tcPr>
            <w:tcW w:w="1420" w:type="dxa"/>
            <w:vAlign w:val="bottom"/>
            <w:vMerge w:val="restart"/>
          </w:tcPr>
          <w:p>
            <w:pPr>
              <w:jc w:val="right"/>
              <w:ind w:right="35"/>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80" w:type="dxa"/>
            <w:vAlign w:val="bottom"/>
          </w:tcPr>
          <w:p>
            <w:pPr>
              <w:jc w:val="right"/>
              <w:ind w:right="517"/>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54"/>
        </w:trPr>
        <w:tc>
          <w:tcPr>
            <w:tcW w:w="644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vMerge w:val="continue"/>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4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outstanding at March 31, 2021</w:t>
            </w: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6,527</w:t>
            </w:r>
          </w:p>
        </w:tc>
        <w:tc>
          <w:tcPr>
            <w:tcW w:w="90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320"/>
        <w:spacing w:after="0" w:line="246" w:lineRule="auto"/>
        <w:rPr>
          <w:sz w:val="20"/>
          <w:szCs w:val="20"/>
          <w:color w:val="auto"/>
        </w:rPr>
      </w:pPr>
      <w:r>
        <w:rPr>
          <w:rFonts w:ascii="Arial" w:cs="Arial" w:eastAsia="Arial" w:hAnsi="Arial"/>
          <w:sz w:val="18"/>
          <w:szCs w:val="18"/>
          <w:color w:val="auto"/>
        </w:rPr>
        <w:t>For the three months ended March 31, 2021, we recognized stock-based compensation expense of $5.0 million related to time-based RSUs.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RSUs</w:t>
      </w:r>
    </w:p>
    <w:p>
      <w:pPr>
        <w:spacing w:after="0" w:line="63" w:lineRule="exact"/>
        <w:rPr>
          <w:sz w:val="20"/>
          <w:szCs w:val="20"/>
          <w:color w:val="auto"/>
        </w:rPr>
      </w:pPr>
    </w:p>
    <w:p>
      <w:pPr>
        <w:jc w:val="both"/>
        <w:ind w:right="280" w:firstLine="440"/>
        <w:spacing w:after="0" w:line="246" w:lineRule="auto"/>
        <w:rPr>
          <w:sz w:val="20"/>
          <w:szCs w:val="20"/>
          <w:color w:val="auto"/>
        </w:rPr>
      </w:pPr>
      <w:r>
        <w:rPr>
          <w:rFonts w:ascii="Arial" w:cs="Arial" w:eastAsia="Arial" w:hAnsi="Arial"/>
          <w:sz w:val="18"/>
          <w:szCs w:val="18"/>
          <w:color w:val="auto"/>
        </w:rPr>
        <w:t>The following table summarizes the performance-based RSUs (“PSUs”) activity for the three months ended March 31, 2021 (in thousands,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 average</w:t>
            </w:r>
          </w:p>
        </w:tc>
      </w:tr>
      <w:tr>
        <w:trPr>
          <w:trHeight w:val="270"/>
        </w:trPr>
        <w:tc>
          <w:tcPr>
            <w:tcW w:w="7040" w:type="dxa"/>
            <w:vAlign w:val="bottom"/>
          </w:tcPr>
          <w:p>
            <w:pPr>
              <w:spacing w:after="0"/>
              <w:rPr>
                <w:sz w:val="23"/>
                <w:szCs w:val="23"/>
                <w:color w:val="auto"/>
              </w:rPr>
            </w:pPr>
          </w:p>
        </w:tc>
        <w:tc>
          <w:tcPr>
            <w:tcW w:w="1060" w:type="dxa"/>
            <w:vAlign w:val="bottom"/>
          </w:tcPr>
          <w:p>
            <w:pPr>
              <w:ind w:left="50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grant date</w:t>
            </w:r>
          </w:p>
        </w:tc>
      </w:tr>
      <w:tr>
        <w:trPr>
          <w:trHeight w:val="323"/>
        </w:trPr>
        <w:tc>
          <w:tcPr>
            <w:tcW w:w="70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9"/>
              </w:rPr>
              <w:t>of shares</w:t>
            </w: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7"/>
              </w:rPr>
              <w:t>fair value</w:t>
            </w:r>
          </w:p>
        </w:tc>
      </w:tr>
      <w:tr>
        <w:trPr>
          <w:trHeight w:val="25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PSUs outstanding at December 31, 2020</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70"/>
        </w:trPr>
        <w:tc>
          <w:tcPr>
            <w:tcW w:w="8100" w:type="dxa"/>
            <w:vAlign w:val="bottom"/>
            <w:gridSpan w:val="2"/>
          </w:tcPr>
          <w:p>
            <w:pPr>
              <w:spacing w:after="0"/>
              <w:rPr>
                <w:sz w:val="20"/>
                <w:szCs w:val="20"/>
                <w:color w:val="auto"/>
              </w:rPr>
            </w:pPr>
            <w:r>
              <w:rPr>
                <w:rFonts w:ascii="Arial" w:cs="Arial" w:eastAsia="Arial" w:hAnsi="Arial"/>
                <w:sz w:val="18"/>
                <w:szCs w:val="18"/>
                <w:color w:val="auto"/>
              </w:rPr>
              <w:t>PSUs granted</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 released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gridSpan w:val="2"/>
          </w:tcPr>
          <w:p>
            <w:pPr>
              <w:spacing w:after="0"/>
              <w:rPr>
                <w:sz w:val="20"/>
                <w:szCs w:val="20"/>
                <w:color w:val="auto"/>
              </w:rPr>
            </w:pPr>
            <w:r>
              <w:rPr>
                <w:rFonts w:ascii="Arial" w:cs="Arial" w:eastAsia="Arial" w:hAnsi="Arial"/>
                <w:sz w:val="18"/>
                <w:szCs w:val="18"/>
                <w:color w:val="auto"/>
              </w:rPr>
              <w:t>PSUs forfeited</w:t>
            </w:r>
          </w:p>
        </w:tc>
        <w:tc>
          <w:tcPr>
            <w:tcW w:w="440" w:type="dxa"/>
            <w:vAlign w:val="bottom"/>
          </w:tcPr>
          <w:p>
            <w:pPr>
              <w:jc w:val="center"/>
              <w:ind w:right="10"/>
              <w:spacing w:after="0"/>
              <w:rPr>
                <w:sz w:val="20"/>
                <w:szCs w:val="20"/>
                <w:color w:val="auto"/>
              </w:rPr>
            </w:pPr>
            <w:r>
              <w:rPr>
                <w:rFonts w:ascii="Arial" w:cs="Arial" w:eastAsia="Arial" w:hAnsi="Arial"/>
                <w:sz w:val="18"/>
                <w:szCs w:val="18"/>
                <w:color w:val="auto"/>
                <w:w w:val="93"/>
              </w:rPr>
              <w:t>(94)</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2.63</w:t>
            </w:r>
          </w:p>
        </w:tc>
      </w:tr>
      <w:tr>
        <w:trPr>
          <w:trHeight w:val="237"/>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PSUs outstanding at March 31, 2021</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CCEEFF"/>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r>
      <w:tr>
        <w:trPr>
          <w:trHeight w:val="20"/>
        </w:trPr>
        <w:tc>
          <w:tcPr>
            <w:tcW w:w="7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months ended March 31, 2021, we recognized stock-based compensation expense of $0 related to the performance-based RSUs.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2021, we had a total of 6.7 million shares of common stock available for future issuance under the 2020 Plan and the Inducement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shares</w:t>
      </w:r>
    </w:p>
    <w:p>
      <w:pPr>
        <w:spacing w:after="0" w:line="63" w:lineRule="exact"/>
        <w:rPr>
          <w:sz w:val="20"/>
          <w:szCs w:val="20"/>
          <w:color w:val="auto"/>
        </w:rPr>
      </w:pPr>
    </w:p>
    <w:p>
      <w:pPr>
        <w:jc w:val="both"/>
        <w:ind w:right="280" w:firstLine="440"/>
        <w:spacing w:after="0" w:line="235" w:lineRule="auto"/>
        <w:rPr>
          <w:sz w:val="20"/>
          <w:szCs w:val="20"/>
          <w:color w:val="auto"/>
        </w:rPr>
      </w:pPr>
      <w:r>
        <w:rPr>
          <w:rFonts w:ascii="Arial" w:cs="Arial" w:eastAsia="Arial" w:hAnsi="Arial"/>
          <w:sz w:val="18"/>
          <w:szCs w:val="18"/>
          <w:color w:val="auto"/>
        </w:rPr>
        <w:t>Shares issued under our ESPP were 983,180 and none during the three months ended March 31, 2021 and 2020, respectively. In January 2021, an additional 3.8 million shares were reserved under the ESPP. As of March 31, 2021, 8,741,461 shares of our common stock remain available for issuance under our ESPP.</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March 31, 2021, we recognized stock-based compensation expense of $2.5 million related to the ESPP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3" w:lineRule="exact"/>
        <w:rPr>
          <w:sz w:val="20"/>
          <w:szCs w:val="20"/>
          <w:color w:val="auto"/>
        </w:rPr>
      </w:pPr>
    </w:p>
    <w:p>
      <w:pPr>
        <w:ind w:right="56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the three months ended March 31, 2021 and 2020, respectively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6"/>
                <w:szCs w:val="16"/>
                <w:color w:val="auto"/>
              </w:rPr>
            </w:pPr>
          </w:p>
        </w:tc>
      </w:tr>
      <w:tr>
        <w:trPr>
          <w:trHeight w:val="190"/>
        </w:trPr>
        <w:tc>
          <w:tcPr>
            <w:tcW w:w="6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jc w:val="right"/>
              <w:ind w:right="81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jc w:val="right"/>
              <w:ind w:right="814"/>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6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1,759</w:t>
            </w:r>
          </w:p>
        </w:tc>
      </w:t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5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8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37"/>
        </w:trPr>
        <w:tc>
          <w:tcPr>
            <w:tcW w:w="6900" w:type="dxa"/>
            <w:vAlign w:val="bottom"/>
          </w:tcPr>
          <w:p>
            <w:pPr>
              <w:ind w:left="340"/>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w:t>
            </w:r>
          </w:p>
        </w:tc>
      </w:tr>
      <w:tr>
        <w:trPr>
          <w:trHeight w:val="20"/>
        </w:trPr>
        <w:tc>
          <w:tcPr>
            <w:tcW w:w="6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We estimated the fair value of employee stock options on the grant date using the Black-Scholes option pricing model. The estimated fair value of employee stock options is amortized on a straight-line basis over the requisite service period of the awards.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shares to be purchased under our stock options was estimated using the following assumptions: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53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Stock Option</w:t>
            </w:r>
          </w:p>
        </w:tc>
        <w:tc>
          <w:tcPr>
            <w:tcW w:w="178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780" w:type="dxa"/>
            <w:vAlign w:val="bottom"/>
          </w:tcPr>
          <w:p>
            <w:pPr>
              <w:jc w:val="center"/>
              <w:ind w:left="873"/>
              <w:spacing w:after="0"/>
              <w:rPr>
                <w:sz w:val="20"/>
                <w:szCs w:val="20"/>
                <w:color w:val="auto"/>
              </w:rPr>
            </w:pPr>
            <w:r>
              <w:rPr>
                <w:rFonts w:ascii="Arial" w:cs="Arial" w:eastAsia="Arial" w:hAnsi="Arial"/>
                <w:sz w:val="14"/>
                <w:szCs w:val="14"/>
                <w:b w:val="1"/>
                <w:bCs w:val="1"/>
                <w:color w:val="auto"/>
                <w:w w:val="96"/>
              </w:rPr>
              <w:t>2021</w:t>
            </w:r>
          </w:p>
        </w:tc>
        <w:tc>
          <w:tcPr>
            <w:tcW w:w="4160" w:type="dxa"/>
            <w:vAlign w:val="bottom"/>
            <w:gridSpan w:val="3"/>
          </w:tcPr>
          <w:p>
            <w:pPr>
              <w:jc w:val="center"/>
              <w:ind w:left="1339"/>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780" w:type="dxa"/>
            <w:vAlign w:val="bottom"/>
            <w:tcBorders>
              <w:top w:val="single" w:sz="8" w:color="auto"/>
            </w:tcBorders>
            <w:shd w:val="clear" w:color="auto" w:fill="CCEEFF"/>
          </w:tcPr>
          <w:p>
            <w:pPr>
              <w:jc w:val="center"/>
              <w:ind w:left="873"/>
              <w:spacing w:after="0" w:line="196" w:lineRule="exact"/>
              <w:rPr>
                <w:sz w:val="20"/>
                <w:szCs w:val="20"/>
                <w:color w:val="auto"/>
              </w:rPr>
            </w:pPr>
            <w:r>
              <w:rPr>
                <w:rFonts w:ascii="Arial" w:cs="Arial" w:eastAsia="Arial" w:hAnsi="Arial"/>
                <w:sz w:val="18"/>
                <w:szCs w:val="18"/>
                <w:color w:val="auto"/>
                <w:w w:val="87"/>
              </w:rPr>
              <w:t>4.6</w:t>
            </w: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center"/>
              <w:ind w:left="873"/>
              <w:spacing w:after="0"/>
              <w:rPr>
                <w:sz w:val="20"/>
                <w:szCs w:val="20"/>
                <w:color w:val="auto"/>
              </w:rPr>
            </w:pPr>
            <w:r>
              <w:rPr>
                <w:rFonts w:ascii="Arial" w:cs="Arial" w:eastAsia="Arial" w:hAnsi="Arial"/>
                <w:sz w:val="18"/>
                <w:szCs w:val="18"/>
                <w:color w:val="auto"/>
                <w:w w:val="94"/>
              </w:rPr>
              <w:t>68%</w:t>
            </w:r>
          </w:p>
        </w:tc>
        <w:tc>
          <w:tcPr>
            <w:tcW w:w="4160" w:type="dxa"/>
            <w:vAlign w:val="bottom"/>
            <w:gridSpan w:val="3"/>
          </w:tcPr>
          <w:p>
            <w:pPr>
              <w:jc w:val="center"/>
              <w:ind w:left="1339"/>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0"/>
              </w:rPr>
              <w:t>0.50%</w:t>
            </w:r>
          </w:p>
        </w:tc>
        <w:tc>
          <w:tcPr>
            <w:tcW w:w="4160" w:type="dxa"/>
            <w:vAlign w:val="bottom"/>
            <w:gridSpan w:val="3"/>
            <w:shd w:val="clear" w:color="auto" w:fill="CCEEFF"/>
          </w:tcPr>
          <w:p>
            <w:pPr>
              <w:jc w:val="center"/>
              <w:ind w:left="1339"/>
              <w:spacing w:after="0"/>
              <w:rPr>
                <w:sz w:val="20"/>
                <w:szCs w:val="20"/>
                <w:color w:val="auto"/>
              </w:rPr>
            </w:pPr>
            <w:r>
              <w:rPr>
                <w:rFonts w:ascii="Arial" w:cs="Arial" w:eastAsia="Arial" w:hAnsi="Arial"/>
                <w:sz w:val="18"/>
                <w:szCs w:val="18"/>
                <w:color w:val="auto"/>
                <w:w w:val="90"/>
              </w:rPr>
              <w:t>1.20%</w:t>
            </w:r>
          </w:p>
        </w:tc>
        <w:tc>
          <w:tcPr>
            <w:tcW w:w="0" w:type="dxa"/>
            <w:vAlign w:val="bottom"/>
          </w:tcPr>
          <w:p>
            <w:pPr>
              <w:spacing w:after="0"/>
              <w:rPr>
                <w:sz w:val="1"/>
                <w:szCs w:val="1"/>
                <w:color w:val="auto"/>
              </w:rPr>
            </w:pPr>
          </w:p>
        </w:tc>
      </w:tr>
      <w:tr>
        <w:trPr>
          <w:trHeight w:val="188"/>
        </w:trPr>
        <w:tc>
          <w:tcPr>
            <w:tcW w:w="5300" w:type="dxa"/>
            <w:vAlign w:val="bottom"/>
          </w:tcPr>
          <w:p>
            <w:pPr>
              <w:ind w:left="120"/>
              <w:spacing w:after="0" w:line="189" w:lineRule="exact"/>
              <w:rPr>
                <w:sz w:val="20"/>
                <w:szCs w:val="20"/>
                <w:color w:val="auto"/>
              </w:rPr>
            </w:pPr>
            <w:r>
              <w:rPr>
                <w:rFonts w:ascii="Arial" w:cs="Arial" w:eastAsia="Arial" w:hAnsi="Arial"/>
                <w:sz w:val="18"/>
                <w:szCs w:val="18"/>
                <w:color w:val="auto"/>
              </w:rPr>
              <w:t>Dividend yield</w:t>
            </w:r>
          </w:p>
        </w:tc>
        <w:tc>
          <w:tcPr>
            <w:tcW w:w="1780" w:type="dxa"/>
            <w:vAlign w:val="bottom"/>
          </w:tcPr>
          <w:p>
            <w:pPr>
              <w:jc w:val="right"/>
              <w:ind w:right="273"/>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40" w:type="dxa"/>
            <w:vAlign w:val="bottom"/>
          </w:tcPr>
          <w:p>
            <w:pPr>
              <w:ind w:left="12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780" w:type="dxa"/>
            <w:vAlign w:val="bottom"/>
          </w:tcPr>
          <w:p>
            <w:pPr>
              <w:jc w:val="right"/>
              <w:ind w:right="1273"/>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5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We estimate the value of employee stock purchase rights on the grant date using the Black-Scholes option pricing model. The fair value of shares to be purchased under our ESPP was estimated using the following assumptions: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0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w w:val="95"/>
              </w:rPr>
              <w:t>Three Months Ended March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ESPP</w:t>
            </w:r>
          </w:p>
        </w:tc>
        <w:tc>
          <w:tcPr>
            <w:tcW w:w="1940" w:type="dxa"/>
            <w:vAlign w:val="bottom"/>
            <w:tcBorders>
              <w:bottom w:val="single" w:sz="8" w:color="auto"/>
            </w:tcBorders>
            <w:gridSpan w:val="2"/>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39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0.5 -</w:t>
            </w:r>
          </w:p>
        </w:tc>
        <w:tc>
          <w:tcPr>
            <w:tcW w:w="5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w:t>
            </w: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0.5 -</w:t>
            </w:r>
          </w:p>
        </w:tc>
        <w:tc>
          <w:tcPr>
            <w:tcW w:w="12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2"/>
          </w:tcPr>
          <w:p>
            <w:pPr>
              <w:jc w:val="right"/>
              <w:ind w:right="330"/>
              <w:spacing w:after="0"/>
              <w:rPr>
                <w:sz w:val="20"/>
                <w:szCs w:val="20"/>
                <w:color w:val="auto"/>
              </w:rPr>
            </w:pPr>
            <w:r>
              <w:rPr>
                <w:rFonts w:ascii="Arial" w:cs="Arial" w:eastAsia="Arial" w:hAnsi="Arial"/>
                <w:sz w:val="18"/>
                <w:szCs w:val="18"/>
                <w:color w:val="auto"/>
              </w:rPr>
              <w:t>68%</w:t>
            </w:r>
          </w:p>
        </w:tc>
        <w:tc>
          <w:tcPr>
            <w:tcW w:w="3980" w:type="dxa"/>
            <w:vAlign w:val="bottom"/>
            <w:gridSpan w:val="4"/>
          </w:tcPr>
          <w:p>
            <w:pPr>
              <w:jc w:val="right"/>
              <w:ind w:right="10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0.13%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REVENUE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geographic location for the three months ended March 31, 2021 and 2020 is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8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6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6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ind w:right="87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ind w:right="7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20" w:type="dxa"/>
            <w:vAlign w:val="bottom"/>
            <w:tcBorders>
              <w:bottom w:val="single" w:sz="8" w:color="CCEEFF"/>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12,157</w:t>
            </w:r>
          </w:p>
        </w:tc>
        <w:tc>
          <w:tcPr>
            <w:tcW w:w="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Europe (including the Middle East and Africa)</w:t>
            </w:r>
          </w:p>
        </w:tc>
        <w:tc>
          <w:tcPr>
            <w:tcW w:w="520" w:type="dxa"/>
            <w:vAlign w:val="bottom"/>
          </w:tcPr>
          <w:p>
            <w:pPr>
              <w:spacing w:after="0"/>
              <w:rPr>
                <w:sz w:val="23"/>
                <w:szCs w:val="23"/>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8,325</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54"/>
        </w:trPr>
        <w:tc>
          <w:tcPr>
            <w:tcW w:w="6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5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91"/>
        </w:trPr>
        <w:tc>
          <w:tcPr>
            <w:tcW w:w="660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28,997</w:t>
            </w:r>
          </w:p>
        </w:tc>
        <w:tc>
          <w:tcPr>
            <w:tcW w:w="44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category for the three months ended March 31, 2021 and 2020 is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80" w:type="dxa"/>
            <w:vAlign w:val="bottom"/>
            <w:gridSpan w:val="3"/>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3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jc w:val="right"/>
              <w:ind w:right="11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jc w:val="right"/>
              <w:ind w:right="11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53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Instrument revenue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14,939</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Consumable revenue</w:t>
            </w:r>
          </w:p>
        </w:tc>
        <w:tc>
          <w:tcPr>
            <w:tcW w:w="6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10,364</w:t>
            </w:r>
          </w:p>
        </w:tc>
        <w:tc>
          <w:tcPr>
            <w:tcW w:w="26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68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25,303</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and other revenue</w:t>
            </w:r>
          </w:p>
        </w:tc>
        <w:tc>
          <w:tcPr>
            <w:tcW w:w="6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26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28,997</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2020. Some of the information contained in this discussion and analysis or set forth elsewhere in this report, including statements related to our expectations regarding the potential impacts of the COVID-19 pandemic on our business, financial condition, and results of operations, and information with respect to our products, plans and strategy for our business and related financing, includes forward-looking statements that involve risks and uncertainties, including statements regarding our expected financial results in future periods.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67" w:lineRule="exact"/>
        <w:rPr>
          <w:sz w:val="20"/>
          <w:szCs w:val="20"/>
          <w:color w:val="auto"/>
        </w:rPr>
      </w:pPr>
    </w:p>
    <w:p>
      <w:pPr>
        <w:ind w:right="140" w:firstLine="440"/>
        <w:spacing w:after="0" w:line="225" w:lineRule="auto"/>
        <w:rPr>
          <w:sz w:val="20"/>
          <w:szCs w:val="20"/>
          <w:color w:val="auto"/>
        </w:rPr>
      </w:pPr>
      <w:r>
        <w:rPr>
          <w:rFonts w:ascii="Arial" w:cs="Arial" w:eastAsia="Arial" w:hAnsi="Arial"/>
          <w:sz w:val="18"/>
          <w:szCs w:val="18"/>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6" w:lineRule="exact"/>
        <w:rPr>
          <w:sz w:val="20"/>
          <w:szCs w:val="20"/>
          <w:color w:val="auto"/>
        </w:rPr>
      </w:pPr>
    </w:p>
    <w:p>
      <w:pPr>
        <w:ind w:firstLine="440"/>
        <w:spacing w:after="0" w:line="246" w:lineRule="auto"/>
        <w:rPr>
          <w:sz w:val="20"/>
          <w:szCs w:val="20"/>
          <w:color w:val="auto"/>
        </w:rPr>
      </w:pPr>
      <w:r>
        <w:rPr>
          <w:rFonts w:ascii="Arial" w:cs="Arial" w:eastAsia="Arial" w:hAnsi="Arial"/>
          <w:sz w:val="17"/>
          <w:szCs w:val="17"/>
          <w:color w:val="auto"/>
        </w:rPr>
        <w:t>Our current products include the Sequel II and Sequel IIe instruments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3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81"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Our President and Chief Executive Officer Christian O. Henry was appointed effective September 14, 2020, succeeding Dr. Michael Hunkapiller who announced his retirement, which was effective at the end of 2020. Our Chief Financial Officer Susan G. Kim was appointed effective September 28, 2020, succeeding Susan K. Barnes who retired on August 7, 2020. Our Vice President and Chief Accounting Officer Eric E. Schaefer was appointed effective May 26, 2020, and our Chairman of the Board Dr. John F. Milligan was appointed effective September 14, 2020. On December 31, 2020, the Board of Directors appointed Mark Van Oene to the role of Chief Operating Officer and designated him as the Company’s principal operating officer, and appointed Peter Fromen to the role of Chief Commercial Officer, effective in each case upon his commencement of employment with the Company on January 8,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Strategic Objectives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2021, we have outlined three strategic objectives: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Expand our commercial reach;</w:t>
      </w:r>
    </w:p>
    <w:p>
      <w:pPr>
        <w:spacing w:after="0" w:line="6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Accelerate our product development pipeline; and</w:t>
      </w:r>
    </w:p>
    <w:p>
      <w:pPr>
        <w:ind w:left="1060"/>
        <w:spacing w:after="0"/>
        <w:rPr>
          <w:sz w:val="20"/>
          <w:szCs w:val="20"/>
          <w:color w:val="auto"/>
        </w:rPr>
      </w:pPr>
      <w:r>
        <w:rPr>
          <w:rFonts w:ascii="Arial" w:cs="Arial" w:eastAsia="Arial" w:hAnsi="Arial"/>
          <w:sz w:val="18"/>
          <w:szCs w:val="18"/>
          <w:color w:val="auto"/>
        </w:rPr>
        <w:t>Drive market leadership in whole-genome clinical sequencing.</w:t>
      </w:r>
    </w:p>
    <w:p>
      <w:pPr>
        <w:spacing w:after="0" w:line="74" w:lineRule="exact"/>
        <w:rPr>
          <w:sz w:val="20"/>
          <w:szCs w:val="20"/>
          <w:color w:val="auto"/>
        </w:rPr>
      </w:pPr>
    </w:p>
    <w:p>
      <w:pPr>
        <w:ind w:right="60" w:firstLine="402"/>
        <w:spacing w:after="0" w:line="228" w:lineRule="auto"/>
        <w:rPr>
          <w:sz w:val="20"/>
          <w:szCs w:val="20"/>
          <w:color w:val="auto"/>
        </w:rPr>
      </w:pPr>
      <w:r>
        <w:rPr>
          <w:rFonts w:ascii="Arial" w:cs="Arial" w:eastAsia="Arial" w:hAnsi="Arial"/>
          <w:sz w:val="18"/>
          <w:szCs w:val="18"/>
          <w:color w:val="auto"/>
        </w:rPr>
        <w:t>Expanding our commercial reach includes hiring senior level team members with extensive commercial experience. By the end of 2021, we expect to more than double our number of quota-carrying field sales personnel from the 22 that we employed at the end of 2020. In addition, we plan to expand our commercial support activities and invest in more sales tools. We also intend to invest more heavily in marketing programs to increase the awareness of our products to a broader number of potential customers. As a result of these commercial expansion activities, we expect our sales, general, and administrative expense to increase significantly in 2021 as compared to 2020.</w:t>
      </w:r>
    </w:p>
    <w:p>
      <w:pPr>
        <w:spacing w:after="0" w:line="70" w:lineRule="exact"/>
        <w:rPr>
          <w:sz w:val="20"/>
          <w:szCs w:val="20"/>
          <w:color w:val="auto"/>
        </w:rPr>
      </w:pPr>
    </w:p>
    <w:p>
      <w:pPr>
        <w:ind w:right="40" w:firstLine="402"/>
        <w:spacing w:after="0" w:line="227" w:lineRule="auto"/>
        <w:rPr>
          <w:sz w:val="20"/>
          <w:szCs w:val="20"/>
          <w:color w:val="auto"/>
        </w:rPr>
      </w:pPr>
      <w:r>
        <w:rPr>
          <w:rFonts w:ascii="Arial" w:cs="Arial" w:eastAsia="Arial" w:hAnsi="Arial"/>
          <w:sz w:val="18"/>
          <w:szCs w:val="18"/>
          <w:color w:val="auto"/>
        </w:rPr>
        <w:t>Accelerating our product development pipeline includes significantly expanding our research and development team in an effort to accelerate the development of multiple new products. In association with the collaboration we entered into with Invitae Corporation (“Invitae”) in January 2021, as described below, we plan to develop a new platform with production-scale high-throughput capability, which will be in addition to other new products we already have in development. In order to develop these multiple products in parallel, we significantly increasing our Research and Development headcount. In addition, we expect to increase our spending on outside development costs. As a result, we expect our research and development expense to increase significantly in 2021 as compared to 2020.</w:t>
      </w:r>
    </w:p>
    <w:p>
      <w:pPr>
        <w:spacing w:after="0" w:line="67" w:lineRule="exact"/>
        <w:rPr>
          <w:sz w:val="20"/>
          <w:szCs w:val="20"/>
          <w:color w:val="auto"/>
        </w:rPr>
      </w:pPr>
    </w:p>
    <w:p>
      <w:pPr>
        <w:ind w:right="100" w:firstLine="402"/>
        <w:spacing w:after="0" w:line="227" w:lineRule="auto"/>
        <w:rPr>
          <w:sz w:val="20"/>
          <w:szCs w:val="20"/>
          <w:color w:val="auto"/>
        </w:rPr>
      </w:pPr>
      <w:r>
        <w:rPr>
          <w:rFonts w:ascii="Arial" w:cs="Arial" w:eastAsia="Arial" w:hAnsi="Arial"/>
          <w:sz w:val="18"/>
          <w:szCs w:val="18"/>
          <w:color w:val="auto"/>
        </w:rPr>
        <w:t>We believe that with the capabilities of our SMRT technology, we can be a market leader in whole-genome clinical sequencing. Leading institutions such as Children’s Mercy Kansas City, Invitae, the HudsonAlpha Institute for Biotechnology and Stanford University have adopted our products to study rare and inherited disease. We believe the market opportunity for clinical sequencing is very large, and could drive significant revenue growth for the company. To accelerate this growth, we entered into the collaboration with Invitae, who is a market leader in medical genetic testing, and has the desire to sequence hundreds of thousands of genomes annually with our technology. We will continue to pursue additional partnerships to further drive the adoption of whole-genome clinical sequencing.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Invitae Collaboration</w:t>
      </w:r>
    </w:p>
    <w:p>
      <w:pPr>
        <w:spacing w:after="0" w:line="67" w:lineRule="exact"/>
        <w:rPr>
          <w:sz w:val="20"/>
          <w:szCs w:val="20"/>
          <w:color w:val="auto"/>
        </w:rPr>
      </w:pPr>
    </w:p>
    <w:p>
      <w:pPr>
        <w:ind w:right="320" w:firstLine="440"/>
        <w:spacing w:after="0" w:line="227" w:lineRule="auto"/>
        <w:rPr>
          <w:sz w:val="20"/>
          <w:szCs w:val="20"/>
          <w:color w:val="auto"/>
        </w:rPr>
      </w:pPr>
      <w:r>
        <w:rPr>
          <w:rFonts w:ascii="Arial" w:cs="Arial" w:eastAsia="Arial" w:hAnsi="Arial"/>
          <w:sz w:val="18"/>
          <w:szCs w:val="18"/>
          <w:color w:val="auto"/>
        </w:rPr>
        <w:t>On January 12, 2021 we entered into a multi-year Development and Commercialization Agreement (the “Development Agreement”) with Invitae Corporation (“Invitae”). Pursuant to the Development Agreement, Invitae is providing certain funding to PacBio to enable PacBio to develop products relating to production-scale high-throughput sequencing (“Program Products”). If and when Program Products become commercially available for sale, Invitae may purchase the Program Products, which are expected to provide it with the ability to leverage the power of PacBio’s highly accurate HiFi sequencing to expand its whole genome testing capabilities. In addition to selling the Program Products to Invitae, we will have the right to broadly commercialize Program Products for sale to other customers.</w:t>
      </w:r>
    </w:p>
    <w:p>
      <w:pPr>
        <w:spacing w:after="0" w:line="40" w:lineRule="exact"/>
        <w:rPr>
          <w:sz w:val="20"/>
          <w:szCs w:val="20"/>
          <w:color w:val="auto"/>
        </w:rPr>
      </w:pPr>
    </w:p>
    <w:p>
      <w:pPr>
        <w:ind w:right="80" w:firstLine="440"/>
        <w:spacing w:after="0" w:line="228" w:lineRule="auto"/>
        <w:rPr>
          <w:sz w:val="20"/>
          <w:szCs w:val="20"/>
          <w:color w:val="auto"/>
        </w:rPr>
      </w:pPr>
      <w:r>
        <w:rPr>
          <w:rFonts w:ascii="Arial" w:cs="Arial" w:eastAsia="Arial" w:hAnsi="Arial"/>
          <w:sz w:val="18"/>
          <w:szCs w:val="18"/>
          <w:color w:val="auto"/>
        </w:rPr>
        <w:t>The funding Invitae will provide to PacBio will equal certain development costs incurred by PacBio in connection with the Program Products (“Program Development Costs”). Under the Development Agreement, we will be responsible for conducting a program to develop the Program Products, and subsequently for manufacturing the Program Products. We will make general decisions regarding the development program jointly with Invitae but PacBio is responsible for all research and development activities. The entire development program is expected to last approximately sixty months, but may be shorter or longer.</w:t>
      </w:r>
    </w:p>
    <w:p>
      <w:pPr>
        <w:spacing w:after="0" w:line="43" w:lineRule="exact"/>
        <w:rPr>
          <w:sz w:val="20"/>
          <w:szCs w:val="20"/>
          <w:color w:val="auto"/>
        </w:rPr>
      </w:pPr>
    </w:p>
    <w:p>
      <w:pPr>
        <w:ind w:firstLine="440"/>
        <w:spacing w:after="0" w:line="225" w:lineRule="auto"/>
        <w:rPr>
          <w:sz w:val="20"/>
          <w:szCs w:val="20"/>
          <w:color w:val="auto"/>
        </w:rPr>
      </w:pPr>
      <w:r>
        <w:rPr>
          <w:rFonts w:ascii="Arial" w:cs="Arial" w:eastAsia="Arial" w:hAnsi="Arial"/>
          <w:sz w:val="18"/>
          <w:szCs w:val="18"/>
          <w:color w:val="auto"/>
        </w:rPr>
        <w:t>As the primary benefit of its contribution, Invitae will be entitled to preferred pricing on the Program Products if and when they are available for commercial sale. Each Program Product will have a preferential pricing period, which will not exceed four years from the date of the first delivery of that Program Product (“Preferential Pricing Period”). During the Preferential Pricing Period for each Program Product, Invitae may purchase the Program Product at a substantially reduced margin until it has recouped a multiple of its contribution as defined in the Development Agreement. For a specified period after the end of the Preferential Pricing Period, Invitae has the right to purchase the Program Product at a higher price, determined by a formula, than the price during the Preferential Pricing Period (“Extended Pricing Period”). The Extended Pricing Periods will terminate early if Invitae does not meet certain volume minimums.</w:t>
      </w:r>
    </w:p>
    <w:p>
      <w:pPr>
        <w:spacing w:after="0" w:line="46" w:lineRule="exact"/>
        <w:rPr>
          <w:sz w:val="20"/>
          <w:szCs w:val="20"/>
          <w:color w:val="auto"/>
        </w:rPr>
      </w:pPr>
    </w:p>
    <w:p>
      <w:pPr>
        <w:ind w:right="100" w:firstLine="440"/>
        <w:spacing w:after="0" w:line="238" w:lineRule="auto"/>
        <w:rPr>
          <w:sz w:val="20"/>
          <w:szCs w:val="20"/>
          <w:color w:val="auto"/>
        </w:rPr>
      </w:pPr>
      <w:r>
        <w:rPr>
          <w:rFonts w:ascii="Arial" w:cs="Arial" w:eastAsia="Arial" w:hAnsi="Arial"/>
          <w:sz w:val="17"/>
          <w:szCs w:val="17"/>
          <w:color w:val="auto"/>
        </w:rPr>
        <w:t>We and Invitae may terminate the Development Agreement if the other party remains in material breach of the Development Agreement following a cure period to remedy the material breach. In addition, the Development Agreement includes certain other circumstances for termination by each party, including circumstances where Invitae may terminate for delays, IP concerns, PacBio’s change in control, or without cause.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right="160" w:firstLine="440"/>
        <w:spacing w:after="0" w:line="253" w:lineRule="auto"/>
        <w:rPr>
          <w:sz w:val="20"/>
          <w:szCs w:val="20"/>
          <w:color w:val="auto"/>
        </w:rPr>
      </w:pPr>
      <w:r>
        <w:rPr>
          <w:rFonts w:ascii="Arial" w:cs="Arial" w:eastAsia="Arial" w:hAnsi="Arial"/>
          <w:sz w:val="17"/>
          <w:szCs w:val="17"/>
          <w:color w:val="auto"/>
        </w:rPr>
        <w:t>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reimbursed to us, and in certain circumstances, a mutually agreed return.</w:t>
      </w:r>
    </w:p>
    <w:p>
      <w:pPr>
        <w:spacing w:after="0" w:line="30"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We expect to incur significant development costs over the duration of the Development Agreement. There can be no assurances that the development program will be successful or that the Program Products will become ready for commercial sale.</w:t>
      </w:r>
    </w:p>
    <w:p>
      <w:pPr>
        <w:spacing w:after="0" w:line="35" w:lineRule="exact"/>
        <w:rPr>
          <w:sz w:val="20"/>
          <w:szCs w:val="20"/>
          <w:color w:val="auto"/>
        </w:rPr>
      </w:pPr>
    </w:p>
    <w:p>
      <w:pPr>
        <w:ind w:right="60" w:firstLine="440"/>
        <w:spacing w:after="0" w:line="261" w:lineRule="auto"/>
        <w:rPr>
          <w:sz w:val="20"/>
          <w:szCs w:val="20"/>
          <w:color w:val="auto"/>
        </w:rPr>
      </w:pPr>
      <w:r>
        <w:rPr>
          <w:rFonts w:ascii="Arial" w:cs="Arial" w:eastAsia="Arial" w:hAnsi="Arial"/>
          <w:sz w:val="16"/>
          <w:szCs w:val="16"/>
          <w:color w:val="auto"/>
        </w:rPr>
        <w:t xml:space="preserve">We determined that the primary benefit from the arrangement to Invitae is the ability to procure the Program Products during the Preferential Pricing Period at substantial discounts. As we expect the Program Products to be available for Invitae to purchase in the future, we concluded the arrangement is within the scope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In addition, Invitae is not expected to substantially benefit from the intellectual property developed under the arrangement, or benefit from other goods or services during the development period. It is also not a collaboration in the scope of ASC Topic 808 Collaborative Arrangements, as PacBio is responsible for performing the research and development activities.</w:t>
      </w:r>
    </w:p>
    <w:p>
      <w:pPr>
        <w:spacing w:after="0" w:line="2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6"/>
          <w:szCs w:val="16"/>
          <w:color w:val="auto"/>
        </w:rPr>
        <w:t>Accordingly, the amounts received by the Company from Invitae during the development period represent significant discounts toward future supplies of the Program Products during the Preferential Pricing Period, and will be accounted as material rights in accordance with ASC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Proportionate amounts of these material rights will be recognized in revenue when Invitae places purchase orders for Program Products and the associated goods or services are delivered to Invitae. To the extent the discounts are not expected to be used, they will be recognized consistent with the guidance in Topic 606 relating to breakage, in proportion to the expected purchases by Invitae. Any remaining unused discounts will be recognized when they expire.</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amounts received from Invitae will be initially deferred and accumulated in non-current deferred revenue.</w:t>
      </w:r>
    </w:p>
    <w:p>
      <w:pPr>
        <w:spacing w:after="0" w:line="63" w:lineRule="exact"/>
        <w:rPr>
          <w:sz w:val="20"/>
          <w:szCs w:val="20"/>
          <w:color w:val="auto"/>
        </w:rPr>
      </w:pPr>
    </w:p>
    <w:p>
      <w:pPr>
        <w:jc w:val="both"/>
        <w:ind w:right="160" w:firstLine="440"/>
        <w:spacing w:after="0" w:line="253" w:lineRule="auto"/>
        <w:rPr>
          <w:sz w:val="20"/>
          <w:szCs w:val="20"/>
          <w:color w:val="auto"/>
        </w:rPr>
      </w:pPr>
      <w:r>
        <w:rPr>
          <w:rFonts w:ascii="Arial" w:cs="Arial" w:eastAsia="Arial" w:hAnsi="Arial"/>
          <w:sz w:val="17"/>
          <w:szCs w:val="17"/>
          <w:color w:val="auto"/>
        </w:rPr>
        <w:t>We determined that a significant financing component exists in relation to the amounts received by Invitae during the development period and until the development is complete. The resulting financing costs will be recognized by the Company over that period, with corresponding increases in deferred revenues. As a result, future revenue attributable to the material rights will be increased by the same amount.</w:t>
      </w:r>
    </w:p>
    <w:p>
      <w:pPr>
        <w:spacing w:after="0" w:line="30" w:lineRule="exact"/>
        <w:rPr>
          <w:sz w:val="20"/>
          <w:szCs w:val="20"/>
          <w:color w:val="auto"/>
        </w:rPr>
      </w:pPr>
    </w:p>
    <w:p>
      <w:pPr>
        <w:ind w:right="160" w:firstLine="440"/>
        <w:spacing w:after="0" w:line="246" w:lineRule="auto"/>
        <w:rPr>
          <w:sz w:val="20"/>
          <w:szCs w:val="20"/>
          <w:color w:val="auto"/>
        </w:rPr>
      </w:pPr>
      <w:r>
        <w:rPr>
          <w:rFonts w:ascii="Arial" w:cs="Arial" w:eastAsia="Arial" w:hAnsi="Arial"/>
          <w:sz w:val="17"/>
          <w:szCs w:val="17"/>
          <w:color w:val="auto"/>
        </w:rPr>
        <w:t>Costs incurred to develop the Program Products are considered research and development and are expensed as incurred. There are no origination or fulfilment costs related to the arrangement with Invitae that are eligible to be capitalized. We expect to incur significant development costs over the duration of the Development Agreement including $20-25 million expected to be incurred during fiscal 2021. There can be no assurances that the development program will be successful or that the Program Products will become ready for commercial sale.</w:t>
      </w:r>
    </w:p>
    <w:p>
      <w:pPr>
        <w:spacing w:after="0" w:line="36" w:lineRule="exact"/>
        <w:rPr>
          <w:sz w:val="20"/>
          <w:szCs w:val="20"/>
          <w:color w:val="auto"/>
        </w:rPr>
      </w:pPr>
    </w:p>
    <w:p>
      <w:pPr>
        <w:ind w:right="60" w:firstLine="402"/>
        <w:spacing w:after="0" w:line="246" w:lineRule="auto"/>
        <w:rPr>
          <w:sz w:val="20"/>
          <w:szCs w:val="20"/>
          <w:color w:val="auto"/>
        </w:rPr>
      </w:pPr>
      <w:r>
        <w:rPr>
          <w:rFonts w:ascii="Arial" w:cs="Arial" w:eastAsia="Arial" w:hAnsi="Arial"/>
          <w:sz w:val="18"/>
          <w:szCs w:val="18"/>
          <w:color w:val="auto"/>
        </w:rPr>
        <w:t>As of March 31, 2021, cumulative payments received from Invitae amounted to $4.1 million, and are included in “Deferred revenue, non-current” on the Condensed Consolidated Balance Sheet.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63" w:lineRule="exact"/>
        <w:rPr>
          <w:sz w:val="20"/>
          <w:szCs w:val="20"/>
          <w:color w:val="auto"/>
        </w:rPr>
      </w:pPr>
    </w:p>
    <w:p>
      <w:pPr>
        <w:ind w:right="140" w:firstLine="440"/>
        <w:spacing w:after="0" w:line="228"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worldwide, including in the regions in which we sell our products and services and conduct our business operations. A significant number of our customer sites that had shut down due to COVID-19 have now re-opened. A significant number of customers had to delay purchases or had difficulties obtaining funding for capital expenditures due to the negative impact of the pandemic on their businesses. Due to the uncertain scope and duration of the pandemic, we cannot reasonably estimate the future impact to our operations and financial results.</w:t>
      </w:r>
    </w:p>
    <w:p>
      <w:pPr>
        <w:spacing w:after="0" w:line="43" w:lineRule="exact"/>
        <w:rPr>
          <w:sz w:val="20"/>
          <w:szCs w:val="20"/>
          <w:color w:val="auto"/>
        </w:rPr>
      </w:pPr>
    </w:p>
    <w:p>
      <w:pPr>
        <w:ind w:right="460" w:firstLine="440"/>
        <w:spacing w:after="0" w:line="246" w:lineRule="auto"/>
        <w:rPr>
          <w:sz w:val="20"/>
          <w:szCs w:val="20"/>
          <w:color w:val="auto"/>
        </w:rPr>
      </w:pPr>
      <w:r>
        <w:rPr>
          <w:rFonts w:ascii="Arial" w:cs="Arial" w:eastAsia="Arial" w:hAnsi="Arial"/>
          <w:sz w:val="17"/>
          <w:szCs w:val="17"/>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that remain open. To aid in containing the spread of COVID-19, we have implemented remote-work options and are limiting employee travel as much as possible. We are monitoring this rapidly evolving situation.</w:t>
      </w:r>
    </w:p>
    <w:p>
      <w:pPr>
        <w:spacing w:after="0" w:line="36" w:lineRule="exact"/>
        <w:rPr>
          <w:sz w:val="20"/>
          <w:szCs w:val="20"/>
          <w:color w:val="auto"/>
        </w:rPr>
      </w:pPr>
    </w:p>
    <w:p>
      <w:pPr>
        <w:ind w:firstLine="440"/>
        <w:spacing w:after="0" w:line="249"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60" w:firstLine="440"/>
        <w:spacing w:after="0" w:line="258"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 w:lineRule="exact"/>
        <w:rPr>
          <w:sz w:val="20"/>
          <w:szCs w:val="20"/>
          <w:color w:val="auto"/>
        </w:rPr>
      </w:pPr>
    </w:p>
    <w:p>
      <w:pPr>
        <w:ind w:firstLine="402"/>
        <w:spacing w:after="0" w:line="256" w:lineRule="auto"/>
        <w:rPr>
          <w:sz w:val="20"/>
          <w:szCs w:val="20"/>
          <w:color w:val="auto"/>
        </w:rPr>
      </w:pPr>
      <w:r>
        <w:rPr>
          <w:rFonts w:ascii="Arial" w:cs="Arial" w:eastAsia="Arial" w:hAnsi="Arial"/>
          <w:sz w:val="16"/>
          <w:szCs w:val="16"/>
          <w:color w:val="auto"/>
        </w:rPr>
        <w:t xml:space="preserve">Except for the adoption of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 discussed in Note</w:t>
      </w:r>
    </w:p>
    <w:p>
      <w:pPr>
        <w:spacing w:after="0" w:line="1" w:lineRule="exact"/>
        <w:rPr>
          <w:sz w:val="20"/>
          <w:szCs w:val="20"/>
          <w:color w:val="auto"/>
        </w:rPr>
      </w:pPr>
    </w:p>
    <w:p>
      <w:pPr>
        <w:ind w:right="280" w:firstLine="8"/>
        <w:spacing w:after="0" w:line="21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and Note 7</w:t>
      </w:r>
      <w:r>
        <w:rPr>
          <w:rFonts w:ascii="Arial" w:cs="Arial" w:eastAsia="Arial" w:hAnsi="Arial"/>
          <w:sz w:val="18"/>
          <w:szCs w:val="18"/>
          <w:i w:val="1"/>
          <w:iCs w:val="1"/>
          <w:color w:val="auto"/>
        </w:rPr>
        <w:t>. Convertible Senior Notes</w:t>
      </w:r>
      <w:r>
        <w:rPr>
          <w:rFonts w:ascii="Arial" w:cs="Arial" w:eastAsia="Arial" w:hAnsi="Arial"/>
          <w:sz w:val="18"/>
          <w:szCs w:val="18"/>
          <w:color w:val="auto"/>
        </w:rPr>
        <w:t>, there have been no material changes to our significant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as discussed in our Annual Report on Form 10-K for the year ended December 31, 2020.</w:t>
      </w: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900" w:type="dxa"/>
            <w:vAlign w:val="bottom"/>
            <w:gridSpan w:val="5"/>
          </w:tcPr>
          <w:p>
            <w:pPr>
              <w:jc w:val="right"/>
              <w:ind w:right="87"/>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5060" w:type="dxa"/>
            <w:vAlign w:val="bottom"/>
            <w:gridSpan w:val="2"/>
            <w:vMerge w:val="continue"/>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Revenue:</w:t>
            </w:r>
          </w:p>
        </w:tc>
        <w:tc>
          <w:tcPr>
            <w:tcW w:w="2960" w:type="dxa"/>
            <w:vAlign w:val="bottom"/>
            <w:vMerge w:val="restart"/>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607"/>
              <w:spacing w:after="0"/>
              <w:rPr>
                <w:sz w:val="20"/>
                <w:szCs w:val="20"/>
                <w:color w:val="auto"/>
              </w:rPr>
            </w:pPr>
            <w:r>
              <w:rPr>
                <w:rFonts w:ascii="Arial" w:cs="Arial" w:eastAsia="Arial" w:hAnsi="Arial"/>
                <w:sz w:val="14"/>
                <w:szCs w:val="14"/>
                <w:b w:val="1"/>
                <w:bCs w:val="1"/>
                <w:color w:val="auto"/>
              </w:rPr>
              <w:t>(unaudited)</w:t>
            </w: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Product revenue</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Service and other revenue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revenue</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28,997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15,598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13,399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Cost of Revenue:</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revenue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Cost of service and other revenue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cost of revenue</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16,020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7,910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ind w:left="1200"/>
              <w:spacing w:after="0" w:line="196" w:lineRule="exact"/>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12,977</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Expense:</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general and administrative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24,947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operating expense</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46,687</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40,197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6,490</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(33,710)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(32,709)</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(1,001)</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(loss) from Continuation Advances</w:t>
            </w: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(52,000)</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(1,789)</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(1,522)</w:t>
            </w:r>
          </w:p>
        </w:tc>
        <w:tc>
          <w:tcPr>
            <w:tcW w:w="126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line="182" w:lineRule="exact"/>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(87,435)</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1,262</w:t>
            </w:r>
          </w:p>
        </w:tc>
        <w:tc>
          <w:tcPr>
            <w:tcW w:w="100" w:type="dxa"/>
            <w:vAlign w:val="bottom"/>
          </w:tcPr>
          <w:p>
            <w:pPr>
              <w:spacing w:after="0"/>
              <w:rPr>
                <w:sz w:val="15"/>
                <w:szCs w:val="15"/>
                <w:color w:val="auto"/>
              </w:rPr>
            </w:pPr>
          </w:p>
        </w:tc>
        <w:tc>
          <w:tcPr>
            <w:tcW w:w="380" w:type="dxa"/>
            <w:vAlign w:val="bottom"/>
          </w:tcPr>
          <w:p>
            <w:pPr>
              <w:jc w:val="right"/>
              <w:ind w:right="196"/>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(88,697)</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(7028%)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for the three months ended March 31, 2021 was $29.0 million compared to $15.6 million for the same period during 2020.</w:t>
      </w:r>
    </w:p>
    <w:p>
      <w:pPr>
        <w:spacing w:after="0" w:line="75" w:lineRule="exact"/>
        <w:rPr>
          <w:sz w:val="20"/>
          <w:szCs w:val="20"/>
          <w:color w:val="auto"/>
        </w:rPr>
      </w:pPr>
    </w:p>
    <w:p>
      <w:pPr>
        <w:ind w:right="20" w:firstLine="440"/>
        <w:spacing w:after="0" w:line="228" w:lineRule="auto"/>
        <w:rPr>
          <w:sz w:val="20"/>
          <w:szCs w:val="20"/>
          <w:color w:val="auto"/>
        </w:rPr>
      </w:pPr>
      <w:r>
        <w:rPr>
          <w:rFonts w:ascii="Arial" w:cs="Arial" w:eastAsia="Arial" w:hAnsi="Arial"/>
          <w:sz w:val="18"/>
          <w:szCs w:val="18"/>
          <w:color w:val="auto"/>
        </w:rPr>
        <w:t>Product revenue of $25.3 million for the three months ended March 31, 2021 consisted primarily of $14.9 million from instrument revenue and $10.4 million from consumables revenue, compared to total product revenue of $12.3 million for the same period during 2020, consisting of $4.0 million from instrument revenue and $8.3 million of consumables revenue. The increase in instrument sales was primarily attributable to a higher number of instrument shipments and installations. The increase in consumable sales was primarily attributable to higher Sequel II consumables sales as the installed base of Sequel II systems has grown.</w:t>
      </w:r>
    </w:p>
    <w:p>
      <w:pPr>
        <w:spacing w:after="0" w:line="43" w:lineRule="exact"/>
        <w:rPr>
          <w:sz w:val="20"/>
          <w:szCs w:val="20"/>
          <w:color w:val="auto"/>
        </w:rPr>
      </w:pPr>
    </w:p>
    <w:p>
      <w:pPr>
        <w:ind w:right="80" w:firstLine="440"/>
        <w:spacing w:after="0" w:line="246" w:lineRule="auto"/>
        <w:rPr>
          <w:sz w:val="20"/>
          <w:szCs w:val="20"/>
          <w:color w:val="auto"/>
        </w:rPr>
      </w:pPr>
      <w:r>
        <w:rPr>
          <w:rFonts w:ascii="Arial" w:cs="Arial" w:eastAsia="Arial" w:hAnsi="Arial"/>
          <w:sz w:val="18"/>
          <w:szCs w:val="18"/>
          <w:color w:val="auto"/>
        </w:rPr>
        <w:t>Service and other revenue of $3.7 million and $3.3 million for the three months ended March 31, 2021 and 2020, respectively, was primarily derived from product maintenance agreements sold on our installed instruments.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77" w:lineRule="exact"/>
        <w:rPr>
          <w:sz w:val="20"/>
          <w:szCs w:val="20"/>
          <w:color w:val="auto"/>
        </w:rPr>
      </w:pPr>
    </w:p>
    <w:p>
      <w:pPr>
        <w:ind w:right="300" w:firstLine="440"/>
        <w:spacing w:after="0" w:line="248" w:lineRule="auto"/>
        <w:rPr>
          <w:sz w:val="20"/>
          <w:szCs w:val="20"/>
          <w:color w:val="auto"/>
        </w:rPr>
      </w:pPr>
      <w:r>
        <w:rPr>
          <w:rFonts w:ascii="Arial" w:cs="Arial" w:eastAsia="Arial" w:hAnsi="Arial"/>
          <w:sz w:val="18"/>
          <w:szCs w:val="18"/>
          <w:color w:val="auto"/>
        </w:rPr>
        <w:t>Gross profit for the three months ended March 31, 2021 was $13.0 million, resulting in a gross margin of 44.8%, compared to gross profit of $7.5 million for the same period during 2020, resulting in a gross margin of 48.0%. From time to time, we may experience lower manufacturing yields and potential supply constraints which could have a material impact on our gross margins.</w:t>
      </w:r>
    </w:p>
    <w:p>
      <w:pPr>
        <w:spacing w:after="0" w:line="33" w:lineRule="exact"/>
        <w:rPr>
          <w:sz w:val="20"/>
          <w:szCs w:val="20"/>
          <w:color w:val="auto"/>
        </w:rPr>
      </w:pPr>
    </w:p>
    <w:p>
      <w:pPr>
        <w:ind w:right="200" w:firstLine="440"/>
        <w:spacing w:after="0" w:line="299" w:lineRule="auto"/>
        <w:rPr>
          <w:sz w:val="20"/>
          <w:szCs w:val="20"/>
          <w:color w:val="auto"/>
        </w:rPr>
      </w:pPr>
      <w:r>
        <w:rPr>
          <w:rFonts w:ascii="Arial" w:cs="Arial" w:eastAsia="Arial" w:hAnsi="Arial"/>
          <w:sz w:val="16"/>
          <w:szCs w:val="16"/>
          <w:color w:val="auto"/>
        </w:rPr>
        <w:t>Cost of product revenue was $12.7 million for the three months ended March 31, 2021, compared to cost of product revenue of $5.4 million for the same period during 2020. The increase of $7.3 million in cost of product revenue was primarily due to increased product shipments as described above.</w:t>
      </w:r>
    </w:p>
    <w:p>
      <w:pPr>
        <w:spacing w:after="0" w:line="1"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Cost of service and other revenue for the three months ended March 31, 2021 increased to $3.3 million, compared to $2.7 million for the same period during 2020, due primarily to higher service volumes and increased stock-based compensation expense.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right="20" w:firstLine="440"/>
        <w:spacing w:after="0" w:line="231" w:lineRule="auto"/>
        <w:rPr>
          <w:sz w:val="20"/>
          <w:szCs w:val="20"/>
          <w:color w:val="auto"/>
        </w:rPr>
      </w:pPr>
      <w:r>
        <w:rPr>
          <w:rFonts w:ascii="Arial" w:cs="Arial" w:eastAsia="Arial" w:hAnsi="Arial"/>
          <w:sz w:val="18"/>
          <w:szCs w:val="18"/>
          <w:color w:val="auto"/>
        </w:rPr>
        <w:t>During the three months ended March 31, 2021, research and development expense increased by $5.3 million, or 35%, compared to the same period during 2020. The increase in research and development expense was primarily driven by an increase of $3.3 million in compensation expenses and an increase of $1.6 million in product development costs. Research and development expense included stock-based compensation expense of $3.0 million and $1.8 million during the three months ended March 31,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63" w:lineRule="exact"/>
        <w:rPr>
          <w:sz w:val="20"/>
          <w:szCs w:val="20"/>
          <w:color w:val="auto"/>
        </w:rPr>
      </w:pPr>
    </w:p>
    <w:p>
      <w:pPr>
        <w:ind w:right="160" w:firstLine="440"/>
        <w:spacing w:after="0" w:line="237" w:lineRule="auto"/>
        <w:rPr>
          <w:sz w:val="20"/>
          <w:szCs w:val="20"/>
          <w:color w:val="auto"/>
        </w:rPr>
      </w:pPr>
      <w:r>
        <w:rPr>
          <w:rFonts w:ascii="Arial" w:cs="Arial" w:eastAsia="Arial" w:hAnsi="Arial"/>
          <w:sz w:val="17"/>
          <w:szCs w:val="17"/>
          <w:color w:val="auto"/>
        </w:rPr>
        <w:t>During the three months ended March 31, 2021, sales, general and administrative expense increased by $1.2 million, or 5%, compared to the same period during 2020. The increase in sales, general and administrative expense was primarily attributable to an $11.5 million increase in compensation expense for the three months ended March 31, 2021 compared to the same period of 2020, partially offset by a $6.0 million financial advisory fee during the three months ended March 31, 2020 related to the terminated merger with Illumina and $4.1 million in lower legal and other professional expenses during the three months ended March 31, 2021 compared to the same period of 2020. The increase in compensation expense is primarily attributable to executive hiring related to our senior management transitions during the second half of 2020 and early 2021, as well as higher payroll tax expenses associated with stock option exercises and restricted stock units vesting during the three months ended March 31, 2021. Sales, general and administrative expense included stock-based compensation expense of $6.1 million and $1.7 million during the three months ended March 31,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Continuation Advances from Illumina</w:t>
      </w:r>
    </w:p>
    <w:p>
      <w:pPr>
        <w:spacing w:after="0" w:line="63" w:lineRule="exact"/>
        <w:rPr>
          <w:sz w:val="20"/>
          <w:szCs w:val="20"/>
          <w:color w:val="auto"/>
        </w:rPr>
      </w:pPr>
    </w:p>
    <w:p>
      <w:pPr>
        <w:ind w:firstLine="492"/>
        <w:spacing w:after="0" w:line="235" w:lineRule="auto"/>
        <w:rPr>
          <w:sz w:val="20"/>
          <w:szCs w:val="20"/>
          <w:color w:val="auto"/>
        </w:rPr>
      </w:pPr>
      <w:r>
        <w:rPr>
          <w:rFonts w:ascii="Arial" w:cs="Arial" w:eastAsia="Arial" w:hAnsi="Arial"/>
          <w:sz w:val="18"/>
          <w:szCs w:val="18"/>
          <w:color w:val="auto"/>
        </w:rPr>
        <w:t>As part of the Termination Agreement, Illumina paid us Continuation Advances of $18.0 million during the fourth quarter of 2019 and $34.0 million during the first quarter of 2020. We recorded the $34.0 million as part of other income in the condensed consolidated statements of operations and comprehensive income (loss) for the three months ended March 31, 2020.</w:t>
      </w:r>
    </w:p>
    <w:p>
      <w:pPr>
        <w:spacing w:after="0" w:line="40" w:lineRule="exact"/>
        <w:rPr>
          <w:sz w:val="20"/>
          <w:szCs w:val="20"/>
          <w:color w:val="auto"/>
        </w:rPr>
      </w:pPr>
    </w:p>
    <w:p>
      <w:pPr>
        <w:ind w:right="20" w:firstLine="492"/>
        <w:spacing w:after="0" w:line="235" w:lineRule="auto"/>
        <w:rPr>
          <w:sz w:val="20"/>
          <w:szCs w:val="20"/>
          <w:color w:val="auto"/>
        </w:rPr>
      </w:pPr>
      <w:r>
        <w:rPr>
          <w:rFonts w:ascii="Arial" w:cs="Arial" w:eastAsia="Arial" w:hAnsi="Arial"/>
          <w:sz w:val="18"/>
          <w:szCs w:val="18"/>
          <w:color w:val="auto"/>
        </w:rPr>
        <w:t>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40" w:lineRule="exact"/>
        <w:rPr>
          <w:sz w:val="20"/>
          <w:szCs w:val="20"/>
          <w:color w:val="auto"/>
        </w:rPr>
      </w:pPr>
    </w:p>
    <w:p>
      <w:pPr>
        <w:ind w:right="220" w:firstLine="492"/>
        <w:spacing w:after="0" w:line="235" w:lineRule="auto"/>
        <w:rPr>
          <w:sz w:val="20"/>
          <w:szCs w:val="20"/>
          <w:color w:val="auto"/>
        </w:rPr>
      </w:pPr>
      <w:r>
        <w:rPr>
          <w:rFonts w:ascii="Arial" w:cs="Arial" w:eastAsia="Arial" w:hAnsi="Arial"/>
          <w:sz w:val="18"/>
          <w:szCs w:val="18"/>
          <w:color w:val="auto"/>
        </w:rPr>
        <w:t>Resulting from the issuance and sale of $900 million of 1.50% Convertible Senior Notes due February 15, 2028, $52.0 million of Continuation Advances were paid without interest to Illumina in February 2021 and recorded as other expense in the condensed consolidated statements of operations and comprehensive income (loss) for the three months ended March 31, 2021.</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color w:val="auto"/>
        </w:rPr>
        <w:t>Interest expense for the three months ended March 31, 2021 increased $1.5 million compared to the same period in 2020, primarily due to interest incurred on the $900 million of 1.50% Convertible Senior Notes that were issued February 16,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63" w:lineRule="exact"/>
        <w:rPr>
          <w:sz w:val="20"/>
          <w:szCs w:val="20"/>
          <w:color w:val="auto"/>
        </w:rPr>
      </w:pPr>
    </w:p>
    <w:p>
      <w:pPr>
        <w:ind w:right="80" w:firstLine="570"/>
        <w:spacing w:after="0" w:line="239" w:lineRule="auto"/>
        <w:rPr>
          <w:sz w:val="20"/>
          <w:szCs w:val="20"/>
          <w:color w:val="auto"/>
        </w:rPr>
      </w:pPr>
      <w:r>
        <w:rPr>
          <w:rFonts w:ascii="Arial" w:cs="Arial" w:eastAsia="Arial" w:hAnsi="Arial"/>
          <w:sz w:val="17"/>
          <w:szCs w:val="17"/>
          <w:color w:val="auto"/>
        </w:rPr>
        <w:t>Cash, cash equivalents and investments at March 31, 2021 totaled $1.16 billion, compared to $318.8 million at December 31, 2020. The increase was attributable to the net proceeds from our issuance of $900 million of 1.50% Convertible Senior Notes on February 16, 2021, partially offset by the repayment of $52 million of Continuation Advances to Illumina in the first quarter of 2021. We have historically incurred, and expect to continue to incur, operating losses and generate negative cash flows from operations on an annual basis due to the investments we intend to make as described above, and as a result, we may require additional capital resources to execute on our strategic initiatives to grow our business. We believe that our existing cash, cash equivalents and investments will be sufficient to fund our projected operating requirements for at least the next 12 months from the date of filing of this Quarterly Report on Form 10-Q for the quarter ended March 31, 2021.</w:t>
      </w:r>
    </w:p>
    <w:p>
      <w:pPr>
        <w:spacing w:after="0" w:line="55" w:lineRule="exact"/>
        <w:rPr>
          <w:sz w:val="20"/>
          <w:szCs w:val="20"/>
          <w:color w:val="auto"/>
        </w:rPr>
      </w:pPr>
    </w:p>
    <w:p>
      <w:pPr>
        <w:ind w:right="20" w:firstLine="570"/>
        <w:spacing w:after="0" w:line="264" w:lineRule="auto"/>
        <w:rPr>
          <w:sz w:val="20"/>
          <w:szCs w:val="20"/>
          <w:color w:val="auto"/>
        </w:rPr>
      </w:pPr>
      <w:r>
        <w:rPr>
          <w:rFonts w:ascii="Arial" w:cs="Arial" w:eastAsia="Arial" w:hAnsi="Arial"/>
          <w:sz w:val="16"/>
          <w:szCs w:val="16"/>
          <w:color w:val="auto"/>
        </w:rPr>
        <w:t>Factors that may affect our capital needs include, but are not limited to,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and other factors. There can be no assurance that funds will be available on favorable terms, or at all.</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63" w:lineRule="exact"/>
        <w:rPr>
          <w:sz w:val="20"/>
          <w:szCs w:val="20"/>
          <w:color w:val="auto"/>
        </w:rPr>
      </w:pPr>
    </w:p>
    <w:p>
      <w:pPr>
        <w:ind w:right="140" w:firstLine="492"/>
        <w:spacing w:after="0" w:line="246" w:lineRule="auto"/>
        <w:rPr>
          <w:sz w:val="20"/>
          <w:szCs w:val="20"/>
          <w:color w:val="auto"/>
        </w:rPr>
      </w:pPr>
      <w:r>
        <w:rPr>
          <w:rFonts w:ascii="Arial" w:cs="Arial" w:eastAsia="Arial" w:hAnsi="Arial"/>
          <w:sz w:val="18"/>
          <w:szCs w:val="18"/>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16" w:lineRule="exact"/>
        <w:rPr>
          <w:sz w:val="20"/>
          <w:szCs w:val="20"/>
          <w:color w:val="auto"/>
        </w:rPr>
      </w:pPr>
    </w:p>
    <w:p>
      <w:pPr>
        <w:ind w:right="560" w:firstLine="440"/>
        <w:spacing w:after="0" w:line="246" w:lineRule="auto"/>
        <w:rPr>
          <w:sz w:val="20"/>
          <w:szCs w:val="20"/>
          <w:color w:val="auto"/>
        </w:rPr>
      </w:pPr>
      <w:r>
        <w:rPr>
          <w:rFonts w:ascii="Arial" w:cs="Arial" w:eastAsia="Arial" w:hAnsi="Arial"/>
          <w:sz w:val="18"/>
          <w:szCs w:val="18"/>
          <w:color w:val="auto"/>
        </w:rPr>
        <w:t>We had $23.1 million of cash used in operating activities for the three months ended March 31, 2021, compared to cash provided by operating activities of $75.4 million for the same period in 2020.</w:t>
      </w:r>
    </w:p>
    <w:p>
      <w:pPr>
        <w:spacing w:after="0" w:line="116" w:lineRule="exact"/>
        <w:rPr>
          <w:sz w:val="20"/>
          <w:szCs w:val="20"/>
          <w:color w:val="auto"/>
        </w:rPr>
      </w:pPr>
    </w:p>
    <w:p>
      <w:pPr>
        <w:ind w:right="120" w:firstLine="440"/>
        <w:spacing w:after="0" w:line="228" w:lineRule="auto"/>
        <w:rPr>
          <w:sz w:val="20"/>
          <w:szCs w:val="20"/>
          <w:color w:val="auto"/>
        </w:rPr>
      </w:pPr>
      <w:r>
        <w:rPr>
          <w:rFonts w:ascii="Arial" w:cs="Arial" w:eastAsia="Arial" w:hAnsi="Arial"/>
          <w:sz w:val="18"/>
          <w:szCs w:val="18"/>
          <w:color w:val="auto"/>
        </w:rPr>
        <w:t>Cash used in operating activities for the three months ended March 31, 2021 was due primarily to $87.4 million net loss, partially offset by a loss of $52.0 million from Continuation Advances repaid to Illumina that is considered a financing activity and non-cash items such as stock-based compensation of $10.2 million and depreciation of $1.6 million. The change in net operating assets and liabilities was primarily attributable to decreases of $3.0 million in other liabilities and $2.7 million in accrued expenses and an increase of $2.6 million in inventory, partially offset by a decrease of $3.9 million in accounts receivable and an increase of $5.0 million in deferred revenue.</w:t>
      </w:r>
    </w:p>
    <w:p>
      <w:pPr>
        <w:spacing w:after="0" w:line="124"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Cash provided by operating activities for the three months ended March 31, 2020 was due to the $98.0 million Reverse Termination Fee received from Illumina and a net income of $1.3 million plus changes in net operating assets and liabilities, offset by a gain from Continuation Advances from Illumina of $34.0 million that is considered to be a financing activity, and non-cash items such as stock-based compensation of $4.0 million and depreciation of $1.7 million. The change in net operating assets and liabilities was primarily attributable to a decrease of $7.9 million in accounts receivable and an increase of accrued liabilities of $4.7 million, partially offset by a decrease of $4.1 million in accounts payable and an increase of $3.3 million in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44"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Our investing activities consist primarily of capital expenditures and investment purchases, sales and maturities. We received $8.2 million of cash from investing activities for the three months ended March 31, 2021, compared to using cash of $54.3 million for investing activities for the same period in 2020.</w:t>
      </w:r>
    </w:p>
    <w:p>
      <w:pPr>
        <w:spacing w:after="0" w:line="121"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Cash provided by investing activities for the three months ended March 31, 2021 was due primarily to net sales and maturities of investments of $8.6 million, partially offset by purchases of property and equipment of $0.4 million.</w:t>
      </w:r>
    </w:p>
    <w:p>
      <w:pPr>
        <w:spacing w:after="0" w:line="35"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Cash used in investing activities for the three months ended March 31, 2020 was due primarily to net purchases of investments of $54.2 million and purchases of property and equipment of $0.1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provided from financing activities was $865.7 million and $18.2 million for the three months ended March 31, 2021 and 2020, respectively.</w:t>
      </w:r>
    </w:p>
    <w:p>
      <w:pPr>
        <w:spacing w:after="0" w:line="167" w:lineRule="exact"/>
        <w:rPr>
          <w:sz w:val="20"/>
          <w:szCs w:val="20"/>
          <w:color w:val="auto"/>
        </w:rPr>
      </w:pPr>
    </w:p>
    <w:p>
      <w:pPr>
        <w:ind w:right="380" w:firstLine="440"/>
        <w:spacing w:after="0" w:line="276" w:lineRule="auto"/>
        <w:rPr>
          <w:sz w:val="20"/>
          <w:szCs w:val="20"/>
          <w:color w:val="auto"/>
        </w:rPr>
      </w:pPr>
      <w:r>
        <w:rPr>
          <w:rFonts w:ascii="Arial" w:cs="Arial" w:eastAsia="Arial" w:hAnsi="Arial"/>
          <w:sz w:val="16"/>
          <w:szCs w:val="16"/>
          <w:color w:val="auto"/>
        </w:rPr>
        <w:t>Cash provided by financing activities during the three months ended March 31, 2021 resulted from the net proceeds of $895.6 million from our February 2021 issuance of $900 million of 1.50% Convertible Senior Notes after deducting debt issuance costs and proceeds of $22.3 million from the issuance of common stock through our equity compensation plans, partially offset by $52.0 million of Continuation Advances repaid to Illumina.</w:t>
      </w:r>
    </w:p>
    <w:p>
      <w:pPr>
        <w:spacing w:after="0" w:line="94" w:lineRule="exact"/>
        <w:rPr>
          <w:sz w:val="20"/>
          <w:szCs w:val="20"/>
          <w:color w:val="auto"/>
        </w:rPr>
      </w:pPr>
    </w:p>
    <w:p>
      <w:pPr>
        <w:ind w:right="420" w:firstLine="440"/>
        <w:spacing w:after="0" w:line="235" w:lineRule="auto"/>
        <w:rPr>
          <w:sz w:val="20"/>
          <w:szCs w:val="20"/>
          <w:color w:val="auto"/>
        </w:rPr>
      </w:pPr>
      <w:r>
        <w:rPr>
          <w:rFonts w:ascii="Arial" w:cs="Arial" w:eastAsia="Arial" w:hAnsi="Arial"/>
          <w:sz w:val="18"/>
          <w:szCs w:val="18"/>
          <w:color w:val="auto"/>
        </w:rPr>
        <w:t>Cash provided by financing activities during the three months ended March 31, 2020 was due to $34.0 million of Continuation Advances from Illumina and proceeds of $0.2 million from the issuance of common stock through our equity compensation plans, partially offset by $16.0 million we repaid for the remaining outstanding principal upon the maturity of a credit facility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and Sale of 1.50% Convertible Senior Notes due February 15, 2028</w:t>
      </w:r>
    </w:p>
    <w:p>
      <w:pPr>
        <w:spacing w:after="0" w:line="144" w:lineRule="exact"/>
        <w:rPr>
          <w:sz w:val="20"/>
          <w:szCs w:val="20"/>
          <w:color w:val="auto"/>
        </w:rPr>
      </w:pPr>
    </w:p>
    <w:p>
      <w:pPr>
        <w:ind w:right="360" w:firstLine="440"/>
        <w:spacing w:after="0" w:line="235" w:lineRule="auto"/>
        <w:rPr>
          <w:sz w:val="20"/>
          <w:szCs w:val="20"/>
          <w:color w:val="auto"/>
        </w:rPr>
      </w:pPr>
      <w:r>
        <w:rPr>
          <w:rFonts w:ascii="Arial" w:cs="Arial" w:eastAsia="Arial" w:hAnsi="Arial"/>
          <w:sz w:val="18"/>
          <w:szCs w:val="18"/>
          <w:color w:val="auto"/>
        </w:rPr>
        <w:t>On February 9, 2021, we entered into an investment agreement with SB Northstar LP (the “Purchaser”), a subsidiary of SoftBank Group Corp., relating to the issuance and sale to the Purchaser of $900 million in aggregate principal amount of the Company’s 1.50% Convertible Senior Notes due February 15, 2028 (the “Notes”). The Notes were issued on February 16, 2021.</w:t>
      </w:r>
    </w:p>
    <w:p>
      <w:pPr>
        <w:spacing w:after="0" w:line="121" w:lineRule="exact"/>
        <w:rPr>
          <w:sz w:val="20"/>
          <w:szCs w:val="20"/>
          <w:color w:val="auto"/>
        </w:rPr>
      </w:pPr>
    </w:p>
    <w:p>
      <w:pPr>
        <w:ind w:right="160" w:firstLine="440"/>
        <w:spacing w:after="0" w:line="225" w:lineRule="auto"/>
        <w:rPr>
          <w:sz w:val="20"/>
          <w:szCs w:val="20"/>
          <w:color w:val="auto"/>
        </w:rPr>
      </w:pPr>
      <w:r>
        <w:rPr>
          <w:rFonts w:ascii="Arial" w:cs="Arial" w:eastAsia="Arial" w:hAnsi="Arial"/>
          <w:sz w:val="18"/>
          <w:szCs w:val="18"/>
          <w:color w:val="auto"/>
        </w:rPr>
        <w:t>The Notes are governed by an indenture (the “Indenture”) between the Company and U.S. Bank National Association, as trustee. The Notes bear interest at a rate of 1.50% per annum. Interest on the Notes is payable semi-annually in arrears on February 15 and August 15 commencing on August 15, 2021. The Notes will mature on February 15, 2028, subject to earlier conversion, redemption or repurchase.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40"/>
        <w:spacing w:after="0" w:line="296" w:lineRule="auto"/>
        <w:rPr>
          <w:sz w:val="20"/>
          <w:szCs w:val="20"/>
          <w:color w:val="auto"/>
        </w:rPr>
      </w:pPr>
      <w:r>
        <w:rPr>
          <w:rFonts w:ascii="Arial" w:cs="Arial" w:eastAsia="Arial" w:hAnsi="Arial"/>
          <w:sz w:val="17"/>
          <w:szCs w:val="17"/>
          <w:color w:val="auto"/>
        </w:rPr>
        <w:t>The Notes are convertible at the option of the holder at any time until the second scheduled trading day prior to the maturity date, including in connection with a redemption by the Company. The Notes are convertible into shares of the Company’s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121" w:lineRule="exact"/>
        <w:rPr>
          <w:sz w:val="20"/>
          <w:szCs w:val="20"/>
          <w:color w:val="auto"/>
        </w:rPr>
      </w:pPr>
    </w:p>
    <w:p>
      <w:pPr>
        <w:ind w:right="40" w:firstLine="440"/>
        <w:spacing w:after="0" w:line="222" w:lineRule="auto"/>
        <w:rPr>
          <w:sz w:val="20"/>
          <w:szCs w:val="20"/>
          <w:color w:val="auto"/>
        </w:rPr>
      </w:pPr>
      <w:r>
        <w:rPr>
          <w:rFonts w:ascii="Arial" w:cs="Arial" w:eastAsia="Arial" w:hAnsi="Arial"/>
          <w:sz w:val="17"/>
          <w:szCs w:val="17"/>
          <w:color w:val="auto"/>
        </w:rPr>
        <w:t>On or after February 20, 2026 and prior to the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scheduled trading day immediately preceding the maturity date of the Notes, the Notes will be redeemable by the Company in the event that the closing sale price of the Company’s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at a redemption price of 100% of the principal amount of such Notes, plus accrued and unpaid interest to, but excluding, the redemption date.</w:t>
      </w:r>
    </w:p>
    <w:p>
      <w:pPr>
        <w:spacing w:after="0" w:line="123"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With certain exceptions, upon a change of control of the Company or the failure of the Company’s common stock to be listed on certain stock exchanges, the holders of the Notes may require that the Company repurchase all or part of the principal amount of the Notes at a purchase price of par plus unpaid interest to, but excluding, the maturity date.</w:t>
      </w:r>
    </w:p>
    <w:p>
      <w:pPr>
        <w:spacing w:after="0" w:line="121"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2021, we did not have any off-balance sheet arrangements.</w:t>
      </w:r>
    </w:p>
    <w:p>
      <w:pPr>
        <w:spacing w:after="0" w:line="63" w:lineRule="exact"/>
        <w:rPr>
          <w:sz w:val="20"/>
          <w:szCs w:val="20"/>
          <w:color w:val="auto"/>
        </w:rPr>
      </w:pPr>
    </w:p>
    <w:p>
      <w:pPr>
        <w:ind w:right="60" w:firstLine="440"/>
        <w:spacing w:after="0" w:line="238"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2" w:lineRule="exact"/>
        <w:rPr>
          <w:sz w:val="20"/>
          <w:szCs w:val="20"/>
          <w:color w:val="auto"/>
        </w:rPr>
      </w:pPr>
    </w:p>
    <w:p>
      <w:pPr>
        <w:ind w:right="80" w:firstLine="440"/>
        <w:spacing w:after="0" w:line="225" w:lineRule="auto"/>
        <w:rPr>
          <w:sz w:val="20"/>
          <w:szCs w:val="20"/>
          <w:color w:val="auto"/>
        </w:rPr>
      </w:pPr>
      <w:r>
        <w:rPr>
          <w:rFonts w:ascii="Arial" w:cs="Arial" w:eastAsia="Arial" w:hAnsi="Arial"/>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8. Commitments and Contingencies” in Part I, Item 1 of this Form 10-Q, any associated expenses incurred are included within the related accrued litigation expense amounts. No additional liability associated with such indemnification agreements has been recorded as of March 31, 2021.</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7"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There have been no material changes in market risk from the information provided in our Annual Report on Form 10-K for the year ended December 31, 2020.</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7"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41"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ind w:right="240" w:firstLine="440"/>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Note 8. Commitments and Contingencies</w:t>
      </w:r>
      <w:r>
        <w:rPr>
          <w:rFonts w:ascii="Arial" w:cs="Arial" w:eastAsia="Arial" w:hAnsi="Arial"/>
          <w:sz w:val="18"/>
          <w:szCs w:val="18"/>
          <w:color w:val="auto"/>
        </w:rPr>
        <w:t xml:space="preserve"> of Item 1. of Financial Statements under Part I – Financial Information.</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adverse impact of health epidemics, including the recent coronavirus outbreak;</w:t>
      </w:r>
    </w:p>
    <w:p>
      <w:pPr>
        <w:spacing w:after="0" w:line="63" w:lineRule="exact"/>
        <w:rPr>
          <w:sz w:val="20"/>
          <w:szCs w:val="20"/>
          <w:color w:val="auto"/>
        </w:rPr>
      </w:pPr>
    </w:p>
    <w:p>
      <w:pPr>
        <w:ind w:left="660" w:right="1740"/>
        <w:spacing w:after="0" w:line="313" w:lineRule="auto"/>
        <w:rPr>
          <w:sz w:val="20"/>
          <w:szCs w:val="20"/>
          <w:color w:val="auto"/>
        </w:rPr>
      </w:pPr>
      <w:r>
        <w:rPr>
          <w:rFonts w:ascii="Arial" w:cs="Arial" w:eastAsia="Arial" w:hAnsi="Arial"/>
          <w:sz w:val="18"/>
          <w:szCs w:val="18"/>
          <w:color w:val="auto"/>
        </w:rPr>
        <w:t>Our ability to successfully market, commercialize, and sell current and future products and related maintenance services; Our ability to achieve profitability for our business;</w:t>
      </w:r>
    </w:p>
    <w:p>
      <w:pPr>
        <w:ind w:left="660"/>
        <w:spacing w:after="0"/>
        <w:rPr>
          <w:sz w:val="20"/>
          <w:szCs w:val="20"/>
          <w:color w:val="auto"/>
        </w:rPr>
      </w:pPr>
      <w:r>
        <w:rPr>
          <w:rFonts w:ascii="Arial" w:cs="Arial" w:eastAsia="Arial" w:hAnsi="Arial"/>
          <w:sz w:val="18"/>
          <w:szCs w:val="18"/>
          <w:color w:val="auto"/>
        </w:rPr>
        <w:t>Our ability to successfully research, develop and timely manufacture our current and future products;</w:t>
      </w:r>
    </w:p>
    <w:p>
      <w:pPr>
        <w:spacing w:after="0" w:line="63" w:lineRule="exact"/>
        <w:rPr>
          <w:sz w:val="20"/>
          <w:szCs w:val="20"/>
          <w:color w:val="auto"/>
        </w:rPr>
      </w:pPr>
    </w:p>
    <w:p>
      <w:pPr>
        <w:ind w:left="660" w:right="540"/>
        <w:spacing w:after="0" w:line="313" w:lineRule="auto"/>
        <w:rPr>
          <w:sz w:val="20"/>
          <w:szCs w:val="20"/>
          <w:color w:val="auto"/>
        </w:rPr>
      </w:pPr>
      <w:r>
        <w:rPr>
          <w:rFonts w:ascii="Arial" w:cs="Arial" w:eastAsia="Arial" w:hAnsi="Arial"/>
          <w:sz w:val="18"/>
          <w:szCs w:val="18"/>
          <w:color w:val="auto"/>
        </w:rPr>
        <w:t>Management of new product introductions and transitions, resultant costs, and ability of new products to generate promised performance; Recent significant changes to our leadership team and resultant disruptions to our business;</w:t>
      </w:r>
    </w:p>
    <w:p>
      <w:pPr>
        <w:ind w:left="660" w:right="3100"/>
        <w:spacing w:after="0" w:line="352" w:lineRule="auto"/>
        <w:rPr>
          <w:sz w:val="20"/>
          <w:szCs w:val="20"/>
          <w:color w:val="auto"/>
        </w:rPr>
      </w:pPr>
      <w:r>
        <w:rPr>
          <w:rFonts w:ascii="Arial" w:cs="Arial" w:eastAsia="Arial" w:hAnsi="Arial"/>
          <w:sz w:val="16"/>
          <w:szCs w:val="16"/>
          <w:color w:val="auto"/>
        </w:rPr>
        <w:t>Retention, recruitment, and training of senior management, key personnel, scientists and engineers; Our ability to further penetrate nucleic acid sequencing applications, as well as grow product demand;</w:t>
      </w:r>
    </w:p>
    <w:p>
      <w:pPr>
        <w:ind w:left="660" w:right="380"/>
        <w:spacing w:after="0" w:line="313" w:lineRule="auto"/>
        <w:rPr>
          <w:sz w:val="20"/>
          <w:szCs w:val="20"/>
          <w:color w:val="auto"/>
        </w:rPr>
      </w:pPr>
      <w:r>
        <w:rPr>
          <w:rFonts w:ascii="Arial" w:cs="Arial" w:eastAsia="Arial" w:hAnsi="Arial"/>
          <w:sz w:val="18"/>
          <w:szCs w:val="18"/>
          <w:color w:val="auto"/>
        </w:rPr>
        <w:t>Our reliance on outsourcing to other companies for manufacturing certain components and sub-assemblies, some of which are sole sourced; Our ability to consistently manufacture our instruments and consumables to meet customers’ specifications, quantity, cost, or performance requirements;</w:t>
      </w:r>
    </w:p>
    <w:p>
      <w:pPr>
        <w:ind w:left="660"/>
        <w:spacing w:after="0"/>
        <w:rPr>
          <w:sz w:val="20"/>
          <w:szCs w:val="20"/>
          <w:color w:val="auto"/>
        </w:rPr>
      </w:pPr>
      <w:r>
        <w:rPr>
          <w:rFonts w:ascii="Arial" w:cs="Arial" w:eastAsia="Arial" w:hAnsi="Arial"/>
          <w:sz w:val="18"/>
          <w:szCs w:val="18"/>
          <w:color w:val="auto"/>
        </w:rPr>
        <w:t>The high amount of competition we face in our industry;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attract customers and increase sales of current and future products;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Reliance on a limited number of customers for a significant portion of our revenues, including academic, research and government institutions;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complexity of our products giving rise to defects or errors;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unpredictable and lengthy sales cycle;</w:t>
      </w:r>
    </w:p>
    <w:p>
      <w:pPr>
        <w:spacing w:after="0" w:line="63" w:lineRule="exact"/>
        <w:rPr>
          <w:sz w:val="20"/>
          <w:szCs w:val="20"/>
          <w:color w:val="auto"/>
        </w:rPr>
      </w:pPr>
    </w:p>
    <w:p>
      <w:pPr>
        <w:ind w:left="660" w:right="2060"/>
        <w:spacing w:after="0" w:line="331" w:lineRule="auto"/>
        <w:rPr>
          <w:sz w:val="20"/>
          <w:szCs w:val="20"/>
          <w:color w:val="auto"/>
        </w:rPr>
      </w:pPr>
      <w:r>
        <w:rPr>
          <w:rFonts w:ascii="Arial" w:cs="Arial" w:eastAsia="Arial" w:hAnsi="Arial"/>
          <w:sz w:val="17"/>
          <w:szCs w:val="17"/>
          <w:color w:val="auto"/>
        </w:rPr>
        <w:t>Securing and maintaining patent or other intellectual property protection for our products and related improvements; Current and future legal proceedings filed against us claiming intellectual property infringement;</w:t>
      </w:r>
    </w:p>
    <w:p>
      <w:pPr>
        <w:spacing w:after="0" w:line="1" w:lineRule="exact"/>
        <w:rPr>
          <w:sz w:val="20"/>
          <w:szCs w:val="20"/>
          <w:color w:val="auto"/>
        </w:rPr>
      </w:pPr>
    </w:p>
    <w:p>
      <w:pPr>
        <w:ind w:left="5540" w:right="4100" w:hanging="4877"/>
        <w:spacing w:after="0" w:line="293" w:lineRule="auto"/>
        <w:rPr>
          <w:sz w:val="20"/>
          <w:szCs w:val="20"/>
          <w:color w:val="auto"/>
        </w:rPr>
      </w:pPr>
      <w:r>
        <w:rPr>
          <w:rFonts w:ascii="Arial" w:cs="Arial" w:eastAsia="Arial" w:hAnsi="Arial"/>
          <w:sz w:val="18"/>
          <w:szCs w:val="18"/>
          <w:color w:val="auto"/>
        </w:rPr>
        <w:t>Governmental regulations that burden operations or narrow the market for our products;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Evolving ethical, legal, privacy, social, and regulatory concerns regarding genetic testing;</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Volatility of the price of our common stock; and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falling as a result of future offerings or sales.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health epidemics, including the recent coronavirus outbreak.</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Our business could be adversely impacted by the effects of COVID-19 or other epidemics or pandemics. As a result of COVID-19, our 2020 financial results were impacted negatively as our customers in multiple regions around the world suspended their normal operations in efforts to curb the spread of the COVID-19 pandemic. However, a significant number of our customer sites that had shut down due to COVID-19 have re-opened. In addition, a significant number of customers have delayed purchases of capital due to the negative impact of the pandemic on their businesses. This dynamic continues to negatively impact the recognition of revenue related to the sale of our Sequel and Sequel II/IIe instruments and the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In response to local stay-at-home orders and in alignment with CDC recommendations, we have 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We are monitoring this rapidly evolving situation.</w:t>
      </w:r>
    </w:p>
    <w:p>
      <w:pPr>
        <w:spacing w:after="0" w:line="181" w:lineRule="exact"/>
        <w:rPr>
          <w:sz w:val="20"/>
          <w:szCs w:val="20"/>
          <w:color w:val="auto"/>
        </w:rPr>
      </w:pPr>
    </w:p>
    <w:p>
      <w:pPr>
        <w:ind w:right="20" w:firstLine="648"/>
        <w:spacing w:after="0" w:line="225" w:lineRule="auto"/>
        <w:rPr>
          <w:sz w:val="20"/>
          <w:szCs w:val="20"/>
          <w:color w:val="auto"/>
        </w:rPr>
      </w:pPr>
      <w:r>
        <w:rPr>
          <w:rFonts w:ascii="Arial" w:cs="Arial" w:eastAsia="Arial" w:hAnsi="Arial"/>
          <w:sz w:val="18"/>
          <w:szCs w:val="18"/>
          <w:color w:val="auto"/>
        </w:rPr>
        <w:t>Our manufacturing partners and suppliers could also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At this point in time, there is significant uncertainty relating to the potential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w:t>
      </w:r>
    </w:p>
    <w:p>
      <w:pPr>
        <w:spacing w:after="0" w:line="181"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7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We have limited commercial sales to date and the commercialization and sales of our current or future products may be unsuccessful or less successful than anticipated.</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6"/>
          <w:szCs w:val="16"/>
          <w:color w:val="auto"/>
        </w:rPr>
        <w:t>Our first commercial product launched in 2011 and we have had limited sales to date. As such, we have limited historical financial data upon which to base our projected revenue and planned operating expenses or upon which to evaluate our company and our commercial prospects. Furthermore,</w:t>
      </w:r>
    </w:p>
    <w:p>
      <w:pPr>
        <w:spacing w:after="0" w:line="1" w:lineRule="exact"/>
        <w:rPr>
          <w:sz w:val="20"/>
          <w:szCs w:val="20"/>
          <w:color w:val="auto"/>
        </w:rPr>
      </w:pPr>
    </w:p>
    <w:p>
      <w:pPr>
        <w:spacing w:after="0" w:line="200" w:lineRule="auto"/>
        <w:rPr>
          <w:sz w:val="20"/>
          <w:szCs w:val="20"/>
          <w:color w:val="auto"/>
        </w:rPr>
      </w:pPr>
      <w:r>
        <w:rPr>
          <w:rFonts w:ascii="Arial" w:cs="Arial" w:eastAsia="Arial" w:hAnsi="Arial"/>
          <w:sz w:val="18"/>
          <w:szCs w:val="18"/>
          <w:color w:val="auto"/>
        </w:rPr>
        <w:t>in September 2015, we launched the PacBio Sequel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Based on our limited experience in developing and marketing our existing products and launching new products, we may not be able to effectively:</w:t>
      </w:r>
    </w:p>
    <w:p>
      <w:pPr>
        <w:spacing w:after="0" w:line="3" w:lineRule="exact"/>
        <w:rPr>
          <w:sz w:val="20"/>
          <w:szCs w:val="20"/>
          <w:color w:val="auto"/>
        </w:rPr>
      </w:pPr>
    </w:p>
    <w:p>
      <w:pPr>
        <w:ind w:left="1100" w:right="180"/>
        <w:spacing w:after="0" w:line="219" w:lineRule="auto"/>
        <w:rPr>
          <w:sz w:val="20"/>
          <w:szCs w:val="20"/>
          <w:color w:val="auto"/>
        </w:rPr>
      </w:pPr>
      <w:r>
        <w:rPr>
          <w:rFonts w:ascii="Arial" w:cs="Arial" w:eastAsia="Arial" w:hAnsi="Arial"/>
          <w:sz w:val="18"/>
          <w:szCs w:val="18"/>
          <w:color w:val="auto"/>
        </w:rPr>
        <w:t>manage the timeliness of our new product introductions and the rate at which sales of our new products may cannibalize sales of our older products;</w:t>
      </w:r>
    </w:p>
    <w:p>
      <w:pPr>
        <w:ind w:left="1100" w:right="3920"/>
        <w:spacing w:after="0" w:line="219" w:lineRule="auto"/>
        <w:rPr>
          <w:sz w:val="20"/>
          <w:szCs w:val="20"/>
          <w:color w:val="auto"/>
        </w:rPr>
      </w:pPr>
      <w:r>
        <w:rPr>
          <w:rFonts w:ascii="Arial" w:cs="Arial" w:eastAsia="Arial" w:hAnsi="Arial"/>
          <w:sz w:val="18"/>
          <w:szCs w:val="18"/>
          <w:color w:val="auto"/>
        </w:rPr>
        <w:t>drive adoption of our current and future products, including the Sequel II/IIe Systems; attract and retain customers for our products;</w:t>
      </w:r>
    </w:p>
    <w:p>
      <w:pPr>
        <w:ind w:left="1100"/>
        <w:spacing w:after="0" w:line="219" w:lineRule="auto"/>
        <w:rPr>
          <w:sz w:val="20"/>
          <w:szCs w:val="20"/>
          <w:color w:val="auto"/>
        </w:rPr>
      </w:pPr>
      <w:r>
        <w:rPr>
          <w:rFonts w:ascii="Arial" w:cs="Arial" w:eastAsia="Arial" w:hAnsi="Arial"/>
          <w:sz w:val="18"/>
          <w:szCs w:val="18"/>
          <w:color w:val="auto"/>
        </w:rPr>
        <w:t>provide appropriate levels of customer training and support for our products;</w:t>
      </w: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implement an effective marketing strategy to promote awareness of our products;</w:t>
      </w:r>
    </w:p>
    <w:p>
      <w:pPr>
        <w:ind w:left="1100"/>
        <w:spacing w:after="0" w:line="219" w:lineRule="auto"/>
        <w:rPr>
          <w:sz w:val="20"/>
          <w:szCs w:val="20"/>
          <w:color w:val="auto"/>
        </w:rPr>
      </w:pPr>
      <w:r>
        <w:rPr>
          <w:rFonts w:ascii="Arial" w:cs="Arial" w:eastAsia="Arial" w:hAnsi="Arial"/>
          <w:sz w:val="18"/>
          <w:szCs w:val="18"/>
          <w:color w:val="auto"/>
        </w:rPr>
        <w:t>develop and implement an effective sales and distribution strategy for our current and future products;</w:t>
      </w:r>
    </w:p>
    <w:p>
      <w:pPr>
        <w:ind w:left="1100" w:right="120"/>
        <w:spacing w:after="0" w:line="219" w:lineRule="auto"/>
        <w:rPr>
          <w:sz w:val="20"/>
          <w:szCs w:val="20"/>
          <w:color w:val="auto"/>
        </w:rPr>
      </w:pPr>
      <w:r>
        <w:rPr>
          <w:rFonts w:ascii="Arial" w:cs="Arial" w:eastAsia="Arial" w:hAnsi="Arial"/>
          <w:sz w:val="18"/>
          <w:szCs w:val="18"/>
          <w:color w:val="auto"/>
        </w:rPr>
        <w:t>develop, manufacture and commercialize new products or achieve an acceptable return on our manufacturing or research and development efforts and expenses;</w:t>
      </w:r>
    </w:p>
    <w:p>
      <w:pPr>
        <w:ind w:left="1100"/>
        <w:spacing w:after="0" w:line="219" w:lineRule="auto"/>
        <w:rPr>
          <w:sz w:val="20"/>
          <w:szCs w:val="20"/>
          <w:color w:val="auto"/>
        </w:rPr>
      </w:pPr>
      <w:r>
        <w:rPr>
          <w:rFonts w:ascii="Arial" w:cs="Arial" w:eastAsia="Arial" w:hAnsi="Arial"/>
          <w:sz w:val="18"/>
          <w:szCs w:val="18"/>
          <w:color w:val="auto"/>
        </w:rPr>
        <w:t>comply with regulatory requirements applicable to our products;</w:t>
      </w:r>
    </w:p>
    <w:p>
      <w:pPr>
        <w:ind w:left="1100"/>
        <w:spacing w:after="0" w:line="219" w:lineRule="auto"/>
        <w:rPr>
          <w:sz w:val="20"/>
          <w:szCs w:val="20"/>
          <w:color w:val="auto"/>
        </w:rPr>
      </w:pPr>
      <w:r>
        <w:rPr>
          <w:rFonts w:ascii="Arial" w:cs="Arial" w:eastAsia="Arial" w:hAnsi="Arial"/>
          <w:sz w:val="18"/>
          <w:szCs w:val="18"/>
          <w:color w:val="auto"/>
        </w:rPr>
        <w:t>anticipate and adapt to changes in our market;</w:t>
      </w:r>
    </w:p>
    <w:p>
      <w:pPr>
        <w:spacing w:after="0" w:line="1" w:lineRule="exact"/>
        <w:rPr>
          <w:sz w:val="20"/>
          <w:szCs w:val="20"/>
          <w:color w:val="auto"/>
        </w:rPr>
      </w:pPr>
    </w:p>
    <w:p>
      <w:pPr>
        <w:ind w:left="1100" w:right="380"/>
        <w:spacing w:after="0" w:line="219" w:lineRule="auto"/>
        <w:rPr>
          <w:sz w:val="20"/>
          <w:szCs w:val="20"/>
          <w:color w:val="auto"/>
        </w:rPr>
      </w:pPr>
      <w:r>
        <w:rPr>
          <w:rFonts w:ascii="Arial" w:cs="Arial" w:eastAsia="Arial" w:hAnsi="Arial"/>
          <w:sz w:val="18"/>
          <w:szCs w:val="18"/>
          <w:color w:val="auto"/>
        </w:rPr>
        <w:t>accommodate customer expectations and demands with respect to our products, increase product adoption by our existing customers or develop new customer relationships;</w:t>
      </w:r>
    </w:p>
    <w:p>
      <w:pPr>
        <w:ind w:left="1100"/>
        <w:spacing w:after="0" w:line="219" w:lineRule="auto"/>
        <w:rPr>
          <w:sz w:val="20"/>
          <w:szCs w:val="20"/>
          <w:color w:val="auto"/>
        </w:rPr>
      </w:pPr>
      <w:r>
        <w:rPr>
          <w:rFonts w:ascii="Arial" w:cs="Arial" w:eastAsia="Arial" w:hAnsi="Arial"/>
          <w:sz w:val="18"/>
          <w:szCs w:val="18"/>
          <w:color w:val="auto"/>
        </w:rPr>
        <w:t>grow our share by marketing and selling our products for new and additional applications;</w:t>
      </w:r>
    </w:p>
    <w:p>
      <w:pPr>
        <w:ind w:left="1100" w:right="140"/>
        <w:spacing w:after="0" w:line="219" w:lineRule="auto"/>
        <w:rPr>
          <w:sz w:val="20"/>
          <w:szCs w:val="20"/>
          <w:color w:val="auto"/>
        </w:rPr>
      </w:pPr>
      <w:r>
        <w:rPr>
          <w:rFonts w:ascii="Arial" w:cs="Arial" w:eastAsia="Arial" w:hAnsi="Arial"/>
          <w:sz w:val="18"/>
          <w:szCs w:val="18"/>
          <w:color w:val="auto"/>
        </w:rPr>
        <w:t>maintain and develop strategic relationships with vendors, manufacturers and other industry partners to acquire necessary materials for the production of, and to develop, manufacture and commercialize, our existing or future products;</w:t>
      </w:r>
    </w:p>
    <w:p>
      <w:pPr>
        <w:ind w:left="1100" w:right="1380"/>
        <w:spacing w:after="0" w:line="219" w:lineRule="auto"/>
        <w:rPr>
          <w:sz w:val="20"/>
          <w:szCs w:val="20"/>
          <w:color w:val="auto"/>
        </w:rPr>
      </w:pPr>
      <w:r>
        <w:rPr>
          <w:rFonts w:ascii="Arial" w:cs="Arial" w:eastAsia="Arial" w:hAnsi="Arial"/>
          <w:sz w:val="18"/>
          <w:szCs w:val="18"/>
          <w:color w:val="auto"/>
        </w:rPr>
        <w:t>adapt or scale our manufacturing activities to meet performance specifications and potential demand at a reasonable cost; avoid infringement and misappropriation of third-party intellectual property;</w:t>
      </w:r>
    </w:p>
    <w:p>
      <w:pPr>
        <w:ind w:left="1100" w:right="1940"/>
        <w:spacing w:after="0" w:line="219" w:lineRule="auto"/>
        <w:rPr>
          <w:sz w:val="20"/>
          <w:szCs w:val="20"/>
          <w:color w:val="auto"/>
        </w:rPr>
      </w:pPr>
      <w:r>
        <w:rPr>
          <w:rFonts w:ascii="Arial" w:cs="Arial" w:eastAsia="Arial" w:hAnsi="Arial"/>
          <w:sz w:val="18"/>
          <w:szCs w:val="18"/>
          <w:color w:val="auto"/>
        </w:rPr>
        <w:t>obtain and maintain any necessary licenses to third-party intellectual property on commercially reasonable terms; obtain valid and enforceable patents that give us a competitive advantage or enforce existing patents; protect our proprietary technology; and</w:t>
      </w:r>
    </w:p>
    <w:p>
      <w:pPr>
        <w:ind w:left="1100"/>
        <w:spacing w:after="0"/>
        <w:rPr>
          <w:sz w:val="20"/>
          <w:szCs w:val="20"/>
          <w:color w:val="auto"/>
        </w:rPr>
      </w:pPr>
      <w:r>
        <w:rPr>
          <w:rFonts w:ascii="Arial" w:cs="Arial" w:eastAsia="Arial" w:hAnsi="Arial"/>
          <w:sz w:val="18"/>
          <w:szCs w:val="18"/>
          <w:color w:val="auto"/>
        </w:rPr>
        <w:t>attract, retain and motivate qualified personnel.</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impact of the COVID-19 pandemic.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2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Except for the quarters ended September 30, 2015 (as a result of a one-time gain on lease amendments), March 31, 2020 (as a result of the recognition of a gain relating to the Continuation Advances), and December 31, 2020 (as a result of recognition of gain relating to the Reverse Termination Fee),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While we achieved profitability for the quarter ended March 31, 2020, this result was largely due to income recognition of the Continuation Advances. Even if profitability is achieved in the future, we may not be able to sustain profitability on a consistent basis. Excluding the recognition in October 2020 of gain relating to the Reverse Termination Fee and the recognition in the first quarter of 2020 of gain relating to the Continuation Advances, we expect to continue to incur substantial losses and negative cash flow from operations for the foreseeable future.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make it more difficult for us to satisfy our obligations;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63" w:lineRule="exact"/>
        <w:rPr>
          <w:sz w:val="20"/>
          <w:szCs w:val="20"/>
          <w:color w:val="auto"/>
        </w:rPr>
      </w:pPr>
    </w:p>
    <w:p>
      <w:pPr>
        <w:ind w:left="1100" w:right="840"/>
        <w:spacing w:after="0" w:line="313" w:lineRule="auto"/>
        <w:rPr>
          <w:sz w:val="20"/>
          <w:szCs w:val="20"/>
          <w:color w:val="auto"/>
        </w:rPr>
      </w:pPr>
      <w:r>
        <w:rPr>
          <w:rFonts w:ascii="Arial" w:cs="Arial" w:eastAsia="Arial" w:hAnsi="Arial"/>
          <w:sz w:val="18"/>
          <w:szCs w:val="18"/>
          <w:color w:val="auto"/>
        </w:rPr>
        <w:t>limit our ability to fund future working capital, capital expenditures, research and development and other business opportunities; increase the volatility of the price of our common stock;</w:t>
      </w:r>
    </w:p>
    <w:p>
      <w:pPr>
        <w:ind w:left="1100"/>
        <w:spacing w:after="0"/>
        <w:rPr>
          <w:sz w:val="20"/>
          <w:szCs w:val="20"/>
          <w:color w:val="auto"/>
        </w:rPr>
      </w:pPr>
      <w:r>
        <w:rPr>
          <w:rFonts w:ascii="Arial" w:cs="Arial" w:eastAsia="Arial" w:hAnsi="Arial"/>
          <w:sz w:val="18"/>
          <w:szCs w:val="18"/>
          <w:color w:val="auto"/>
        </w:rPr>
        <w:t>limit our flexibility to react to changes in our business and the industry in which we operate;</w:t>
      </w:r>
    </w:p>
    <w:p>
      <w:pPr>
        <w:spacing w:after="0" w:line="63" w:lineRule="exact"/>
        <w:rPr>
          <w:sz w:val="20"/>
          <w:szCs w:val="20"/>
          <w:color w:val="auto"/>
        </w:rPr>
      </w:pPr>
    </w:p>
    <w:p>
      <w:pPr>
        <w:ind w:left="1100" w:right="2020"/>
        <w:spacing w:after="0" w:line="313" w:lineRule="auto"/>
        <w:rPr>
          <w:sz w:val="20"/>
          <w:szCs w:val="20"/>
          <w:color w:val="auto"/>
        </w:rPr>
      </w:pPr>
      <w:r>
        <w:rPr>
          <w:rFonts w:ascii="Arial" w:cs="Arial" w:eastAsia="Arial" w:hAnsi="Arial"/>
          <w:sz w:val="18"/>
          <w:szCs w:val="18"/>
          <w:color w:val="auto"/>
        </w:rPr>
        <w:t>place us at a disadvantage to other companies that offer nucleic acid sequencing equipment or consumables; and limit our ability to borrow additional funds.</w:t>
      </w:r>
    </w:p>
    <w:p>
      <w:pPr>
        <w:ind w:left="5540" w:right="2140" w:hanging="5525"/>
        <w:spacing w:after="0" w:line="246" w:lineRule="auto"/>
        <w:rPr>
          <w:sz w:val="20"/>
          <w:szCs w:val="20"/>
          <w:color w:val="auto"/>
        </w:rPr>
      </w:pPr>
      <w:r>
        <w:rPr>
          <w:rFonts w:ascii="Arial" w:cs="Arial" w:eastAsia="Arial" w:hAnsi="Arial"/>
          <w:sz w:val="18"/>
          <w:szCs w:val="18"/>
          <w:color w:val="auto"/>
        </w:rPr>
        <w:t>Any or all of the foregoing may have a material adverse effect on our business, operations, financial condition, and prospects.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cash flow positive and may not have sufficient cash to fund our long-term planned operations.</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II/IIe Systems. Our existing resources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Additional funds may not be available on terms acceptable to us or at all. We have incurred and may further incur additional debt, including the debt recently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53" w:lineRule="exact"/>
        <w:rPr>
          <w:sz w:val="20"/>
          <w:szCs w:val="20"/>
          <w:color w:val="auto"/>
        </w:rPr>
      </w:pPr>
    </w:p>
    <w:p>
      <w:pPr>
        <w:ind w:right="160" w:firstLine="609"/>
        <w:spacing w:after="0"/>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7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the Sequel System, the SMRT Cell 8M and Sequel II/IIe Systems and related products, our business may be adversely affected.</w:t>
      </w:r>
    </w:p>
    <w:p>
      <w:pPr>
        <w:spacing w:after="0" w:line="148" w:lineRule="exact"/>
        <w:rPr>
          <w:sz w:val="20"/>
          <w:szCs w:val="20"/>
          <w:color w:val="auto"/>
        </w:rPr>
      </w:pPr>
    </w:p>
    <w:p>
      <w:pPr>
        <w:ind w:right="20" w:firstLine="648"/>
        <w:spacing w:after="0" w:line="234" w:lineRule="auto"/>
        <w:rPr>
          <w:sz w:val="20"/>
          <w:szCs w:val="20"/>
          <w:color w:val="auto"/>
        </w:rPr>
      </w:pPr>
      <w:r>
        <w:rPr>
          <w:rFonts w:ascii="Arial" w:cs="Arial" w:eastAsia="Arial" w:hAnsi="Arial"/>
          <w:sz w:val="17"/>
          <w:szCs w:val="17"/>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II/IIe Systems,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System, and may need to develop in the future, other customized SMRT Cells and consumables for our future products, including the SMRT Cell 8M for the Sequel II/IIe Systems. Our production of the SMRT Cells for the Sequel System has been and may in the future be below desired levels and yields, and we have experienced and may experience in the future manufacturing delays, product or quality defects, SMRT Cell variability, and other issues. For example, the COVID–19 pandemic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spacing w:after="0" w:line="181" w:lineRule="exact"/>
        <w:rPr>
          <w:sz w:val="20"/>
          <w:szCs w:val="20"/>
          <w:color w:val="auto"/>
        </w:rPr>
      </w:pPr>
    </w:p>
    <w:p>
      <w:pPr>
        <w:ind w:right="120"/>
        <w:spacing w:after="0" w:line="343" w:lineRule="auto"/>
        <w:rPr>
          <w:sz w:val="20"/>
          <w:szCs w:val="20"/>
          <w:color w:val="auto"/>
        </w:rPr>
      </w:pPr>
      <w:r>
        <w:rPr>
          <w:rFonts w:ascii="Arial" w:cs="Arial" w:eastAsia="Arial" w:hAnsi="Arial"/>
          <w:sz w:val="15"/>
          <w:szCs w:val="15"/>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01"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with respect to the SMRT Cell 8M and the Sequel II/IIe Systems.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In January 2021, we entered into a multi-year collaboration with Invitae Corporation to begin development of a production-scale high-throughput sequencing platform; in certain termination circumstances of this collaboration, we may be obligated to refund all or a portion of the development funds advanced by Invitae and/or we may owe Invitae a share of the revenue generated from the sale of the program products.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72"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SMRT Cell 8M and Sequel II/IIe Systems, we may incur significant costs during these transitions, and they may not result in the benefits we anticipate.</w:t>
      </w:r>
    </w:p>
    <w:p>
      <w:pPr>
        <w:spacing w:after="0" w:line="148"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and also any future products that may be developed for medical and clinical uses, it could have a material adverse effect on our business, financial condition and results of operations. In addition, the introduction of future products, including with respect to the SMRT Cell 8M and Sequel II/IIe Systems,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our business, operations, financial condition, and prospects may be materially and adversely affected.</w:t>
      </w: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significant changes to our leadership team and the resulting management transitions might harm our future operating results.</w:t>
      </w:r>
    </w:p>
    <w:p>
      <w:pPr>
        <w:spacing w:after="0" w:line="75" w:lineRule="exact"/>
        <w:rPr>
          <w:sz w:val="20"/>
          <w:szCs w:val="20"/>
          <w:color w:val="auto"/>
        </w:rPr>
      </w:pPr>
    </w:p>
    <w:p>
      <w:pPr>
        <w:ind w:right="20" w:firstLine="440"/>
        <w:spacing w:after="0" w:line="227" w:lineRule="auto"/>
        <w:rPr>
          <w:sz w:val="20"/>
          <w:szCs w:val="20"/>
          <w:color w:val="auto"/>
        </w:rPr>
      </w:pPr>
      <w:r>
        <w:rPr>
          <w:rFonts w:ascii="Arial" w:cs="Arial" w:eastAsia="Arial" w:hAnsi="Arial"/>
          <w:sz w:val="18"/>
          <w:szCs w:val="18"/>
          <w:color w:val="auto"/>
        </w:rPr>
        <w:t>We have recently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and our Chief Commercial Officer, Peter Fromen, were each appointed effective January 8, 2021. Also, our Vice President and Chief Accounting Officer Eric E. Schaefer was appointed effective May 26, 2020, and our Chairman of the Board Dr. John F. Milligan was appointed effective September 14, 2020.</w:t>
      </w:r>
    </w:p>
    <w:p>
      <w:pPr>
        <w:spacing w:after="0" w:line="40" w:lineRule="exact"/>
        <w:rPr>
          <w:sz w:val="20"/>
          <w:szCs w:val="20"/>
          <w:color w:val="auto"/>
        </w:rPr>
      </w:pPr>
    </w:p>
    <w:p>
      <w:pPr>
        <w:ind w:firstLine="440"/>
        <w:spacing w:after="0" w:line="252" w:lineRule="auto"/>
        <w:rPr>
          <w:sz w:val="20"/>
          <w:szCs w:val="20"/>
          <w:color w:val="auto"/>
        </w:rPr>
      </w:pPr>
      <w:r>
        <w:rPr>
          <w:rFonts w:ascii="Arial" w:cs="Arial" w:eastAsia="Arial" w:hAnsi="Arial"/>
          <w:sz w:val="16"/>
          <w:szCs w:val="16"/>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148"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In addition, we will need to continue to recruit, hire and retain sales personnel to support the commercialization of our products. Our employees could leave our company with little or no prior notice and would be free to work for a competitor. In addition, changes</w:t>
      </w:r>
    </w:p>
    <w:p>
      <w:pPr>
        <w:ind w:right="220"/>
        <w:spacing w:after="0" w:line="236" w:lineRule="auto"/>
        <w:rPr>
          <w:sz w:val="20"/>
          <w:szCs w:val="20"/>
          <w:color w:val="auto"/>
        </w:rPr>
      </w:pPr>
      <w:r>
        <w:rPr>
          <w:rFonts w:ascii="Arial" w:cs="Arial" w:eastAsia="Arial" w:hAnsi="Arial"/>
          <w:sz w:val="17"/>
          <w:szCs w:val="17"/>
          <w:color w:val="auto"/>
        </w:rPr>
        <w:t>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7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75" w:lineRule="exact"/>
        <w:rPr>
          <w:sz w:val="20"/>
          <w:szCs w:val="20"/>
          <w:color w:val="auto"/>
        </w:rPr>
      </w:pPr>
    </w:p>
    <w:p>
      <w:pPr>
        <w:ind w:firstLine="648"/>
        <w:spacing w:after="0" w:line="234"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However, we may be unsuccessful in these efforts 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sale and commercialization of the SMRT Cell 8M and Sequel II/IIe Systems, and related products may not grow sufficiently to cover our costs.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There can be no assurance that we will be successful in adding new products or securing additional customers for our current and future products, including with respect to the SMRT Cell 8M and Sequel II/IIe Systems.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thus cannot guarantee success in acquiring additional customers. Furthermore, we cannot guarantee that our products will be satisfactory to potential customers or that our products will perform in accordance with customer expectations.</w:t>
      </w:r>
    </w:p>
    <w:p>
      <w:pPr>
        <w:spacing w:after="0" w:line="17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6"/>
          <w:szCs w:val="16"/>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II/IIe Systems.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64"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and our business may not succeed.</w:t>
      </w:r>
    </w:p>
    <w:p>
      <w:pPr>
        <w:spacing w:after="0" w:line="17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172"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a global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shortage of semiconductors, which has been reported since early 2021, has caused challenges in our supply chain.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operations, financial condition, and prospects could be materially and adversely harmed.</w:t>
      </w:r>
    </w:p>
    <w:p>
      <w:pPr>
        <w:spacing w:after="0" w:line="16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170" w:lineRule="exact"/>
        <w:rPr>
          <w:sz w:val="20"/>
          <w:szCs w:val="20"/>
          <w:color w:val="auto"/>
        </w:rPr>
      </w:pPr>
    </w:p>
    <w:p>
      <w:pPr>
        <w:ind w:right="60" w:firstLine="648"/>
        <w:spacing w:after="0"/>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177"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we may not be able to increase manufacturing to meet anticipated demand or may experience downtime in our manufacturing facilities.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76"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70"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spacing w:after="0" w:line="17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7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86" w:lineRule="exact"/>
        <w:rPr>
          <w:sz w:val="20"/>
          <w:szCs w:val="20"/>
          <w:color w:val="auto"/>
        </w:rPr>
      </w:pPr>
    </w:p>
    <w:p>
      <w:pPr>
        <w:ind w:right="440" w:firstLine="648"/>
        <w:spacing w:after="0"/>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Thermo,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42" w:lineRule="exact"/>
        <w:rPr>
          <w:sz w:val="20"/>
          <w:szCs w:val="20"/>
          <w:color w:val="auto"/>
        </w:rPr>
      </w:pPr>
    </w:p>
    <w:p>
      <w:pPr>
        <w:ind w:right="80" w:firstLine="648"/>
        <w:spacing w:after="0" w:line="237"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successfully increase sales of our current products or market and sell our future products.</w:t>
      </w:r>
    </w:p>
    <w:p>
      <w:pPr>
        <w:spacing w:after="0" w:line="198"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0"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our ability to attract, retain and manage qualified sales, marketing and service personnel necessary to expand market acceptance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performance and commercial availability expectations of our existing and potential customers with respect to new and existing products;</w:t>
      </w:r>
    </w:p>
    <w:p>
      <w:pPr>
        <w:spacing w:after="0" w:line="86"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availability of potential sales and distribution partners to sell our technologies, and our ability to attract and retain such sales and distribution partners;</w:t>
      </w:r>
    </w:p>
    <w:p>
      <w:pPr>
        <w:spacing w:after="0" w:line="35" w:lineRule="exact"/>
        <w:rPr>
          <w:sz w:val="20"/>
          <w:szCs w:val="20"/>
          <w:color w:val="auto"/>
        </w:rPr>
      </w:pPr>
    </w:p>
    <w:p>
      <w:pPr>
        <w:ind w:left="1100" w:right="340"/>
        <w:spacing w:after="0" w:line="246" w:lineRule="auto"/>
        <w:rPr>
          <w:sz w:val="20"/>
          <w:szCs w:val="20"/>
          <w:color w:val="auto"/>
        </w:rPr>
      </w:pPr>
      <w:r>
        <w:rPr>
          <w:rFonts w:ascii="Arial" w:cs="Arial" w:eastAsia="Arial" w:hAnsi="Arial"/>
          <w:sz w:val="18"/>
          <w:szCs w:val="18"/>
          <w:color w:val="auto"/>
        </w:rPr>
        <w:t>the time and cost of maintaining and growing a specialized sales, marketing and service force for a particular application, which may be difficult to justify in light of the revenue generated; and</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sales, marketing and service force may be unable to execute successful commercial activities.</w:t>
      </w:r>
    </w:p>
    <w:p>
      <w:pPr>
        <w:spacing w:after="0" w:line="198" w:lineRule="exact"/>
        <w:rPr>
          <w:sz w:val="20"/>
          <w:szCs w:val="20"/>
          <w:color w:val="auto"/>
        </w:rPr>
      </w:pPr>
    </w:p>
    <w:p>
      <w:pPr>
        <w:ind w:right="60" w:firstLine="648"/>
        <w:spacing w:after="0" w:line="261" w:lineRule="auto"/>
        <w:rPr>
          <w:sz w:val="20"/>
          <w:szCs w:val="20"/>
          <w:color w:val="auto"/>
        </w:rPr>
      </w:pPr>
      <w:r>
        <w:rPr>
          <w:rFonts w:ascii="Arial" w:cs="Arial" w:eastAsia="Arial" w:hAnsi="Arial"/>
          <w:sz w:val="16"/>
          <w:szCs w:val="16"/>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6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7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7"/>
          <w:szCs w:val="17"/>
          <w:color w:val="auto"/>
        </w:rPr>
        <w:t>We receive a significant portion of our revenue from a limited number of customers. For example, for the fiscal year ended December 31, 2020, 2019 and 2018, one of our customers, Gene Company Limited, accounted for approximately 14%, 17% and 26% of our total revenue, respectively. 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300"/>
        <w:spacing w:after="0" w:line="242" w:lineRule="auto"/>
        <w:rPr>
          <w:sz w:val="20"/>
          <w:szCs w:val="20"/>
          <w:color w:val="auto"/>
        </w:rPr>
      </w:pPr>
      <w:r>
        <w:rPr>
          <w:rFonts w:ascii="Arial" w:cs="Arial" w:eastAsia="Arial" w:hAnsi="Arial"/>
          <w:sz w:val="17"/>
          <w:szCs w:val="17"/>
          <w:color w:val="auto"/>
        </w:rPr>
        <w:t>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175" w:lineRule="exact"/>
        <w:rPr>
          <w:sz w:val="20"/>
          <w:szCs w:val="20"/>
          <w:color w:val="auto"/>
        </w:rPr>
      </w:pPr>
    </w:p>
    <w:p>
      <w:pPr>
        <w:ind w:right="280" w:firstLine="693"/>
        <w:spacing w:after="0" w:line="235" w:lineRule="auto"/>
        <w:rPr>
          <w:sz w:val="20"/>
          <w:szCs w:val="20"/>
          <w:color w:val="auto"/>
        </w:rPr>
      </w:pPr>
      <w:r>
        <w:rPr>
          <w:rFonts w:ascii="Arial" w:cs="Arial" w:eastAsia="Arial" w:hAnsi="Arial"/>
          <w:sz w:val="18"/>
          <w:szCs w:val="18"/>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75"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6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7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85" w:lineRule="exact"/>
        <w:rPr>
          <w:sz w:val="20"/>
          <w:szCs w:val="20"/>
          <w:color w:val="auto"/>
        </w:rPr>
      </w:pPr>
    </w:p>
    <w:p>
      <w:pPr>
        <w:ind w:right="80" w:firstLine="648"/>
        <w:spacing w:after="0" w:line="227" w:lineRule="auto"/>
        <w:rPr>
          <w:sz w:val="20"/>
          <w:szCs w:val="20"/>
          <w:color w:val="auto"/>
        </w:rPr>
      </w:pPr>
      <w:r>
        <w:rPr>
          <w:rFonts w:ascii="Arial" w:cs="Arial" w:eastAsia="Arial" w:hAnsi="Arial"/>
          <w:sz w:val="18"/>
          <w:szCs w:val="18"/>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7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70" w:lineRule="exact"/>
        <w:rPr>
          <w:sz w:val="20"/>
          <w:szCs w:val="20"/>
          <w:color w:val="auto"/>
        </w:rPr>
      </w:pPr>
    </w:p>
    <w:p>
      <w:pPr>
        <w:ind w:right="20" w:firstLine="648"/>
        <w:spacing w:after="0" w:line="234" w:lineRule="auto"/>
        <w:rPr>
          <w:sz w:val="20"/>
          <w:szCs w:val="20"/>
          <w:color w:val="auto"/>
        </w:rPr>
      </w:pPr>
      <w:r>
        <w:rPr>
          <w:rFonts w:ascii="Arial" w:cs="Arial" w:eastAsia="Arial" w:hAnsi="Arial"/>
          <w:sz w:val="17"/>
          <w:szCs w:val="17"/>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convert our orders in backlog into revenue.</w:t>
      </w:r>
    </w:p>
    <w:p>
      <w:pPr>
        <w:spacing w:after="0" w:line="19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7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56"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70"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 and results of operations.</w:t>
      </w:r>
    </w:p>
    <w:p>
      <w:pPr>
        <w:spacing w:after="0" w:line="198"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70" w:lineRule="exact"/>
        <w:rPr>
          <w:sz w:val="20"/>
          <w:szCs w:val="20"/>
          <w:color w:val="auto"/>
        </w:rPr>
      </w:pPr>
    </w:p>
    <w:p>
      <w:pPr>
        <w:ind w:right="40" w:firstLine="648"/>
        <w:spacing w:after="0"/>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70" w:lineRule="exact"/>
        <w:rPr>
          <w:sz w:val="20"/>
          <w:szCs w:val="20"/>
          <w:color w:val="auto"/>
        </w:rPr>
      </w:pPr>
    </w:p>
    <w:p>
      <w:pPr>
        <w:ind w:right="220" w:firstLine="648"/>
        <w:spacing w:after="0" w:line="299" w:lineRule="auto"/>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1"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we or our licensors might not have been the first to make the inventions covered by each of our pending patent applications or issued patents;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licensors might not have been the first to file patent applications for these inventions;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86"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40" w:lineRule="exact"/>
        <w:rPr>
          <w:sz w:val="20"/>
          <w:szCs w:val="20"/>
          <w:color w:val="auto"/>
        </w:rPr>
      </w:pPr>
    </w:p>
    <w:p>
      <w:pPr>
        <w:ind w:left="1100" w:right="80"/>
        <w:spacing w:after="0" w:line="235" w:lineRule="auto"/>
        <w:rPr>
          <w:sz w:val="20"/>
          <w:szCs w:val="20"/>
          <w:color w:val="auto"/>
        </w:rPr>
      </w:pPr>
      <w:r>
        <w:rPr>
          <w:rFonts w:ascii="Arial" w:cs="Arial" w:eastAsia="Arial" w:hAnsi="Arial"/>
          <w:sz w:val="18"/>
          <w:szCs w:val="18"/>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enforcement of patents and proprietary rights in other countries may be problematic or unpredictable;</w:t>
      </w:r>
    </w:p>
    <w:p>
      <w:pPr>
        <w:spacing w:after="0" w:line="63" w:lineRule="exact"/>
        <w:rPr>
          <w:sz w:val="20"/>
          <w:szCs w:val="20"/>
          <w:color w:val="auto"/>
        </w:rPr>
      </w:pPr>
    </w:p>
    <w:p>
      <w:pPr>
        <w:ind w:left="1100" w:right="520"/>
        <w:spacing w:after="0" w:line="246" w:lineRule="auto"/>
        <w:rPr>
          <w:sz w:val="20"/>
          <w:szCs w:val="20"/>
          <w:color w:val="auto"/>
        </w:rPr>
      </w:pPr>
      <w:r>
        <w:rPr>
          <w:rFonts w:ascii="Arial" w:cs="Arial" w:eastAsia="Arial" w:hAnsi="Arial"/>
          <w:sz w:val="18"/>
          <w:szCs w:val="18"/>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partners may not adequately protect our trade secrets;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not develop additional proprietary technologies that are patentable; or</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94" w:lineRule="exact"/>
        <w:rPr>
          <w:sz w:val="20"/>
          <w:szCs w:val="20"/>
          <w:color w:val="auto"/>
        </w:rPr>
      </w:pPr>
    </w:p>
    <w:p>
      <w:pPr>
        <w:ind w:right="280" w:firstLine="324"/>
        <w:spacing w:after="0" w:line="228" w:lineRule="auto"/>
        <w:rPr>
          <w:sz w:val="20"/>
          <w:szCs w:val="20"/>
          <w:color w:val="auto"/>
        </w:rPr>
      </w:pPr>
      <w:r>
        <w:rPr>
          <w:rFonts w:ascii="Arial" w:cs="Arial" w:eastAsia="Arial" w:hAnsi="Arial"/>
          <w:sz w:val="18"/>
          <w:szCs w:val="18"/>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Variability in intellectual property laws may adversely affect our intellectual property position.</w:t>
      </w:r>
    </w:p>
    <w:p>
      <w:pPr>
        <w:spacing w:after="0" w:line="19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6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70" w:lineRule="exact"/>
        <w:rPr>
          <w:sz w:val="20"/>
          <w:szCs w:val="20"/>
          <w:color w:val="auto"/>
        </w:rPr>
      </w:pPr>
    </w:p>
    <w:p>
      <w:pPr>
        <w:ind w:right="80" w:firstLine="648"/>
        <w:spacing w:after="0" w:line="235"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7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23" w:lineRule="exact"/>
        <w:rPr>
          <w:sz w:val="20"/>
          <w:szCs w:val="20"/>
          <w:color w:val="auto"/>
        </w:rPr>
      </w:pPr>
    </w:p>
    <w:p>
      <w:pPr>
        <w:ind w:right="40" w:firstLine="648"/>
        <w:spacing w:after="0" w:line="233"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Our intellectual property may be subject to challenges in the United States or foreign jurisdictions that could adversely affect our intellectual property position.</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ONT Ltd., ONT Inc. and Metrichor, Ltd. (“Metrichor” and, together with ONT Ltd. and ONT Inc., “ONT”) and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in the future could result in determinations that our patents or pending patent applications are unpatentable to us,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technology is subject to “march-in” rights by the U.S. government.</w:t>
      </w:r>
    </w:p>
    <w:p>
      <w:pPr>
        <w:spacing w:after="0" w:line="198"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legal proceedings to enforce our intellectual property rights.</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16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70" w:lineRule="exact"/>
        <w:rPr>
          <w:sz w:val="20"/>
          <w:szCs w:val="20"/>
          <w:color w:val="auto"/>
        </w:rPr>
      </w:pPr>
    </w:p>
    <w:p>
      <w:pPr>
        <w:jc w:val="center"/>
        <w:ind w:right="40"/>
        <w:spacing w:after="0" w:line="228" w:lineRule="auto"/>
        <w:rPr>
          <w:sz w:val="20"/>
          <w:szCs w:val="20"/>
          <w:color w:val="auto"/>
        </w:rPr>
      </w:pPr>
      <w:r>
        <w:rPr>
          <w:rFonts w:ascii="Arial" w:cs="Arial" w:eastAsia="Arial" w:hAnsi="Arial"/>
          <w:sz w:val="18"/>
          <w:szCs w:val="18"/>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84"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even when we hope not.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70" w:lineRule="exact"/>
        <w:rPr>
          <w:sz w:val="20"/>
          <w:szCs w:val="20"/>
          <w:color w:val="auto"/>
        </w:rPr>
      </w:pPr>
    </w:p>
    <w:p>
      <w:pPr>
        <w:ind w:right="400" w:firstLine="648"/>
        <w:spacing w:after="0" w:line="231" w:lineRule="auto"/>
        <w:rPr>
          <w:sz w:val="20"/>
          <w:szCs w:val="20"/>
          <w:color w:val="auto"/>
        </w:rPr>
      </w:pPr>
      <w:r>
        <w:rPr>
          <w:rFonts w:ascii="Arial" w:cs="Arial" w:eastAsia="Arial" w:hAnsi="Arial"/>
          <w:sz w:val="18"/>
          <w:szCs w:val="18"/>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products and subject us to possible litigation.</w:t>
      </w:r>
    </w:p>
    <w:p>
      <w:pPr>
        <w:spacing w:after="0" w:line="198" w:lineRule="exact"/>
        <w:rPr>
          <w:sz w:val="20"/>
          <w:szCs w:val="20"/>
          <w:color w:val="auto"/>
        </w:rPr>
      </w:pPr>
    </w:p>
    <w:p>
      <w:pPr>
        <w:ind w:right="20" w:firstLine="648"/>
        <w:spacing w:after="0" w:line="233"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We are, and may become, subject to governmental regulations that may impose burdens on our operations, and the markets for our products may be narrowed.</w:t>
      </w:r>
    </w:p>
    <w:p>
      <w:pPr>
        <w:spacing w:after="0" w:line="170"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80"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w:t>
      </w:r>
    </w:p>
    <w:p>
      <w:pPr>
        <w:spacing w:after="0" w:line="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diagnostics would adversely impact our commercialization of products on which we have expended significant research and development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in turn have a material adverse impact on our business and prospects.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75"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products are not currently subject to U.S. Food and Drug Administration (“FDA”) clearance or approval since they are not intended or labeled for use in the diagnosis, prevention, or treatment of any disease, and are labeled and promoted as research use only (“RUO”) products. However, in the future, certain of our products or related applications, such as those that may be developed for clinical uses, could be subject to FDA regulation,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74" w:lineRule="exact"/>
        <w:rPr>
          <w:sz w:val="20"/>
          <w:szCs w:val="20"/>
          <w:color w:val="auto"/>
        </w:rPr>
      </w:pPr>
    </w:p>
    <w:p>
      <w:pPr>
        <w:ind w:right="40" w:firstLine="648"/>
        <w:spacing w:after="0" w:line="235"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75"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76"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76" w:lineRule="exact"/>
        <w:rPr>
          <w:sz w:val="20"/>
          <w:szCs w:val="20"/>
          <w:color w:val="auto"/>
        </w:rPr>
      </w:pPr>
    </w:p>
    <w:p>
      <w:pPr>
        <w:ind w:right="20" w:firstLine="648"/>
        <w:spacing w:after="0" w:line="235"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82" w:lineRule="exact"/>
        <w:rPr>
          <w:sz w:val="20"/>
          <w:szCs w:val="20"/>
          <w:color w:val="auto"/>
        </w:rPr>
      </w:pPr>
    </w:p>
    <w:p>
      <w:pPr>
        <w:ind w:right="20" w:firstLine="648"/>
        <w:spacing w:after="0" w:line="233" w:lineRule="auto"/>
        <w:rPr>
          <w:sz w:val="20"/>
          <w:szCs w:val="20"/>
          <w:color w:val="auto"/>
        </w:rPr>
      </w:pPr>
      <w:r>
        <w:rPr>
          <w:rFonts w:ascii="Arial" w:cs="Arial" w:eastAsia="Arial" w:hAnsi="Arial"/>
          <w:sz w:val="17"/>
          <w:szCs w:val="17"/>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75"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77"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221"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firstLine="648"/>
        <w:spacing w:after="0" w:line="231" w:lineRule="auto"/>
        <w:rPr>
          <w:sz w:val="20"/>
          <w:szCs w:val="20"/>
          <w:color w:val="auto"/>
        </w:rPr>
      </w:pPr>
      <w:r>
        <w:rPr>
          <w:rFonts w:ascii="Arial" w:cs="Arial" w:eastAsia="Arial" w:hAnsi="Arial"/>
          <w:sz w:val="18"/>
          <w:szCs w:val="18"/>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 most notably China.</w:t>
      </w:r>
    </w:p>
    <w:p>
      <w:pPr>
        <w:spacing w:after="0" w:line="5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If we commercialize any of our products outside of the United States, our international business could expose us to business, regulatory, political, operational, financial, and economic risks associated with doing business outside of the United States.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44" w:lineRule="exact"/>
        <w:rPr>
          <w:sz w:val="20"/>
          <w:szCs w:val="20"/>
          <w:color w:val="auto"/>
        </w:rPr>
      </w:pPr>
    </w:p>
    <w:p>
      <w:pPr>
        <w:ind w:left="980"/>
        <w:spacing w:after="0" w:line="222" w:lineRule="auto"/>
        <w:rPr>
          <w:sz w:val="20"/>
          <w:szCs w:val="20"/>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4" w:lineRule="exact"/>
        <w:rPr>
          <w:sz w:val="20"/>
          <w:szCs w:val="20"/>
          <w:color w:val="auto"/>
        </w:rPr>
      </w:pPr>
    </w:p>
    <w:p>
      <w:pPr>
        <w:ind w:left="980" w:right="60"/>
        <w:spacing w:after="0" w:line="219" w:lineRule="auto"/>
        <w:rPr>
          <w:sz w:val="20"/>
          <w:szCs w:val="20"/>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ind w:left="980"/>
        <w:spacing w:after="0" w:line="219" w:lineRule="auto"/>
        <w:rPr>
          <w:sz w:val="20"/>
          <w:szCs w:val="20"/>
          <w:color w:val="auto"/>
        </w:rPr>
      </w:pPr>
      <w:r>
        <w:rPr>
          <w:rFonts w:ascii="Arial" w:cs="Arial" w:eastAsia="Arial" w:hAnsi="Arial"/>
          <w:sz w:val="18"/>
          <w:szCs w:val="18"/>
          <w:color w:val="auto"/>
        </w:rPr>
        <w:t>export requirements and import or trade restrictions;</w:t>
      </w:r>
    </w:p>
    <w:p>
      <w:pPr>
        <w:ind w:left="980"/>
        <w:spacing w:after="0" w:line="219" w:lineRule="auto"/>
        <w:rPr>
          <w:sz w:val="20"/>
          <w:szCs w:val="20"/>
          <w:color w:val="auto"/>
        </w:rPr>
      </w:pPr>
      <w:r>
        <w:rPr>
          <w:rFonts w:ascii="Arial" w:cs="Arial" w:eastAsia="Arial" w:hAnsi="Arial"/>
          <w:sz w:val="18"/>
          <w:szCs w:val="18"/>
          <w:color w:val="auto"/>
        </w:rPr>
        <w:t>laws and business practices favoring local companies;</w:t>
      </w:r>
    </w:p>
    <w:p>
      <w:pPr>
        <w:spacing w:after="0" w:line="1" w:lineRule="exact"/>
        <w:rPr>
          <w:sz w:val="20"/>
          <w:szCs w:val="20"/>
          <w:color w:val="auto"/>
        </w:rPr>
      </w:pPr>
    </w:p>
    <w:p>
      <w:pPr>
        <w:ind w:left="980" w:right="60"/>
        <w:spacing w:after="0" w:line="219" w:lineRule="auto"/>
        <w:rPr>
          <w:sz w:val="20"/>
          <w:szCs w:val="20"/>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jc w:val="both"/>
        <w:ind w:left="980"/>
        <w:spacing w:after="0" w:line="232" w:lineRule="auto"/>
        <w:rPr>
          <w:sz w:val="20"/>
          <w:szCs w:val="20"/>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ind w:left="980" w:right="2000"/>
        <w:spacing w:after="0" w:line="219" w:lineRule="auto"/>
        <w:rPr>
          <w:sz w:val="20"/>
          <w:szCs w:val="20"/>
          <w:color w:val="auto"/>
        </w:rPr>
      </w:pPr>
      <w:r>
        <w:rPr>
          <w:rFonts w:ascii="Arial" w:cs="Arial" w:eastAsia="Arial" w:hAnsi="Arial"/>
          <w:sz w:val="18"/>
          <w:szCs w:val="18"/>
          <w:color w:val="auto"/>
        </w:rPr>
        <w:t>potentially adverse tax consequences, tariffs, customs charges, bureaucratic requirements, and other trade barriers; difficulties and costs of staffing and managing foreign operations; and</w:t>
      </w:r>
    </w:p>
    <w:p>
      <w:pPr>
        <w:ind w:left="980"/>
        <w:spacing w:after="0"/>
        <w:rPr>
          <w:sz w:val="20"/>
          <w:szCs w:val="20"/>
          <w:color w:val="auto"/>
        </w:rPr>
      </w:pPr>
      <w:r>
        <w:rPr>
          <w:rFonts w:ascii="Arial" w:cs="Arial" w:eastAsia="Arial" w:hAnsi="Arial"/>
          <w:sz w:val="18"/>
          <w:szCs w:val="18"/>
          <w:color w:val="auto"/>
        </w:rPr>
        <w:t>difficulties protecting, maintaining, enforcing or procuring intellectual property rights.</w:t>
      </w:r>
    </w:p>
    <w:p>
      <w:pPr>
        <w:spacing w:after="0" w:line="317" w:lineRule="exact"/>
        <w:rPr>
          <w:sz w:val="20"/>
          <w:szCs w:val="20"/>
          <w:color w:val="auto"/>
        </w:rPr>
      </w:pPr>
    </w:p>
    <w:p>
      <w:pPr>
        <w:ind w:right="420" w:firstLine="324"/>
        <w:spacing w:after="0" w:line="246"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7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70"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Ethical, legal, privacy, data protection and social concerns or governmental restrictions surrounding the use of genetic information could reduce demand for our technology.</w:t>
      </w:r>
    </w:p>
    <w:p>
      <w:pPr>
        <w:spacing w:after="0" w:line="170"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and of which could have a material adverse effect on our business, financial condition and results of operations.</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price of our common stock has been, is, and may continue to be, highly volatile, and you may be unable to sell your shares at or above the price you paid to acquire them.</w:t>
      </w:r>
    </w:p>
    <w:p>
      <w:pPr>
        <w:spacing w:after="0" w:line="17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fluctuations in our financial condition and operating results;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announcements of new products, technological innovations or strategic partnerships by us or our competitors;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overall conditions in our industry and market;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 or loss of significant customers;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laws or regulations applicable to our products;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63" w:lineRule="exact"/>
        <w:rPr>
          <w:sz w:val="20"/>
          <w:szCs w:val="20"/>
          <w:color w:val="auto"/>
        </w:rPr>
      </w:pPr>
    </w:p>
    <w:p>
      <w:pPr>
        <w:ind w:left="1100" w:right="800"/>
        <w:spacing w:after="0" w:line="246" w:lineRule="auto"/>
        <w:rPr>
          <w:sz w:val="20"/>
          <w:szCs w:val="20"/>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additions or departures of key personnel;</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competition from existing products or new products that may emerge;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issuance of new or updated research or reports by securities analysts;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sz w:val="20"/>
          <w:szCs w:val="20"/>
          <w:color w:val="auto"/>
        </w:rPr>
      </w:pPr>
    </w:p>
    <w:p>
      <w:pPr>
        <w:ind w:left="1100" w:right="60"/>
        <w:spacing w:after="0" w:line="228" w:lineRule="auto"/>
        <w:rPr>
          <w:sz w:val="20"/>
          <w:szCs w:val="20"/>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sales of our common stock by us or our stockholders;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stock price and volume fluctuations attributable to inconsistent trading volume levels of our shares;</w:t>
      </w:r>
    </w:p>
    <w:p>
      <w:pPr>
        <w:spacing w:after="0" w:line="63" w:lineRule="exact"/>
        <w:rPr>
          <w:sz w:val="20"/>
          <w:szCs w:val="20"/>
          <w:color w:val="auto"/>
        </w:rPr>
      </w:pPr>
    </w:p>
    <w:p>
      <w:pPr>
        <w:ind w:left="1100" w:right="4460"/>
        <w:spacing w:after="0" w:line="299" w:lineRule="auto"/>
        <w:rPr>
          <w:sz w:val="20"/>
          <w:szCs w:val="20"/>
          <w:color w:val="auto"/>
        </w:rPr>
      </w:pPr>
      <w:r>
        <w:rPr>
          <w:rFonts w:ascii="Arial" w:cs="Arial" w:eastAsia="Arial" w:hAnsi="Arial"/>
          <w:sz w:val="16"/>
          <w:szCs w:val="16"/>
          <w:color w:val="auto"/>
        </w:rPr>
        <w:t>reports, guidance and ratings issued by securities or industry analysts; operating results below the expectations of securities analysts or investors; and</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economic and market conditions, which could be impacted by various events including COVID-19.</w:t>
      </w:r>
    </w:p>
    <w:p>
      <w:pPr>
        <w:spacing w:after="0" w:line="171"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6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ind w:right="440" w:firstLine="648"/>
        <w:spacing w:after="0" w:line="274" w:lineRule="auto"/>
        <w:rPr>
          <w:sz w:val="20"/>
          <w:szCs w:val="20"/>
          <w:color w:val="auto"/>
        </w:rPr>
      </w:pPr>
      <w:r>
        <w:rPr>
          <w:rFonts w:ascii="Arial" w:cs="Arial" w:eastAsia="Arial" w:hAnsi="Arial"/>
          <w:sz w:val="17"/>
          <w:szCs w:val="17"/>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3" w:lineRule="exact"/>
        <w:rPr>
          <w:sz w:val="20"/>
          <w:szCs w:val="20"/>
          <w:color w:val="auto"/>
        </w:rPr>
      </w:pPr>
    </w:p>
    <w:p>
      <w:pPr>
        <w:ind w:left="1100" w:right="60"/>
        <w:spacing w:after="0" w:line="228" w:lineRule="auto"/>
        <w:rPr>
          <w:sz w:val="20"/>
          <w:szCs w:val="20"/>
          <w:color w:val="auto"/>
        </w:rPr>
      </w:pPr>
      <w:r>
        <w:rPr>
          <w:rFonts w:ascii="Arial" w:cs="Arial" w:eastAsia="Arial" w:hAnsi="Arial"/>
          <w:sz w:val="18"/>
          <w:szCs w:val="18"/>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86" w:lineRule="exact"/>
        <w:rPr>
          <w:sz w:val="20"/>
          <w:szCs w:val="20"/>
          <w:color w:val="auto"/>
        </w:rPr>
      </w:pPr>
    </w:p>
    <w:p>
      <w:pPr>
        <w:ind w:left="1100" w:right="680"/>
        <w:spacing w:after="0" w:line="246"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35" w:lineRule="exact"/>
        <w:rPr>
          <w:sz w:val="20"/>
          <w:szCs w:val="20"/>
          <w:color w:val="auto"/>
        </w:rPr>
      </w:pPr>
    </w:p>
    <w:p>
      <w:pPr>
        <w:ind w:left="1100" w:right="440"/>
        <w:spacing w:after="0" w:line="246"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sz w:val="20"/>
          <w:szCs w:val="20"/>
          <w:color w:val="auto"/>
        </w:rPr>
      </w:pPr>
    </w:p>
    <w:p>
      <w:pPr>
        <w:ind w:left="1100" w:right="360"/>
        <w:spacing w:after="0" w:line="313" w:lineRule="auto"/>
        <w:rPr>
          <w:sz w:val="20"/>
          <w:szCs w:val="20"/>
          <w:color w:val="auto"/>
        </w:rPr>
      </w:pPr>
      <w:r>
        <w:rPr>
          <w:rFonts w:ascii="Arial" w:cs="Arial" w:eastAsia="Arial" w:hAnsi="Arial"/>
          <w:sz w:val="18"/>
          <w:szCs w:val="18"/>
          <w:color w:val="auto"/>
        </w:rPr>
        <w:t>establish that our board of directors is divided into three classes, Class I, Class II and Class III, with each class serving staggered terms; provide that our directors may be removed only for cause; and</w:t>
      </w:r>
    </w:p>
    <w:p>
      <w:pPr>
        <w:ind w:left="110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 (iv) any action to interpret, apply, enforce or determine the validity of our amended and restated certificate of 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 number of authorized but unissued shares of common stock may potentially dilute existing stockholders’ stockholdings.</w:t>
      </w:r>
    </w:p>
    <w:p>
      <w:pPr>
        <w:spacing w:after="0" w:line="19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98"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202" w:lineRule="exact"/>
        <w:rPr>
          <w:sz w:val="20"/>
          <w:szCs w:val="20"/>
          <w:color w:val="auto"/>
        </w:rPr>
      </w:pPr>
    </w:p>
    <w:p>
      <w:pPr>
        <w:ind w:right="460"/>
        <w:spacing w:after="0" w:line="307" w:lineRule="auto"/>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23" w:lineRule="exact"/>
        <w:rPr>
          <w:sz w:val="20"/>
          <w:szCs w:val="20"/>
          <w:color w:val="auto"/>
        </w:rPr>
      </w:pPr>
    </w:p>
    <w:p>
      <w:pPr>
        <w:ind w:right="60" w:firstLine="648"/>
        <w:spacing w:after="0" w:line="234" w:lineRule="auto"/>
        <w:rPr>
          <w:sz w:val="20"/>
          <w:szCs w:val="20"/>
          <w:color w:val="auto"/>
        </w:rPr>
      </w:pPr>
      <w:r>
        <w:rPr>
          <w:rFonts w:ascii="Arial" w:cs="Arial" w:eastAsia="Arial" w:hAnsi="Arial"/>
          <w:sz w:val="17"/>
          <w:szCs w:val="17"/>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23"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Notes are converted, it may adversely affect our financial condition and operating results.</w:t>
      </w:r>
    </w:p>
    <w:p>
      <w:pPr>
        <w:spacing w:after="0" w:line="198" w:lineRule="exact"/>
        <w:rPr>
          <w:sz w:val="20"/>
          <w:szCs w:val="20"/>
          <w:color w:val="auto"/>
        </w:rPr>
      </w:pPr>
    </w:p>
    <w:p>
      <w:pPr>
        <w:ind w:right="220" w:firstLine="648"/>
        <w:spacing w:after="0" w:line="253"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the COVID-19 pandemic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our products could be delayed or disrupted by factors beyond our control, and we could lose customers as a result.</w:t>
      </w:r>
    </w:p>
    <w:p>
      <w:pPr>
        <w:spacing w:after="0" w:line="198"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Doing business internationally creates operational and financial risks for our business.</w:t>
      </w:r>
    </w:p>
    <w:p>
      <w:pPr>
        <w:spacing w:after="0" w:line="198" w:lineRule="exact"/>
        <w:rPr>
          <w:sz w:val="20"/>
          <w:szCs w:val="20"/>
          <w:color w:val="auto"/>
        </w:rPr>
      </w:pPr>
    </w:p>
    <w:p>
      <w:pPr>
        <w:ind w:right="100" w:firstLine="648"/>
        <w:spacing w:after="0" w:line="221" w:lineRule="auto"/>
        <w:rPr>
          <w:sz w:val="20"/>
          <w:szCs w:val="20"/>
          <w:color w:val="auto"/>
        </w:rPr>
      </w:pPr>
      <w:r>
        <w:rPr>
          <w:rFonts w:ascii="Arial" w:cs="Arial" w:eastAsia="Arial" w:hAnsi="Arial"/>
          <w:sz w:val="18"/>
          <w:szCs w:val="18"/>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foreign jurisdictions may also subject us to significant liabilities and other penalties. International operations entail a variety of other risks, including, without limitation:</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limits to travel as a result of the COVID-19 pandemic;</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challenges in staffing and managing foreign operations;</w:t>
      </w:r>
    </w:p>
    <w:p>
      <w:pPr>
        <w:spacing w:after="0" w:line="6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potentially longer sales cycles and more time required to engage and educate customers on the benefits of our platform outside of the United States;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need for localized software and documentation;</w:t>
      </w:r>
    </w:p>
    <w:p>
      <w:pPr>
        <w:spacing w:after="0" w:line="63" w:lineRule="exact"/>
        <w:rPr>
          <w:sz w:val="20"/>
          <w:szCs w:val="20"/>
          <w:color w:val="auto"/>
        </w:rPr>
      </w:pPr>
    </w:p>
    <w:p>
      <w:pPr>
        <w:ind w:left="1100" w:right="120"/>
        <w:spacing w:after="0" w:line="246" w:lineRule="auto"/>
        <w:rPr>
          <w:sz w:val="20"/>
          <w:szCs w:val="20"/>
          <w:color w:val="auto"/>
        </w:rPr>
      </w:pPr>
      <w:r>
        <w:rPr>
          <w:rFonts w:ascii="Arial" w:cs="Arial" w:eastAsia="Arial" w:hAnsi="Arial"/>
          <w:sz w:val="18"/>
          <w:szCs w:val="18"/>
          <w:color w:val="auto"/>
        </w:rPr>
        <w:t>reduced protection for intellectual property rights in some countries and practical difficulties of enforcing intellectual property and contract rights abroad;</w:t>
      </w:r>
    </w:p>
    <w:p>
      <w:pPr>
        <w:spacing w:after="0" w:line="35" w:lineRule="exact"/>
        <w:rPr>
          <w:sz w:val="20"/>
          <w:szCs w:val="20"/>
          <w:color w:val="auto"/>
        </w:rPr>
      </w:pPr>
    </w:p>
    <w:p>
      <w:pPr>
        <w:ind w:left="1100" w:right="740"/>
        <w:spacing w:after="0" w:line="246" w:lineRule="auto"/>
        <w:rPr>
          <w:sz w:val="20"/>
          <w:szCs w:val="20"/>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35" w:lineRule="exact"/>
        <w:rPr>
          <w:sz w:val="20"/>
          <w:szCs w:val="20"/>
          <w:color w:val="auto"/>
        </w:rPr>
      </w:pPr>
    </w:p>
    <w:p>
      <w:pPr>
        <w:ind w:left="1100" w:right="780"/>
        <w:spacing w:after="0" w:line="299" w:lineRule="auto"/>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1"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changes in diplomatic and trade relationships, including new tariffs, trade protection measures, import or export licensing requirements, trade embargoes and other trade barriers;</w:t>
      </w:r>
    </w:p>
    <w:p>
      <w:pPr>
        <w:spacing w:after="0" w:line="35" w:lineRule="exact"/>
        <w:rPr>
          <w:sz w:val="20"/>
          <w:szCs w:val="20"/>
          <w:color w:val="auto"/>
        </w:rPr>
      </w:pPr>
    </w:p>
    <w:p>
      <w:pPr>
        <w:ind w:left="1100" w:right="100"/>
        <w:spacing w:after="0" w:line="231" w:lineRule="auto"/>
        <w:rPr>
          <w:sz w:val="20"/>
          <w:szCs w:val="20"/>
          <w:color w:val="auto"/>
        </w:rPr>
      </w:pPr>
      <w:r>
        <w:rPr>
          <w:rFonts w:ascii="Arial" w:cs="Arial" w:eastAsia="Arial" w:hAnsi="Arial"/>
          <w:sz w:val="18"/>
          <w:szCs w:val="18"/>
          <w:color w:val="auto"/>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spacing w:after="0" w:line="40" w:lineRule="exact"/>
        <w:rPr>
          <w:sz w:val="20"/>
          <w:szCs w:val="20"/>
          <w:color w:val="auto"/>
        </w:rPr>
      </w:pPr>
    </w:p>
    <w:p>
      <w:pPr>
        <w:ind w:left="1100" w:right="400"/>
        <w:spacing w:after="0" w:line="246" w:lineRule="auto"/>
        <w:rPr>
          <w:sz w:val="20"/>
          <w:szCs w:val="20"/>
          <w:color w:val="auto"/>
        </w:rPr>
      </w:pPr>
      <w:r>
        <w:rPr>
          <w:rFonts w:ascii="Arial" w:cs="Arial" w:eastAsia="Arial" w:hAnsi="Arial"/>
          <w:sz w:val="18"/>
          <w:szCs w:val="18"/>
          <w:color w:val="auto"/>
        </w:rPr>
        <w:t>deterioration of political relations between the U.S. and China, Canada, the United Kingdom (“U.K.”) and the European Union (“EU”), which could have a material adverse effect on our sales and operations in these countries;</w:t>
      </w:r>
    </w:p>
    <w:p>
      <w:pPr>
        <w:spacing w:after="0" w:line="35" w:lineRule="exact"/>
        <w:rPr>
          <w:sz w:val="20"/>
          <w:szCs w:val="20"/>
          <w:color w:val="auto"/>
        </w:rPr>
      </w:pPr>
    </w:p>
    <w:p>
      <w:pPr>
        <w:ind w:left="1100" w:right="120"/>
        <w:spacing w:after="0" w:line="235" w:lineRule="auto"/>
        <w:rPr>
          <w:sz w:val="20"/>
          <w:szCs w:val="20"/>
          <w:color w:val="auto"/>
        </w:rPr>
      </w:pPr>
      <w:r>
        <w:rPr>
          <w:rFonts w:ascii="Arial" w:cs="Arial" w:eastAsia="Arial" w:hAnsi="Arial"/>
          <w:sz w:val="18"/>
          <w:szCs w:val="18"/>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40" w:lineRule="exact"/>
        <w:rPr>
          <w:sz w:val="20"/>
          <w:szCs w:val="20"/>
          <w:color w:val="auto"/>
        </w:rPr>
      </w:pPr>
    </w:p>
    <w:p>
      <w:pPr>
        <w:ind w:left="1100" w:right="1440"/>
        <w:spacing w:after="0" w:line="313" w:lineRule="auto"/>
        <w:rPr>
          <w:sz w:val="20"/>
          <w:szCs w:val="20"/>
          <w:color w:val="auto"/>
        </w:rPr>
      </w:pPr>
      <w:r>
        <w:rPr>
          <w:rFonts w:ascii="Arial" w:cs="Arial" w:eastAsia="Arial" w:hAnsi="Arial"/>
          <w:sz w:val="18"/>
          <w:szCs w:val="18"/>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ind w:left="1100"/>
        <w:spacing w:after="0"/>
        <w:rPr>
          <w:sz w:val="20"/>
          <w:szCs w:val="20"/>
          <w:color w:val="auto"/>
        </w:rPr>
      </w:pPr>
      <w:r>
        <w:rPr>
          <w:rFonts w:ascii="Arial" w:cs="Arial" w:eastAsia="Arial" w:hAnsi="Arial"/>
          <w:sz w:val="18"/>
          <w:szCs w:val="18"/>
          <w:color w:val="auto"/>
        </w:rPr>
        <w:t>disruptions to global trade due to disease outbreaks;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increases on tariffs or restrictions on trade generally; and</w:t>
      </w:r>
    </w:p>
    <w:p>
      <w:pPr>
        <w:spacing w:after="0" w:line="63" w:lineRule="exact"/>
        <w:rPr>
          <w:sz w:val="20"/>
          <w:szCs w:val="20"/>
          <w:color w:val="auto"/>
        </w:rPr>
      </w:pPr>
    </w:p>
    <w:p>
      <w:pPr>
        <w:ind w:left="1100" w:right="340"/>
        <w:spacing w:after="0" w:line="274" w:lineRule="auto"/>
        <w:rPr>
          <w:sz w:val="20"/>
          <w:szCs w:val="20"/>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121"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76" w:lineRule="exact"/>
        <w:rPr>
          <w:sz w:val="20"/>
          <w:szCs w:val="20"/>
          <w:color w:val="auto"/>
        </w:rPr>
      </w:pPr>
    </w:p>
    <w:p>
      <w:pPr>
        <w:ind w:right="40" w:firstLine="648"/>
        <w:spacing w:after="0" w:line="223" w:lineRule="auto"/>
        <w:rPr>
          <w:sz w:val="20"/>
          <w:szCs w:val="20"/>
          <w:color w:val="auto"/>
        </w:rPr>
      </w:pPr>
      <w:r>
        <w:rPr>
          <w:rFonts w:ascii="Arial" w:cs="Arial" w:eastAsia="Arial" w:hAnsi="Arial"/>
          <w:sz w:val="18"/>
          <w:szCs w:val="18"/>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ability to manage normal commercial relationships with our customers, suppliers and creditors, including financial institutions. If the current global economic environment deteriorates, our business could be negatively affected.</w:t>
      </w:r>
    </w:p>
    <w:p>
      <w:pPr>
        <w:spacing w:after="0" w:line="170"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65" w:lineRule="exact"/>
        <w:rPr>
          <w:sz w:val="20"/>
          <w:szCs w:val="20"/>
          <w:color w:val="auto"/>
        </w:rPr>
      </w:pPr>
    </w:p>
    <w:p>
      <w:pPr>
        <w:ind w:right="120" w:firstLine="648"/>
        <w:spacing w:after="0" w:line="242"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70"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78"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77"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changes in the United States political environment.</w:t>
      </w:r>
    </w:p>
    <w:p>
      <w:pPr>
        <w:spacing w:after="0" w:line="198" w:lineRule="exact"/>
        <w:rPr>
          <w:sz w:val="20"/>
          <w:szCs w:val="20"/>
          <w:color w:val="auto"/>
        </w:rPr>
      </w:pPr>
    </w:p>
    <w:p>
      <w:pPr>
        <w:ind w:firstLine="648"/>
        <w:spacing w:after="0" w:line="234"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such as during this presidential election year.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Disruption of critical information technology systems or material breaches in the security of our systems could harm our business, customer relations and financial condition.</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77" w:lineRule="exact"/>
        <w:rPr>
          <w:sz w:val="20"/>
          <w:szCs w:val="20"/>
          <w:color w:val="auto"/>
        </w:rPr>
      </w:pPr>
    </w:p>
    <w:p>
      <w:pPr>
        <w:ind w:right="60" w:firstLine="648"/>
        <w:spacing w:after="0" w:line="258"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6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367" w:lineRule="exact"/>
        <w:rPr>
          <w:sz w:val="20"/>
          <w:szCs w:val="20"/>
          <w:color w:val="auto"/>
        </w:rPr>
      </w:pPr>
    </w:p>
    <w:p>
      <w:pPr>
        <w:ind w:right="120" w:firstLine="648"/>
        <w:spacing w:after="0" w:line="228" w:lineRule="auto"/>
        <w:rPr>
          <w:sz w:val="20"/>
          <w:szCs w:val="20"/>
          <w:color w:val="auto"/>
        </w:rPr>
      </w:pPr>
      <w:r>
        <w:rPr>
          <w:rFonts w:ascii="Arial" w:cs="Arial" w:eastAsia="Arial" w:hAnsi="Arial"/>
          <w:sz w:val="18"/>
          <w:szCs w:val="18"/>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0" w:lineRule="exact"/>
        <w:rPr>
          <w:sz w:val="20"/>
          <w:szCs w:val="20"/>
          <w:color w:val="auto"/>
        </w:rPr>
      </w:pPr>
    </w:p>
    <w:p>
      <w:pPr>
        <w:ind w:right="60" w:firstLine="324"/>
        <w:spacing w:after="0" w:line="235"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expands the CCPA, including by introducing additional obligations such as data minimization and storage limitations and granting additional rights to consumers, among others.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28" w:lineRule="exact"/>
        <w:rPr>
          <w:sz w:val="20"/>
          <w:szCs w:val="20"/>
          <w:color w:val="auto"/>
        </w:rPr>
      </w:pPr>
    </w:p>
    <w:p>
      <w:pPr>
        <w:ind w:firstLine="324"/>
        <w:spacing w:after="0" w:line="235"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85"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Table of Contents</w:t>
              </w:r>
            </w:hyperlink>
          </w:p>
        </w:tc>
        <w:tc>
          <w:tcPr>
            <w:tcW w:w="630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760" w:type="dxa"/>
            <w:vAlign w:val="bottom"/>
            <w:gridSpan w:val="27"/>
          </w:tcPr>
          <w:p>
            <w:pPr>
              <w:ind w:left="140"/>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80" w:type="dxa"/>
            <w:vAlign w:val="bottom"/>
            <w:gridSpan w:val="2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20"/>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20" w:type="dxa"/>
            <w:vAlign w:val="bottom"/>
            <w:gridSpan w:val="23"/>
            <w:shd w:val="clear" w:color="auto" w:fill="CCEEFF"/>
          </w:tcPr>
          <w:p>
            <w:pPr>
              <w:spacing w:after="0" w:line="162"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Indenture, dated February 16, 2021, between Pacific Biosciences of California, Inc.</w:t>
              </w:r>
            </w:hyperlink>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February 17,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6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and U.S. Bank National Association, as Trustee</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vMerge w:val="continue"/>
            <w:shd w:val="clear" w:color="auto" w:fill="CCEEFF"/>
          </w:tcPr>
          <w:p>
            <w:pPr>
              <w:spacing w:after="0"/>
              <w:rPr>
                <w:sz w:val="14"/>
                <w:szCs w:val="14"/>
                <w:color w:val="auto"/>
              </w:rPr>
            </w:pPr>
          </w:p>
        </w:tc>
        <w:tc>
          <w:tcPr>
            <w:tcW w:w="1120" w:type="dxa"/>
            <w:vAlign w:val="bottom"/>
            <w:tcBorders>
              <w:top w:val="single" w:sz="8" w:color="CCEEFF"/>
            </w:tcBorders>
            <w:vMerge w:val="continue"/>
            <w:shd w:val="clear" w:color="auto" w:fill="CCEEFF"/>
          </w:tcPr>
          <w:p>
            <w:pPr>
              <w:spacing w:after="0"/>
              <w:rPr>
                <w:sz w:val="14"/>
                <w:szCs w:val="14"/>
                <w:color w:val="auto"/>
              </w:rPr>
            </w:pPr>
          </w:p>
        </w:tc>
        <w:tc>
          <w:tcPr>
            <w:tcW w:w="184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4.2</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20" w:type="dxa"/>
            <w:vAlign w:val="bottom"/>
            <w:tcBorders>
              <w:bottom w:val="single" w:sz="8" w:color="0000FF"/>
            </w:tcBorders>
            <w:gridSpan w:val="11"/>
          </w:tcPr>
          <w:p>
            <w:pPr>
              <w:spacing w:after="0" w:line="162"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Form of 1.50% Convertible Senior Notes due 2028 (included in Exhibit 4.1)</w:t>
              </w:r>
            </w:hyperlink>
          </w:p>
        </w:tc>
        <w:tc>
          <w:tcPr>
            <w:tcW w:w="700" w:type="dxa"/>
            <w:vAlign w:val="bottom"/>
            <w:gridSpan w:val="12"/>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line="162" w:lineRule="exact"/>
              <w:rPr>
                <w:sz w:val="20"/>
                <w:szCs w:val="20"/>
                <w:color w:val="auto"/>
              </w:rPr>
            </w:pPr>
            <w:r>
              <w:rPr>
                <w:rFonts w:ascii="Arial" w:cs="Arial" w:eastAsia="Arial" w:hAnsi="Arial"/>
                <w:sz w:val="18"/>
                <w:szCs w:val="18"/>
                <w:color w:val="auto"/>
                <w:w w:val="87"/>
              </w:rPr>
              <w:t>4.1</w:t>
            </w:r>
          </w:p>
        </w:tc>
        <w:tc>
          <w:tcPr>
            <w:tcW w:w="1840" w:type="dxa"/>
            <w:vAlign w:val="bottom"/>
          </w:tcPr>
          <w:p>
            <w:pPr>
              <w:jc w:val="center"/>
              <w:spacing w:after="0" w:line="162" w:lineRule="exact"/>
              <w:rPr>
                <w:sz w:val="20"/>
                <w:szCs w:val="20"/>
                <w:color w:val="auto"/>
              </w:rPr>
            </w:pPr>
            <w:r>
              <w:rPr>
                <w:rFonts w:ascii="Arial" w:cs="Arial" w:eastAsia="Arial" w:hAnsi="Arial"/>
                <w:sz w:val="18"/>
                <w:szCs w:val="18"/>
                <w:color w:val="auto"/>
                <w:w w:val="91"/>
              </w:rPr>
              <w:t>February 17, 2021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20" w:type="dxa"/>
            <w:vAlign w:val="bottom"/>
            <w:gridSpan w:val="23"/>
            <w:shd w:val="clear" w:color="auto" w:fill="CCEEFF"/>
          </w:tcPr>
          <w:p>
            <w:pPr>
              <w:spacing w:after="0" w:line="162"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Investment Agreement, dated as of February 9, 2021, between Pacific Biosciences of</w:t>
              </w:r>
            </w:hyperlink>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February 10,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18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rPr>
            </w:pPr>
            <w:hyperlink r:id="rId81">
              <w:r>
                <w:rPr>
                  <w:rFonts w:ascii="Arial" w:cs="Arial" w:eastAsia="Arial" w:hAnsi="Arial"/>
                  <w:sz w:val="18"/>
                  <w:szCs w:val="18"/>
                  <w:color w:val="0000FF"/>
                </w:rPr>
                <w:t>California, Inc. and SB Northstar LP</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vMerge w:val="continue"/>
            <w:shd w:val="clear" w:color="auto" w:fill="CCEEFF"/>
          </w:tcPr>
          <w:p>
            <w:pPr>
              <w:spacing w:after="0"/>
              <w:rPr>
                <w:sz w:val="14"/>
                <w:szCs w:val="14"/>
                <w:color w:val="auto"/>
              </w:rPr>
            </w:pPr>
          </w:p>
        </w:tc>
        <w:tc>
          <w:tcPr>
            <w:tcW w:w="1120" w:type="dxa"/>
            <w:vAlign w:val="bottom"/>
            <w:tcBorders>
              <w:top w:val="single" w:sz="8" w:color="CCEEFF"/>
            </w:tcBorders>
            <w:vMerge w:val="continue"/>
            <w:shd w:val="clear" w:color="auto" w:fill="CCEEFF"/>
          </w:tcPr>
          <w:p>
            <w:pPr>
              <w:spacing w:after="0"/>
              <w:rPr>
                <w:sz w:val="14"/>
                <w:szCs w:val="14"/>
                <w:color w:val="auto"/>
              </w:rPr>
            </w:pPr>
          </w:p>
        </w:tc>
        <w:tc>
          <w:tcPr>
            <w:tcW w:w="184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10.2+</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80" w:type="dxa"/>
            <w:vAlign w:val="bottom"/>
            <w:tcBorders>
              <w:bottom w:val="single" w:sz="8" w:color="0000FF"/>
            </w:tcBorders>
            <w:gridSpan w:val="9"/>
          </w:tcPr>
          <w:p>
            <w:pPr>
              <w:spacing w:after="0" w:line="162"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Form of Change in Control and Severance Agreement for executive officers</w:t>
              </w:r>
            </w:hyperlink>
          </w:p>
        </w:tc>
        <w:tc>
          <w:tcPr>
            <w:tcW w:w="740" w:type="dxa"/>
            <w:vAlign w:val="bottom"/>
            <w:gridSpan w:val="14"/>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line="162" w:lineRule="exact"/>
              <w:rPr>
                <w:sz w:val="20"/>
                <w:szCs w:val="20"/>
                <w:color w:val="auto"/>
              </w:rPr>
            </w:pPr>
            <w:r>
              <w:rPr>
                <w:rFonts w:ascii="Arial" w:cs="Arial" w:eastAsia="Arial" w:hAnsi="Arial"/>
                <w:sz w:val="18"/>
                <w:szCs w:val="18"/>
                <w:color w:val="auto"/>
                <w:w w:val="88"/>
              </w:rPr>
              <w:t>10.14</w:t>
            </w:r>
          </w:p>
        </w:tc>
        <w:tc>
          <w:tcPr>
            <w:tcW w:w="1840" w:type="dxa"/>
            <w:vAlign w:val="bottom"/>
          </w:tcPr>
          <w:p>
            <w:pPr>
              <w:jc w:val="center"/>
              <w:spacing w:after="0" w:line="162" w:lineRule="exact"/>
              <w:rPr>
                <w:sz w:val="20"/>
                <w:szCs w:val="20"/>
                <w:color w:val="auto"/>
              </w:rPr>
            </w:pPr>
            <w:r>
              <w:rPr>
                <w:rFonts w:ascii="Arial" w:cs="Arial" w:eastAsia="Arial" w:hAnsi="Arial"/>
                <w:sz w:val="18"/>
                <w:szCs w:val="18"/>
                <w:color w:val="auto"/>
                <w:w w:val="91"/>
              </w:rPr>
              <w:t>February 26, 2021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20" w:type="dxa"/>
            <w:vAlign w:val="bottom"/>
            <w:gridSpan w:val="23"/>
            <w:shd w:val="clear" w:color="auto" w:fill="CCEEFF"/>
          </w:tcPr>
          <w:p>
            <w:pPr>
              <w:spacing w:after="0" w:line="162" w:lineRule="exact"/>
              <w:rPr>
                <w:rFonts w:ascii="Arial" w:cs="Arial" w:eastAsia="Arial" w:hAnsi="Arial"/>
                <w:sz w:val="18"/>
                <w:szCs w:val="18"/>
                <w:color w:val="0000FF"/>
              </w:rPr>
            </w:pPr>
            <w:hyperlink r:id="rId83">
              <w:r>
                <w:rPr>
                  <w:rFonts w:ascii="Arial" w:cs="Arial" w:eastAsia="Arial" w:hAnsi="Arial"/>
                  <w:sz w:val="18"/>
                  <w:szCs w:val="18"/>
                  <w:color w:val="0000FF"/>
                </w:rPr>
                <w:t>Amended Change in Control and Severance Agreement by and between the</w:t>
              </w:r>
            </w:hyperlink>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10.17</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February 26, 2021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18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Registrant and Christian O. Henry dated February 3, 2021</w:t>
              </w:r>
            </w:hyperlink>
          </w:p>
        </w:tc>
        <w:tc>
          <w:tcPr>
            <w:tcW w:w="132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8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10.4+</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20" w:type="dxa"/>
            <w:vAlign w:val="bottom"/>
            <w:gridSpan w:val="23"/>
          </w:tcPr>
          <w:p>
            <w:pPr>
              <w:spacing w:after="0" w:line="162"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Letter Relating to Employment Terms by and between the Registrant and Mark Van</w:t>
              </w:r>
            </w:hyperlink>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26,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84">
              <w:r>
                <w:rPr>
                  <w:rFonts w:ascii="Arial" w:cs="Arial" w:eastAsia="Arial" w:hAnsi="Arial"/>
                  <w:sz w:val="18"/>
                  <w:szCs w:val="18"/>
                  <w:color w:val="0000FF"/>
                </w:rPr>
                <w:t>Oene effective January 8, 2021</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20" w:type="dxa"/>
            <w:vAlign w:val="bottom"/>
            <w:gridSpan w:val="23"/>
            <w:shd w:val="clear" w:color="auto" w:fill="CCEEFF"/>
          </w:tcPr>
          <w:p>
            <w:pPr>
              <w:spacing w:after="0" w:line="162" w:lineRule="exact"/>
              <w:rPr>
                <w:rFonts w:ascii="Arial" w:cs="Arial" w:eastAsia="Arial" w:hAnsi="Arial"/>
                <w:sz w:val="18"/>
                <w:szCs w:val="18"/>
                <w:color w:val="0000FF"/>
                <w:w w:val="98"/>
              </w:rPr>
            </w:pPr>
            <w:hyperlink r:id="rId85">
              <w:r>
                <w:rPr>
                  <w:rFonts w:ascii="Arial" w:cs="Arial" w:eastAsia="Arial" w:hAnsi="Arial"/>
                  <w:sz w:val="18"/>
                  <w:szCs w:val="18"/>
                  <w:color w:val="0000FF"/>
                  <w:w w:val="98"/>
                </w:rPr>
                <w:t>Letter Relating to Employment Terms by and between the Registrant and Peter</w:t>
              </w:r>
            </w:hyperlink>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10.19</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February 26,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72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85">
              <w:r>
                <w:rPr>
                  <w:rFonts w:ascii="Arial" w:cs="Arial" w:eastAsia="Arial" w:hAnsi="Arial"/>
                  <w:sz w:val="18"/>
                  <w:szCs w:val="18"/>
                  <w:color w:val="0000FF"/>
                </w:rPr>
                <w:t>Fromen effective January 8, 2021</w:t>
              </w:r>
            </w:hyperlink>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vMerge w:val="continue"/>
            <w:shd w:val="clear" w:color="auto" w:fill="CCEEFF"/>
          </w:tcPr>
          <w:p>
            <w:pPr>
              <w:spacing w:after="0"/>
              <w:rPr>
                <w:sz w:val="14"/>
                <w:szCs w:val="14"/>
                <w:color w:val="auto"/>
              </w:rPr>
            </w:pPr>
          </w:p>
        </w:tc>
        <w:tc>
          <w:tcPr>
            <w:tcW w:w="1120" w:type="dxa"/>
            <w:vAlign w:val="bottom"/>
            <w:tcBorders>
              <w:top w:val="single" w:sz="8" w:color="CCEEFF"/>
            </w:tcBorders>
            <w:vMerge w:val="continue"/>
            <w:shd w:val="clear" w:color="auto" w:fill="CCEEFF"/>
          </w:tcPr>
          <w:p>
            <w:pPr>
              <w:spacing w:after="0"/>
              <w:rPr>
                <w:sz w:val="14"/>
                <w:szCs w:val="14"/>
                <w:color w:val="auto"/>
              </w:rPr>
            </w:pPr>
          </w:p>
        </w:tc>
        <w:tc>
          <w:tcPr>
            <w:tcW w:w="184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10.6+</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20" w:type="dxa"/>
            <w:vAlign w:val="bottom"/>
            <w:gridSpan w:val="23"/>
          </w:tcPr>
          <w:p>
            <w:pPr>
              <w:spacing w:after="0" w:line="162"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Pacific Biosciences of California, Inc. 2020 Inducement Equity Incentive Plan, as</w:t>
              </w:r>
            </w:hyperlink>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amended, and forms of agreement thereunder</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20" w:type="dxa"/>
            <w:vAlign w:val="bottom"/>
            <w:gridSpan w:val="23"/>
            <w:shd w:val="clear" w:color="auto" w:fill="CCEEFF"/>
          </w:tcPr>
          <w:p>
            <w:pPr>
              <w:spacing w:after="0" w:line="162"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Development and Commercialization Agreement by and between the Registrant and</w:t>
              </w:r>
            </w:hyperlink>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10.23</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February 26,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12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rPr>
            </w:pPr>
            <w:hyperlink r:id="rId87">
              <w:r>
                <w:rPr>
                  <w:rFonts w:ascii="Arial" w:cs="Arial" w:eastAsia="Arial" w:hAnsi="Arial"/>
                  <w:sz w:val="18"/>
                  <w:szCs w:val="18"/>
                  <w:color w:val="0000FF"/>
                </w:rPr>
                <w:t>Invitae Corporation dated January 12, 2021</w:t>
              </w:r>
            </w:hyperlink>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vMerge w:val="continue"/>
            <w:shd w:val="clear" w:color="auto" w:fill="CCEEFF"/>
          </w:tcPr>
          <w:p>
            <w:pPr>
              <w:spacing w:after="0"/>
              <w:rPr>
                <w:sz w:val="14"/>
                <w:szCs w:val="14"/>
                <w:color w:val="auto"/>
              </w:rPr>
            </w:pPr>
          </w:p>
        </w:tc>
        <w:tc>
          <w:tcPr>
            <w:tcW w:w="1120" w:type="dxa"/>
            <w:vAlign w:val="bottom"/>
            <w:tcBorders>
              <w:top w:val="single" w:sz="8" w:color="CCEEFF"/>
            </w:tcBorders>
            <w:vMerge w:val="continue"/>
            <w:shd w:val="clear" w:color="auto" w:fill="CCEEFF"/>
          </w:tcPr>
          <w:p>
            <w:pPr>
              <w:spacing w:after="0"/>
              <w:rPr>
                <w:sz w:val="14"/>
                <w:szCs w:val="14"/>
                <w:color w:val="auto"/>
              </w:rPr>
            </w:pPr>
          </w:p>
        </w:tc>
        <w:tc>
          <w:tcPr>
            <w:tcW w:w="184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31.1</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20" w:type="dxa"/>
            <w:vAlign w:val="bottom"/>
            <w:tcBorders>
              <w:bottom w:val="single" w:sz="8" w:color="0000FF"/>
            </w:tcBorders>
            <w:gridSpan w:val="17"/>
          </w:tcPr>
          <w:p>
            <w:pPr>
              <w:spacing w:after="0" w:line="162" w:lineRule="exact"/>
              <w:rPr>
                <w:rFonts w:ascii="Arial" w:cs="Arial" w:eastAsia="Arial" w:hAnsi="Arial"/>
                <w:sz w:val="18"/>
                <w:szCs w:val="18"/>
                <w:color w:val="0000FF"/>
                <w:w w:val="92"/>
              </w:rPr>
            </w:pPr>
            <w:hyperlink w:anchor="page62">
              <w:r>
                <w:rPr>
                  <w:rFonts w:ascii="Arial" w:cs="Arial" w:eastAsia="Arial" w:hAnsi="Arial"/>
                  <w:sz w:val="18"/>
                  <w:szCs w:val="18"/>
                  <w:color w:val="0000FF"/>
                  <w:w w:val="92"/>
                </w:rPr>
                <w:t>Certification of Chief Executive Officer pursuant to Exchange Act Rules 13a-14(a)</w:t>
              </w:r>
            </w:hyperlink>
          </w:p>
        </w:tc>
        <w:tc>
          <w:tcPr>
            <w:tcW w:w="20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4"/>
              </w:rPr>
              <w:t>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0" w:type="dxa"/>
            <w:vAlign w:val="bottom"/>
            <w:tcBorders>
              <w:bottom w:val="single" w:sz="8" w:color="0000FF"/>
            </w:tcBorders>
            <w:gridSpan w:val="22"/>
          </w:tcPr>
          <w:p>
            <w:pPr>
              <w:spacing w:after="0" w:line="169"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and 15d-14(a), as adopted pursuant to Section 302 of the Sarbanes-Oxley Act of 2002</w:t>
              </w:r>
            </w:hyperlink>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31.2</w:t>
            </w:r>
          </w:p>
        </w:tc>
        <w:tc>
          <w:tcPr>
            <w:tcW w:w="4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980" w:type="dxa"/>
            <w:vAlign w:val="bottom"/>
            <w:tcBorders>
              <w:bottom w:val="single" w:sz="8" w:color="0000FF"/>
            </w:tcBorders>
            <w:gridSpan w:val="16"/>
            <w:shd w:val="clear" w:color="auto" w:fill="CCEEFF"/>
          </w:tcPr>
          <w:p>
            <w:pPr>
              <w:spacing w:after="0" w:line="162" w:lineRule="exact"/>
              <w:rPr>
                <w:rFonts w:ascii="Arial" w:cs="Arial" w:eastAsia="Arial" w:hAnsi="Arial"/>
                <w:sz w:val="18"/>
                <w:szCs w:val="18"/>
                <w:color w:val="0000FF"/>
                <w:w w:val="92"/>
              </w:rPr>
            </w:pPr>
            <w:hyperlink w:anchor="page63">
              <w:r>
                <w:rPr>
                  <w:rFonts w:ascii="Arial" w:cs="Arial" w:eastAsia="Arial" w:hAnsi="Arial"/>
                  <w:sz w:val="18"/>
                  <w:szCs w:val="18"/>
                  <w:color w:val="0000FF"/>
                  <w:w w:val="92"/>
                </w:rPr>
                <w:t>Certification of Chief Financial Officer pursuant to Exchange Act Rules 13a-14(a)</w:t>
              </w:r>
            </w:hyperlink>
          </w:p>
        </w:tc>
        <w:tc>
          <w:tcPr>
            <w:tcW w:w="240" w:type="dxa"/>
            <w:vAlign w:val="bottom"/>
            <w:tcBorders>
              <w:bottom w:val="single" w:sz="8" w:color="CCEEFF"/>
            </w:tcBorders>
            <w:gridSpan w:val="7"/>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0000FF"/>
            </w:tcBorders>
            <w:gridSpan w:val="22"/>
            <w:shd w:val="clear" w:color="auto" w:fill="CCEEFF"/>
          </w:tcPr>
          <w:p>
            <w:pPr>
              <w:spacing w:after="0" w:line="16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and 15d-14(a), as adopted pursuant to Section 302 of the Sarbanes-Oxley Act of 2002</w:t>
              </w:r>
            </w:hyperlink>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32.1*</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20" w:type="dxa"/>
            <w:vAlign w:val="bottom"/>
            <w:gridSpan w:val="23"/>
          </w:tcPr>
          <w:p>
            <w:pPr>
              <w:spacing w:after="0" w:line="162" w:lineRule="exact"/>
              <w:rPr>
                <w:rFonts w:ascii="Arial" w:cs="Arial" w:eastAsia="Arial" w:hAnsi="Arial"/>
                <w:sz w:val="18"/>
                <w:szCs w:val="18"/>
                <w:color w:val="0000FF"/>
                <w:w w:val="99"/>
              </w:rPr>
            </w:pPr>
            <w:hyperlink w:anchor="page64">
              <w:r>
                <w:rPr>
                  <w:rFonts w:ascii="Arial" w:cs="Arial" w:eastAsia="Arial" w:hAnsi="Arial"/>
                  <w:sz w:val="18"/>
                  <w:szCs w:val="18"/>
                  <w:color w:val="0000FF"/>
                  <w:w w:val="99"/>
                </w:rPr>
                <w:t>Certification of Chief Executive Officer pursuant to 18 U.S.C. Section 1350, as</w:t>
              </w:r>
            </w:hyperlink>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adopted pursuant to Section 906 of the Sarbanes-Oxley Act of 2002</w:t>
              </w:r>
            </w:hyperlink>
          </w:p>
        </w:tc>
        <w:tc>
          <w:tcPr>
            <w:tcW w:w="880" w:type="dxa"/>
            <w:vAlign w:val="bottom"/>
            <w:tcBorders>
              <w:top w:val="single" w:sz="8" w:color="0000FF"/>
            </w:tcBorders>
            <w:gridSpan w:val="6"/>
          </w:tcPr>
          <w:p>
            <w:pPr>
              <w:spacing w:after="0"/>
              <w:rPr>
                <w:sz w:val="15"/>
                <w:szCs w:val="15"/>
                <w:color w:val="auto"/>
              </w:rPr>
            </w:pPr>
          </w:p>
        </w:tc>
        <w:tc>
          <w:tcPr>
            <w:tcW w:w="460" w:type="dxa"/>
            <w:vAlign w:val="bottom"/>
            <w:gridSpan w:val="9"/>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32.2*</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20" w:type="dxa"/>
            <w:vAlign w:val="bottom"/>
            <w:gridSpan w:val="23"/>
            <w:shd w:val="clear" w:color="auto" w:fill="CCEEFF"/>
          </w:tcPr>
          <w:p>
            <w:pPr>
              <w:spacing w:after="0" w:line="162" w:lineRule="exact"/>
              <w:rPr>
                <w:rFonts w:ascii="Arial" w:cs="Arial" w:eastAsia="Arial" w:hAnsi="Arial"/>
                <w:sz w:val="18"/>
                <w:szCs w:val="18"/>
                <w:color w:val="0000FF"/>
              </w:rPr>
            </w:pPr>
            <w:hyperlink w:anchor="page65">
              <w:r>
                <w:rPr>
                  <w:rFonts w:ascii="Arial" w:cs="Arial" w:eastAsia="Arial" w:hAnsi="Arial"/>
                  <w:sz w:val="18"/>
                  <w:szCs w:val="18"/>
                  <w:color w:val="0000FF"/>
                </w:rPr>
                <w:t>Certification of Chief Financial Officer pursuant to 18 U.S.C. Section 1350, as</w:t>
              </w:r>
            </w:hyperlink>
          </w:p>
        </w:tc>
        <w:tc>
          <w:tcPr>
            <w:tcW w:w="6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8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adopted pursuant to Section 906 of the Sarbanes-Oxley Act of 2002</w:t>
              </w:r>
            </w:hyperlink>
          </w:p>
        </w:tc>
        <w:tc>
          <w:tcPr>
            <w:tcW w:w="8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520" w:type="dxa"/>
            <w:vAlign w:val="bottom"/>
            <w:tcBorders>
              <w:top w:val="single" w:sz="8" w:color="CCEEFF"/>
              <w:bottom w:val="single" w:sz="8" w:color="CCEEFF"/>
            </w:tcBorders>
            <w:gridSpan w:val="11"/>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8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line="161" w:lineRule="exact"/>
              <w:rPr>
                <w:sz w:val="20"/>
                <w:szCs w:val="20"/>
                <w:color w:val="auto"/>
              </w:rPr>
            </w:pPr>
            <w:r>
              <w:rPr>
                <w:rFonts w:ascii="Arial" w:cs="Arial" w:eastAsia="Arial" w:hAnsi="Arial"/>
                <w:sz w:val="18"/>
                <w:szCs w:val="18"/>
                <w:color w:val="auto"/>
              </w:rPr>
              <w:t>101.INS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20" w:type="dxa"/>
            <w:vAlign w:val="bottom"/>
            <w:gridSpan w:val="23"/>
          </w:tcPr>
          <w:p>
            <w:pPr>
              <w:spacing w:after="0" w:line="161" w:lineRule="exact"/>
              <w:rPr>
                <w:sz w:val="20"/>
                <w:szCs w:val="20"/>
                <w:color w:val="auto"/>
              </w:rPr>
            </w:pPr>
            <w:r>
              <w:rPr>
                <w:rFonts w:ascii="Arial" w:cs="Arial" w:eastAsia="Arial" w:hAnsi="Arial"/>
                <w:sz w:val="18"/>
                <w:szCs w:val="18"/>
                <w:color w:val="auto"/>
                <w:w w:val="92"/>
              </w:rPr>
              <w:t>XBRL Instance Document (the instance document does not appear in the Interactive</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gridSpan w:val="23"/>
          </w:tcPr>
          <w:p>
            <w:pPr>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101.SCH</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23"/>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101.DEF</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5" w:lineRule="exact"/>
              <w:rPr>
                <w:sz w:val="20"/>
                <w:szCs w:val="20"/>
                <w:color w:val="auto"/>
              </w:rPr>
            </w:pPr>
            <w:r>
              <w:rPr>
                <w:rFonts w:ascii="Arial" w:cs="Arial" w:eastAsia="Arial" w:hAnsi="Arial"/>
                <w:sz w:val="18"/>
                <w:szCs w:val="18"/>
                <w:color w:val="auto"/>
              </w:rPr>
              <w:t>101.LAB</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20" w:type="dxa"/>
            <w:vAlign w:val="bottom"/>
            <w:gridSpan w:val="23"/>
          </w:tcPr>
          <w:p>
            <w:pPr>
              <w:spacing w:after="0" w:line="175" w:lineRule="exact"/>
              <w:rPr>
                <w:sz w:val="20"/>
                <w:szCs w:val="20"/>
                <w:color w:val="auto"/>
              </w:rPr>
            </w:pPr>
            <w:r>
              <w:rPr>
                <w:rFonts w:ascii="Arial" w:cs="Arial" w:eastAsia="Arial" w:hAnsi="Arial"/>
                <w:sz w:val="18"/>
                <w:szCs w:val="18"/>
                <w:color w:val="auto"/>
              </w:rPr>
              <w:t>XBRL Taxonomy Extension Labels Linkbase Document</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2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380" w:hanging="1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File (formatted as inline XBRL and contained in Exhibit 101)</w:t>
      </w:r>
    </w:p>
    <w:p>
      <w:pPr>
        <w:spacing w:after="0" w:line="398"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0175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84" w:lineRule="exact"/>
        <w:rPr>
          <w:sz w:val="20"/>
          <w:szCs w:val="20"/>
          <w:color w:val="auto"/>
        </w:rPr>
      </w:pPr>
    </w:p>
    <w:p>
      <w:pPr>
        <w:ind w:left="400" w:hanging="392"/>
        <w:spacing w:after="0" w:line="239" w:lineRule="auto"/>
        <w:tabs>
          <w:tab w:leader="none" w:pos="4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Certain confidential information contained in this Exhibit was omitted by means of marking such portions with brackets because the identified confidential information (i) is not material and (ii) would be competitively harmful if publicly disclosed.</w:t>
      </w:r>
    </w:p>
    <w:p>
      <w:pPr>
        <w:spacing w:after="0" w:line="55" w:lineRule="exact"/>
        <w:rPr>
          <w:sz w:val="20"/>
          <w:szCs w:val="20"/>
          <w:color w:val="auto"/>
        </w:rPr>
      </w:pPr>
    </w:p>
    <w:p>
      <w:pPr>
        <w:ind w:left="400" w:right="120" w:hanging="392"/>
        <w:spacing w:after="0" w:line="246" w:lineRule="auto"/>
        <w:tabs>
          <w:tab w:leader="none" w:pos="40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680" w:type="dxa"/>
            <w:vAlign w:val="bottom"/>
            <w:gridSpan w:val="2"/>
          </w:tcPr>
          <w:p>
            <w:pPr>
              <w:ind w:left="24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ACIFIC</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IOSCIENCES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ALIFORNIA</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Date: May 6, 2021</w:t>
            </w:r>
          </w:p>
        </w:tc>
        <w:tc>
          <w:tcPr>
            <w:tcW w:w="3460" w:type="dxa"/>
            <w:vAlign w:val="bottom"/>
            <w:vMerge w:val="restart"/>
          </w:tcPr>
          <w:p>
            <w:pPr>
              <w:ind w:left="2420"/>
              <w:spacing w:after="0"/>
              <w:rPr>
                <w:sz w:val="20"/>
                <w:szCs w:val="20"/>
                <w:color w:val="auto"/>
              </w:rPr>
            </w:pPr>
            <w:r>
              <w:rPr>
                <w:rFonts w:ascii="Arial" w:cs="Arial" w:eastAsia="Arial" w:hAnsi="Arial"/>
                <w:sz w:val="18"/>
                <w:szCs w:val="18"/>
                <w:color w:val="auto"/>
              </w:rPr>
              <w:t>By:</w:t>
            </w:r>
          </w:p>
        </w:tc>
        <w:tc>
          <w:tcPr>
            <w:tcW w:w="2220" w:type="dxa"/>
            <w:vAlign w:val="bottom"/>
          </w:tcPr>
          <w:p>
            <w:pPr>
              <w:ind w:left="780"/>
              <w:spacing w:after="0"/>
              <w:rPr>
                <w:sz w:val="20"/>
                <w:szCs w:val="20"/>
                <w:color w:val="auto"/>
              </w:rPr>
            </w:pPr>
            <w:r>
              <w:rPr>
                <w:rFonts w:ascii="Arial" w:cs="Arial" w:eastAsia="Arial" w:hAnsi="Arial"/>
                <w:sz w:val="18"/>
                <w:szCs w:val="18"/>
                <w:color w:val="auto"/>
                <w:w w:val="99"/>
              </w:rPr>
              <w:t>/s/   S</w:t>
            </w:r>
            <w:r>
              <w:rPr>
                <w:rFonts w:ascii="Arial" w:cs="Arial" w:eastAsia="Arial" w:hAnsi="Arial"/>
                <w:sz w:val="13"/>
                <w:szCs w:val="13"/>
                <w:color w:val="auto"/>
                <w:w w:val="99"/>
              </w:rPr>
              <w:t>USAN</w:t>
            </w:r>
            <w:r>
              <w:rPr>
                <w:rFonts w:ascii="Arial" w:cs="Arial" w:eastAsia="Arial" w:hAnsi="Arial"/>
                <w:sz w:val="18"/>
                <w:szCs w:val="18"/>
                <w:color w:val="auto"/>
                <w:w w:val="99"/>
              </w:rPr>
              <w:t xml:space="preserve"> G. Kim</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346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480"/>
        <w:spacing w:after="0"/>
        <w:rPr>
          <w:sz w:val="20"/>
          <w:szCs w:val="20"/>
          <w:color w:val="auto"/>
        </w:rPr>
      </w:pPr>
      <w:r>
        <w:rPr>
          <w:rFonts w:ascii="Arial" w:cs="Arial" w:eastAsia="Arial" w:hAnsi="Arial"/>
          <w:sz w:val="13"/>
          <w:szCs w:val="13"/>
          <w:b w:val="1"/>
          <w:bCs w:val="1"/>
          <w:color w:val="auto"/>
        </w:rPr>
        <w:t>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-85725</wp:posOffset>
            </wp:positionV>
            <wp:extent cx="29914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3"/>
          <w:szCs w:val="13"/>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May 6, 2021</w:t>
            </w:r>
          </w:p>
        </w:tc>
        <w:tc>
          <w:tcPr>
            <w:tcW w:w="2720" w:type="dxa"/>
            <w:vAlign w:val="bottom"/>
            <w:vMerge w:val="restart"/>
          </w:tcPr>
          <w:p>
            <w:pPr>
              <w:ind w:left="2420"/>
              <w:spacing w:after="0"/>
              <w:rPr>
                <w:sz w:val="20"/>
                <w:szCs w:val="20"/>
                <w:color w:val="auto"/>
              </w:rPr>
            </w:pPr>
            <w:r>
              <w:rPr>
                <w:rFonts w:ascii="Arial" w:cs="Arial" w:eastAsia="Arial" w:hAnsi="Arial"/>
                <w:sz w:val="18"/>
                <w:szCs w:val="18"/>
                <w:color w:val="auto"/>
              </w:rPr>
              <w:t>By:</w:t>
            </w:r>
          </w:p>
        </w:tc>
        <w:tc>
          <w:tcPr>
            <w:tcW w:w="4720" w:type="dxa"/>
            <w:vAlign w:val="bottom"/>
          </w:tcPr>
          <w:p>
            <w:pPr>
              <w:ind w:left="1460"/>
              <w:spacing w:after="0"/>
              <w:rPr>
                <w:sz w:val="20"/>
                <w:szCs w:val="20"/>
                <w:color w:val="auto"/>
              </w:rPr>
            </w:pPr>
            <w:r>
              <w:rPr>
                <w:rFonts w:ascii="Arial" w:cs="Arial" w:eastAsia="Arial" w:hAnsi="Arial"/>
                <w:sz w:val="18"/>
                <w:szCs w:val="18"/>
                <w:color w:val="auto"/>
              </w:rPr>
              <w:t>/s/   Eric E. Schaefer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Eric E. Schaefer</w:t>
            </w: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4"/>
              </w:rPr>
              <w:t>Vice President and Chief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12" w:right="339" w:bottom="1440" w:gutter="0" w:footer="0" w:header="0"/>
        </w:sectPr>
      </w:pPr>
    </w:p>
    <w:bookmarkStart w:id="61" w:name="page62"/>
    <w:bookmarkEnd w:id="61"/>
    <w:p>
      <w:pPr>
        <w:jc w:val="right"/>
        <w:ind w:right="199"/>
        <w:spacing w:after="0"/>
        <w:rPr>
          <w:sz w:val="20"/>
          <w:szCs w:val="20"/>
          <w:color w:val="auto"/>
        </w:rPr>
      </w:pPr>
      <w:r>
        <w:rPr>
          <w:rFonts w:ascii="Arial" w:cs="Arial" w:eastAsia="Arial" w:hAnsi="Arial"/>
          <w:sz w:val="22"/>
          <w:szCs w:val="22"/>
          <w:b w:val="1"/>
          <w:bCs w:val="1"/>
          <w:color w:val="auto"/>
        </w:rPr>
        <w:t>Exhibit 31.1</w:t>
      </w:r>
    </w:p>
    <w:p>
      <w:pPr>
        <w:spacing w:after="0" w:line="135"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Christian Henry, certify that:</w:t>
      </w:r>
    </w:p>
    <w:p>
      <w:pPr>
        <w:spacing w:after="0" w:line="50" w:lineRule="exact"/>
        <w:rPr>
          <w:sz w:val="20"/>
          <w:szCs w:val="20"/>
          <w:color w:val="auto"/>
        </w:rPr>
      </w:pPr>
    </w:p>
    <w:p>
      <w:pPr>
        <w:ind w:left="800" w:hanging="17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Christian O. Henry</w:t>
      </w:r>
    </w:p>
    <w:p>
      <w:pPr>
        <w:jc w:val="center"/>
        <w:ind w:left="4980"/>
        <w:spacing w:after="0" w:line="203" w:lineRule="auto"/>
        <w:rPr>
          <w:sz w:val="20"/>
          <w:szCs w:val="20"/>
          <w:color w:val="auto"/>
        </w:rPr>
      </w:pPr>
      <w:r>
        <w:rPr>
          <w:rFonts w:ascii="Arial" w:cs="Arial" w:eastAsia="Arial" w:hAnsi="Arial"/>
          <w:sz w:val="18"/>
          <w:szCs w:val="18"/>
          <w:color w:val="auto"/>
        </w:rPr>
        <w:t>Chief Executive Officer and President</w:t>
      </w:r>
    </w:p>
    <w:p>
      <w:pPr>
        <w:jc w:val="cente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-24765</wp:posOffset>
            </wp:positionV>
            <wp:extent cx="552894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jc w:val="right"/>
        <w:ind w:right="199"/>
        <w:spacing w:after="0"/>
        <w:rPr>
          <w:sz w:val="20"/>
          <w:szCs w:val="20"/>
          <w:color w:val="auto"/>
        </w:rPr>
      </w:pPr>
      <w:r>
        <w:rPr>
          <w:rFonts w:ascii="Arial" w:cs="Arial" w:eastAsia="Arial" w:hAnsi="Arial"/>
          <w:sz w:val="22"/>
          <w:szCs w:val="22"/>
          <w:b w:val="1"/>
          <w:bCs w:val="1"/>
          <w:color w:val="auto"/>
        </w:rPr>
        <w:t>Exhibit 31.2</w:t>
      </w:r>
    </w:p>
    <w:p>
      <w:pPr>
        <w:spacing w:after="0" w:line="135"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Susan Kim, certify that:</w:t>
      </w:r>
    </w:p>
    <w:p>
      <w:pPr>
        <w:spacing w:after="0" w:line="50" w:lineRule="exact"/>
        <w:rPr>
          <w:sz w:val="20"/>
          <w:szCs w:val="20"/>
          <w:color w:val="auto"/>
        </w:rPr>
      </w:pPr>
    </w:p>
    <w:p>
      <w:pPr>
        <w:ind w:left="800" w:hanging="17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Susan G. Kim</w:t>
      </w:r>
    </w:p>
    <w:p>
      <w:pPr>
        <w:ind w:left="6140"/>
        <w:spacing w:after="0" w:line="203" w:lineRule="auto"/>
        <w:rPr>
          <w:sz w:val="20"/>
          <w:szCs w:val="20"/>
          <w:color w:val="auto"/>
        </w:rPr>
      </w:pPr>
      <w:r>
        <w:rPr>
          <w:rFonts w:ascii="Arial" w:cs="Arial" w:eastAsia="Arial" w:hAnsi="Arial"/>
          <w:sz w:val="18"/>
          <w:szCs w:val="18"/>
          <w:color w:val="auto"/>
        </w:rPr>
        <w:t>Chief Financial Officer</w:t>
      </w: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-24765</wp:posOffset>
            </wp:positionV>
            <wp:extent cx="552894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jc w:val="right"/>
        <w:ind w:right="199"/>
        <w:spacing w:after="0"/>
        <w:rPr>
          <w:sz w:val="20"/>
          <w:szCs w:val="20"/>
          <w:color w:val="auto"/>
        </w:rPr>
      </w:pPr>
      <w:r>
        <w:rPr>
          <w:rFonts w:ascii="Arial" w:cs="Arial" w:eastAsia="Arial" w:hAnsi="Arial"/>
          <w:sz w:val="22"/>
          <w:szCs w:val="22"/>
          <w:b w:val="1"/>
          <w:bCs w:val="1"/>
          <w:color w:val="auto"/>
        </w:rPr>
        <w:t>Exhibit 32.1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CEO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19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March 31, 2021,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19" w:firstLine="445"/>
        <w:spacing w:after="0" w:line="258" w:lineRule="auto"/>
        <w:tabs>
          <w:tab w:leader="none" w:pos="8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2021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180" w:right="499" w:firstLine="445"/>
        <w:spacing w:after="0" w:line="235" w:lineRule="auto"/>
        <w:tabs>
          <w:tab w:leader="none" w:pos="8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180"/>
        <w:spacing w:after="0"/>
        <w:tabs>
          <w:tab w:leader="none" w:pos="58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000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0"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Christian O. Henry</w:t>
      </w:r>
    </w:p>
    <w:p>
      <w:pPr>
        <w:spacing w:after="0" w:line="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Chief Executive Officer and President</w:t>
      </w:r>
    </w:p>
    <w:p>
      <w:pPr>
        <w:jc w:val="cente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266065</wp:posOffset>
            </wp:positionV>
            <wp:extent cx="552894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jc w:val="right"/>
        <w:ind w:right="199"/>
        <w:spacing w:after="0"/>
        <w:rPr>
          <w:sz w:val="20"/>
          <w:szCs w:val="20"/>
          <w:color w:val="auto"/>
        </w:rPr>
      </w:pPr>
      <w:r>
        <w:rPr>
          <w:rFonts w:ascii="Arial" w:cs="Arial" w:eastAsia="Arial" w:hAnsi="Arial"/>
          <w:sz w:val="22"/>
          <w:szCs w:val="22"/>
          <w:b w:val="1"/>
          <w:bCs w:val="1"/>
          <w:color w:val="auto"/>
        </w:rPr>
        <w:t>Exhibit 32.2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CFO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35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March 31, 2021,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19" w:firstLine="445"/>
        <w:spacing w:after="0" w:line="258" w:lineRule="auto"/>
        <w:tabs>
          <w:tab w:leader="none" w:pos="8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2021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180" w:right="499" w:firstLine="445"/>
        <w:spacing w:after="0" w:line="235" w:lineRule="auto"/>
        <w:tabs>
          <w:tab w:leader="none" w:pos="8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7000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jc w:val="center"/>
        <w:ind w:left="4380"/>
        <w:spacing w:after="0"/>
        <w:rPr>
          <w:sz w:val="20"/>
          <w:szCs w:val="20"/>
          <w:color w:val="auto"/>
        </w:rPr>
      </w:pPr>
      <w:r>
        <w:rPr>
          <w:rFonts w:ascii="Arial" w:cs="Arial" w:eastAsia="Arial" w:hAnsi="Arial"/>
          <w:sz w:val="18"/>
          <w:szCs w:val="18"/>
          <w:color w:val="auto"/>
        </w:rPr>
        <w:t>Susan G. Kim</w:t>
      </w:r>
    </w:p>
    <w:p>
      <w:pPr>
        <w:jc w:val="center"/>
        <w:ind w:left="4380"/>
        <w:spacing w:after="0" w:line="203" w:lineRule="auto"/>
        <w:rPr>
          <w:sz w:val="20"/>
          <w:szCs w:val="20"/>
          <w:color w:val="auto"/>
        </w:rPr>
      </w:pPr>
      <w:r>
        <w:rPr>
          <w:rFonts w:ascii="Arial" w:cs="Arial" w:eastAsia="Arial" w:hAnsi="Arial"/>
          <w:sz w:val="18"/>
          <w:szCs w:val="18"/>
          <w:color w:val="auto"/>
        </w:rPr>
        <w:t>Chief Financial Officer</w:t>
      </w:r>
    </w:p>
    <w:p>
      <w:pPr>
        <w:jc w:val="cente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814705</wp:posOffset>
            </wp:positionV>
            <wp:extent cx="552894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104"/>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79" Type="http://schemas.openxmlformats.org/officeDocument/2006/relationships/hyperlink" Target="http://www.sec.gov/Archives/edgar/data/0001299130/000129913021000049/pacb-20210216xex4_1.htm" TargetMode="External"/><Relationship Id="rId80" Type="http://schemas.openxmlformats.org/officeDocument/2006/relationships/hyperlink" Target="http://www.sec.gov/Archives/edgar/data/1299130/000129913021000049/pacb-20210216xex4_1.htm" TargetMode="External"/><Relationship Id="rId81" Type="http://schemas.openxmlformats.org/officeDocument/2006/relationships/hyperlink" Target="http://www.sec.gov/Archives/edgar/data/0001299130/000119312521035435/d121704dex101.htm" TargetMode="External"/><Relationship Id="rId82" Type="http://schemas.openxmlformats.org/officeDocument/2006/relationships/hyperlink" Target="http://www.sec.gov/Archives/edgar/data/1299130/000129913021000098/pacb-20201231xex10_14.htm" TargetMode="External"/><Relationship Id="rId83" Type="http://schemas.openxmlformats.org/officeDocument/2006/relationships/hyperlink" Target="http://www.sec.gov/Archives/edgar/data/1299130/000129913021000098/pacb-20201231xex10_17.htm" TargetMode="External"/><Relationship Id="rId84" Type="http://schemas.openxmlformats.org/officeDocument/2006/relationships/hyperlink" Target="http://www.sec.gov/Archives/edgar/data/1299130/000129913021000098/pacb-20201231xex10_18.htm" TargetMode="External"/><Relationship Id="rId85" Type="http://schemas.openxmlformats.org/officeDocument/2006/relationships/hyperlink" Target="http://www.sec.gov/Archives/edgar/data/1299130/000129913021000098/pacb-20201231xex10_19.htm" TargetMode="External"/><Relationship Id="rId86" Type="http://schemas.openxmlformats.org/officeDocument/2006/relationships/hyperlink" Target="http://www.sec.gov/Archives/edgar/data/0001299130/000119312521121215/d95363dex101.htm" TargetMode="External"/><Relationship Id="rId87" Type="http://schemas.openxmlformats.org/officeDocument/2006/relationships/hyperlink" Target="http://www.sec.gov/Archives/edgar/data/1299130/000129913021000098/pacb-20201231xex10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2021-05-06T15:49:07Z</dcterms:created>
  <dcterms:modified xsi:type="dcterms:W3CDTF">2021-05-06T15:49:07Z</dcterms:modified>
</cp:coreProperties>
</file>